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DA498" w14:textId="77777777" w:rsidR="00FB3B22" w:rsidRDefault="00FB3B22" w:rsidP="00FB3B22">
      <w:pPr>
        <w:pStyle w:val="Bibliography"/>
        <w:spacing w:before="240" w:after="240" w:line="360" w:lineRule="auto"/>
        <w:jc w:val="both"/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0A1710"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Graphical Abstract</w:t>
      </w:r>
      <w:r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:</w:t>
      </w:r>
    </w:p>
    <w:p w14:paraId="13E04625" w14:textId="77777777" w:rsidR="00FB3B22" w:rsidRDefault="00FB3B22" w:rsidP="00FB3B22">
      <w:pPr>
        <w:pStyle w:val="Bibliography"/>
        <w:spacing w:before="240" w:after="240" w:line="360" w:lineRule="auto"/>
        <w:jc w:val="both"/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noProof/>
          <w:color w:val="000000"/>
          <w:kern w:val="2"/>
          <w:sz w:val="24"/>
          <w:szCs w:val="24"/>
          <w14:ligatures w14:val="standardContextual"/>
        </w:rPr>
        <w:drawing>
          <wp:inline distT="0" distB="0" distL="0" distR="0" wp14:anchorId="0BA4C948" wp14:editId="4BCA85EE">
            <wp:extent cx="5975350" cy="3933825"/>
            <wp:effectExtent l="0" t="0" r="6350" b="9525"/>
            <wp:docPr id="762638739" name="Picture 1" descr="A diagram of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38739" name="Picture 1" descr="A diagram of a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FB4B6" w14:textId="77777777" w:rsidR="00FB3B22" w:rsidRDefault="00FB3B22" w:rsidP="00FB3B22">
      <w:pPr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Synopsis:</w:t>
      </w:r>
    </w:p>
    <w:p w14:paraId="0FF47799" w14:textId="77777777" w:rsidR="00FB3B22" w:rsidRDefault="00FB3B22" w:rsidP="00FB3B22">
      <w:pPr>
        <w:spacing w:before="240" w:after="0" w:line="360" w:lineRule="auto"/>
        <w:jc w:val="both"/>
        <w:rPr>
          <w:rFonts w:ascii="Times New Roman" w:hAnsi="Times New Roman" w:cs="Times New Roman"/>
          <w:bCs/>
          <w:sz w:val="24"/>
        </w:rPr>
      </w:pPr>
      <w:r w:rsidRPr="00FD4DD7">
        <w:rPr>
          <w:rFonts w:ascii="Times New Roman" w:hAnsi="Times New Roman" w:cs="Times New Roman"/>
          <w:bCs/>
          <w:sz w:val="24"/>
        </w:rPr>
        <w:t xml:space="preserve">The study highlights the prospects of bio-stabilization methods for sustainable ground improvement and recommends the use of natural additives like </w:t>
      </w:r>
      <w:r>
        <w:rPr>
          <w:rFonts w:ascii="Times New Roman" w:hAnsi="Times New Roman" w:cs="Times New Roman"/>
          <w:bCs/>
          <w:sz w:val="24"/>
        </w:rPr>
        <w:t>TerraZyme and Xanthan gum</w:t>
      </w:r>
      <w:r w:rsidRPr="00FD4DD7">
        <w:rPr>
          <w:rFonts w:ascii="Times New Roman" w:hAnsi="Times New Roman" w:cs="Times New Roman"/>
          <w:bCs/>
          <w:sz w:val="24"/>
        </w:rPr>
        <w:t xml:space="preserve"> in place of conventional materials like cement and lime for environmentally responsible development.</w:t>
      </w:r>
    </w:p>
    <w:p w14:paraId="309CD504" w14:textId="77777777" w:rsidR="00FB3B22" w:rsidRPr="00D630C3" w:rsidRDefault="00FB3B22" w:rsidP="00FB3B22"/>
    <w:p w14:paraId="3ED5CE02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B22"/>
    <w:rsid w:val="00854297"/>
    <w:rsid w:val="00D30773"/>
    <w:rsid w:val="00DF4B31"/>
    <w:rsid w:val="00FB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712D3"/>
  <w15:chartTrackingRefBased/>
  <w15:docId w15:val="{CF9C3060-EC44-460D-AA7D-2CC4888B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B2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B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B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B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B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B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B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B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B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B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B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B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B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B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B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B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3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B2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3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B2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3B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B2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3B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B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B22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FB3B22"/>
    <w:pPr>
      <w:tabs>
        <w:tab w:val="left" w:pos="504"/>
      </w:tabs>
      <w:spacing w:after="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SpringerNature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2024-11-13T12:14:00Z</dcterms:created>
  <dcterms:modified xsi:type="dcterms:W3CDTF">2024-11-13T12:14:00Z</dcterms:modified>
</cp:coreProperties>
</file>