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10CE93" w14:textId="3EBA9E1D" w:rsidR="005F2A57" w:rsidRPr="0092636B" w:rsidRDefault="00842EFD" w:rsidP="0072477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636B">
        <w:rPr>
          <w:rFonts w:ascii="Times New Roman" w:hAnsi="Times New Roman" w:cs="Times New Roman"/>
          <w:b/>
          <w:sz w:val="24"/>
          <w:szCs w:val="24"/>
        </w:rPr>
        <w:t xml:space="preserve"> Figure legend</w:t>
      </w:r>
      <w:r w:rsidR="001D429C" w:rsidRPr="0092636B">
        <w:rPr>
          <w:rFonts w:ascii="Times New Roman" w:hAnsi="Times New Roman" w:cs="Times New Roman"/>
          <w:b/>
          <w:sz w:val="24"/>
          <w:szCs w:val="24"/>
        </w:rPr>
        <w:t>s</w:t>
      </w:r>
    </w:p>
    <w:p w14:paraId="13D18A36" w14:textId="6CDC801B" w:rsidR="00842EFD" w:rsidRPr="0092636B" w:rsidRDefault="0072477F" w:rsidP="0073051D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636B">
        <w:rPr>
          <w:rFonts w:ascii="Times New Roman" w:hAnsi="Times New Roman" w:cs="Times New Roman"/>
          <w:b/>
          <w:sz w:val="24"/>
          <w:szCs w:val="24"/>
        </w:rPr>
        <w:t>Fig.1-Green tea p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olyphenols (GTP) </w:t>
      </w:r>
      <w:r w:rsidRPr="0092636B">
        <w:rPr>
          <w:rFonts w:ascii="Times New Roman" w:hAnsi="Times New Roman" w:cs="Times New Roman"/>
          <w:b/>
          <w:sz w:val="24"/>
          <w:szCs w:val="24"/>
        </w:rPr>
        <w:t>decrease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lipids accumulation and triglyceride synthesis during hADSCs adipogenic differentiation. A. Image of the lipid droplets with Oil Red O (ORO) staining and examined by a light microscopy at 100</w:t>
      </w:r>
      <w:r w:rsidR="00BA1B6F" w:rsidRPr="0092636B">
        <w:rPr>
          <w:rFonts w:ascii="Times New Roman" w:hAnsi="Times New Roman" w:cs="Times New Roman"/>
          <w:b/>
          <w:sz w:val="24"/>
          <w:szCs w:val="24"/>
        </w:rPr>
        <w:t>×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, objective magnification; B. The quantitative </w:t>
      </w:r>
      <w:r w:rsidR="00E5171C" w:rsidRPr="0092636B">
        <w:rPr>
          <w:rFonts w:ascii="Times New Roman" w:hAnsi="Times New Roman" w:cs="Times New Roman"/>
          <w:b/>
          <w:sz w:val="24"/>
          <w:szCs w:val="24"/>
        </w:rPr>
        <w:t xml:space="preserve">data of 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total area occupied by lipid droplets </w:t>
      </w:r>
      <w:r w:rsidR="00E5171C" w:rsidRPr="0092636B">
        <w:rPr>
          <w:rFonts w:ascii="Times New Roman" w:hAnsi="Times New Roman" w:cs="Times New Roman"/>
          <w:b/>
          <w:sz w:val="24"/>
          <w:szCs w:val="24"/>
        </w:rPr>
        <w:t>stained by ORO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>; C. Triglycerides content was determined by measuring the absorbance at 490 nm. Data are presented as mean</w:t>
      </w:r>
      <w:r w:rsidR="00B7685A" w:rsidRPr="0092636B">
        <w:rPr>
          <w:rFonts w:ascii="Times New Roman" w:hAnsi="Times New Roman" w:cs="Times New Roman"/>
          <w:b/>
          <w:sz w:val="24"/>
          <w:szCs w:val="24"/>
        </w:rPr>
        <w:t>s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± SE (n =5 per group). </w:t>
      </w:r>
      <w:r w:rsidR="00842EFD" w:rsidRPr="0092636B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="00842EFD" w:rsidRPr="0092636B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&lt; .05</w:t>
      </w:r>
      <w:r w:rsidR="00B7685A" w:rsidRPr="0092636B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7685A" w:rsidRPr="0092636B">
        <w:rPr>
          <w:rFonts w:ascii="Times New Roman" w:hAnsi="Times New Roman" w:cs="Times New Roman"/>
          <w:b/>
          <w:sz w:val="24"/>
          <w:szCs w:val="24"/>
          <w:vertAlign w:val="superscript"/>
        </w:rPr>
        <w:t>**</w:t>
      </w:r>
      <w:r w:rsidR="00B7685A" w:rsidRPr="0092636B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B7685A" w:rsidRPr="0092636B">
        <w:rPr>
          <w:rFonts w:ascii="Times New Roman" w:hAnsi="Times New Roman" w:cs="Times New Roman"/>
          <w:b/>
          <w:sz w:val="24"/>
          <w:szCs w:val="24"/>
        </w:rPr>
        <w:t xml:space="preserve"> &lt; .01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842EFD" w:rsidRPr="0092636B">
        <w:rPr>
          <w:rFonts w:ascii="Times New Roman" w:hAnsi="Times New Roman" w:cs="Times New Roman"/>
          <w:b/>
          <w:sz w:val="24"/>
          <w:szCs w:val="24"/>
          <w:vertAlign w:val="superscript"/>
        </w:rPr>
        <w:t>***</w:t>
      </w:r>
      <w:r w:rsidR="00842EFD" w:rsidRPr="0092636B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&lt; .001 GTP and pioglitazone vs</w:t>
      </w:r>
      <w:r w:rsidR="00BA1B6F" w:rsidRPr="0092636B">
        <w:rPr>
          <w:rFonts w:ascii="Times New Roman" w:hAnsi="Times New Roman" w:cs="Times New Roman"/>
          <w:b/>
          <w:sz w:val="24"/>
          <w:szCs w:val="24"/>
        </w:rPr>
        <w:t>.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the control; </w:t>
      </w:r>
      <w:r w:rsidR="0073051D" w:rsidRPr="0092636B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#</w:t>
      </w:r>
      <w:r w:rsidR="00842EFD" w:rsidRPr="0092636B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73051D" w:rsidRPr="0092636B">
        <w:rPr>
          <w:rFonts w:ascii="Times New Roman" w:hAnsi="Times New Roman" w:cs="Times New Roman"/>
          <w:b/>
          <w:sz w:val="24"/>
          <w:szCs w:val="24"/>
        </w:rPr>
        <w:t xml:space="preserve"> &lt; .05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73051D" w:rsidRPr="0092636B">
        <w:rPr>
          <w:rFonts w:ascii="Times New Roman" w:hAnsi="Times New Roman" w:cs="Times New Roman"/>
          <w:b/>
          <w:sz w:val="24"/>
          <w:szCs w:val="24"/>
          <w:vertAlign w:val="superscript"/>
        </w:rPr>
        <w:t>##</w:t>
      </w:r>
      <w:r w:rsidR="00842EFD" w:rsidRPr="0092636B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73051D" w:rsidRPr="0092636B">
        <w:rPr>
          <w:rFonts w:ascii="Times New Roman" w:hAnsi="Times New Roman" w:cs="Times New Roman"/>
          <w:b/>
          <w:sz w:val="24"/>
          <w:szCs w:val="24"/>
        </w:rPr>
        <w:t xml:space="preserve"> &lt; .0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1 GTP </w:t>
      </w:r>
      <w:r w:rsidR="0073051D" w:rsidRPr="0092636B">
        <w:rPr>
          <w:rFonts w:ascii="Times New Roman" w:hAnsi="Times New Roman" w:cs="Times New Roman"/>
          <w:b/>
          <w:sz w:val="24"/>
          <w:szCs w:val="24"/>
        </w:rPr>
        <w:t>plus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pioglitazone (Pio) vs</w:t>
      </w:r>
      <w:r w:rsidR="00BA1B6F" w:rsidRPr="0092636B">
        <w:rPr>
          <w:rFonts w:ascii="Times New Roman" w:hAnsi="Times New Roman" w:cs="Times New Roman"/>
          <w:b/>
          <w:sz w:val="24"/>
          <w:szCs w:val="24"/>
        </w:rPr>
        <w:t>.</w:t>
      </w:r>
      <w:r w:rsidR="00842EFD" w:rsidRPr="0092636B">
        <w:rPr>
          <w:rFonts w:ascii="Times New Roman" w:hAnsi="Times New Roman" w:cs="Times New Roman"/>
          <w:b/>
          <w:sz w:val="24"/>
          <w:szCs w:val="24"/>
        </w:rPr>
        <w:t xml:space="preserve"> Pio alone.</w:t>
      </w:r>
    </w:p>
    <w:p w14:paraId="7852F15C" w14:textId="77777777" w:rsidR="00B7685A" w:rsidRPr="0092636B" w:rsidRDefault="00B7685A" w:rsidP="009A202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B99A44" w14:textId="3743CDAE" w:rsidR="00136E21" w:rsidRPr="0092636B" w:rsidRDefault="00136E21" w:rsidP="0092636B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Fig.2-</w:t>
      </w:r>
      <w:r w:rsidR="00B7685A" w:rsidRPr="0092636B">
        <w:rPr>
          <w:rFonts w:ascii="Times New Roman" w:hAnsi="Times New Roman" w:cs="Times New Roman"/>
          <w:b/>
          <w:sz w:val="24"/>
          <w:szCs w:val="24"/>
        </w:rPr>
        <w:t xml:space="preserve">Green tea polyphenols (GTP) </w:t>
      </w:r>
      <w:r w:rsidR="00B7685A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inhibit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PPAR</w:t>
      </w:r>
      <w:r w:rsidR="0073051D"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γ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expression during hADSCs adipogenic differentiation.  Images of immunofluorescence staining (A) </w:t>
      </w:r>
      <w:r w:rsidRPr="0092636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depicted a marked elevation in the fluorescent intensity of </w:t>
      </w:r>
      <w:bookmarkStart w:id="0" w:name="OLE_LINK1"/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PPAR</w:t>
      </w:r>
      <w:bookmarkEnd w:id="0"/>
      <w:r w:rsidR="0073051D"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γ</w:t>
      </w:r>
      <w:r w:rsidRPr="0092636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antibodies conjugated to FITC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stained a</w:t>
      </w:r>
      <w:r w:rsidR="003B5AA5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 green colour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7685A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 the cells with pioglitazone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(Pio, 100 µmol)</w:t>
      </w:r>
      <w:r w:rsidR="00B7685A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treatment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 w:rsidRPr="0092636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reduction in the </w:t>
      </w:r>
      <w:r w:rsidRPr="0092636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lastRenderedPageBreak/>
        <w:t xml:space="preserve">fluorescent intensity of </w:t>
      </w:r>
      <w:r w:rsidR="00FE5E1B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PPARɤ</w:t>
      </w:r>
      <w:r w:rsidR="00FE5E1B" w:rsidRPr="0092636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</w:t>
      </w:r>
      <w:r w:rsidRPr="0092636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antibodies conjugated to FITC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in </w:t>
      </w:r>
      <w:r w:rsidR="00B7685A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the cells-trea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ted with GTP (1 and 10 μg/mL</w:t>
      </w:r>
      <w:r w:rsidR="00B7685A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Quantitative data (B) are expressed as mean</w:t>
      </w:r>
      <w:r w:rsidR="00B7685A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± SE. 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*</w:t>
      </w:r>
      <w:r w:rsidRPr="0092636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</w:t>
      </w:r>
      <w:r w:rsidR="0092636B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&lt; .05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**</w:t>
      </w:r>
      <w:r w:rsidRPr="0092636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</w:t>
      </w:r>
      <w:r w:rsidR="0092636B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&lt; .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01 GTP and pioglitazone treatments vs</w:t>
      </w:r>
      <w:r w:rsidR="00FE5E1B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the control.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#</w:t>
      </w:r>
      <w:r w:rsidRPr="0092636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</w:t>
      </w:r>
      <w:r w:rsidR="0073051D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&lt;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.05 GTP plus pioglitazone vs. pioglitazone alone.</w:t>
      </w:r>
    </w:p>
    <w:p w14:paraId="46B348D5" w14:textId="77777777" w:rsidR="00320573" w:rsidRPr="0092636B" w:rsidRDefault="00320573" w:rsidP="00320573">
      <w:pPr>
        <w:pStyle w:val="Default"/>
        <w:spacing w:after="0" w:line="240" w:lineRule="auto"/>
        <w:ind w:right="663"/>
        <w:jc w:val="both"/>
        <w:rPr>
          <w:bCs/>
          <w:color w:val="000000" w:themeColor="text1"/>
        </w:rPr>
      </w:pPr>
    </w:p>
    <w:p w14:paraId="766B3D8C" w14:textId="76935F70" w:rsidR="003B5AA5" w:rsidRPr="0092636B" w:rsidRDefault="003B5AA5" w:rsidP="0092636B">
      <w:pPr>
        <w:pStyle w:val="Default"/>
        <w:spacing w:after="0" w:line="480" w:lineRule="auto"/>
        <w:ind w:right="89"/>
        <w:jc w:val="both"/>
        <w:rPr>
          <w:b/>
          <w:color w:val="000000" w:themeColor="text1"/>
        </w:rPr>
      </w:pPr>
      <w:r w:rsidRPr="0092636B">
        <w:rPr>
          <w:b/>
          <w:bCs/>
          <w:color w:val="000000" w:themeColor="text1"/>
        </w:rPr>
        <w:t>Fig.</w:t>
      </w:r>
      <w:r w:rsidR="00320573" w:rsidRPr="0092636B">
        <w:rPr>
          <w:rFonts w:eastAsia="SimSun"/>
          <w:b/>
          <w:bCs/>
          <w:color w:val="000000" w:themeColor="text1"/>
          <w:lang w:eastAsia="zh-CN"/>
        </w:rPr>
        <w:t>3-</w:t>
      </w:r>
      <w:r w:rsidR="00320573" w:rsidRPr="0092636B">
        <w:rPr>
          <w:b/>
        </w:rPr>
        <w:t xml:space="preserve"> </w:t>
      </w:r>
      <w:r w:rsidR="007565C9">
        <w:rPr>
          <w:b/>
        </w:rPr>
        <w:t>Effects of g</w:t>
      </w:r>
      <w:r w:rsidR="00320573" w:rsidRPr="0092636B">
        <w:rPr>
          <w:b/>
        </w:rPr>
        <w:t xml:space="preserve">reen tea polyphenols (GTP) </w:t>
      </w:r>
      <w:r w:rsidR="007565C9">
        <w:rPr>
          <w:b/>
        </w:rPr>
        <w:t xml:space="preserve">on </w:t>
      </w:r>
      <w:r w:rsidRPr="0092636B">
        <w:rPr>
          <w:b/>
          <w:color w:val="000000" w:themeColor="text1"/>
        </w:rPr>
        <w:t xml:space="preserve">mRNA expression of </w:t>
      </w:r>
      <w:r w:rsidRPr="0092636B">
        <w:rPr>
          <w:b/>
          <w:bCs/>
          <w:i/>
          <w:color w:val="000000" w:themeColor="text1"/>
        </w:rPr>
        <w:t>Ppar</w:t>
      </w:r>
      <w:r w:rsidR="0092636B" w:rsidRPr="0092636B">
        <w:rPr>
          <w:b/>
          <w:color w:val="000000" w:themeColor="text1"/>
          <w:shd w:val="clear" w:color="auto" w:fill="FFFFFF"/>
        </w:rPr>
        <w:t>γ</w:t>
      </w:r>
      <w:r w:rsidRPr="0092636B">
        <w:rPr>
          <w:b/>
          <w:bCs/>
          <w:i/>
          <w:color w:val="000000" w:themeColor="text1"/>
        </w:rPr>
        <w:t xml:space="preserve"> Cebpa and </w:t>
      </w:r>
      <w:r w:rsidRPr="0092636B">
        <w:rPr>
          <w:rFonts w:eastAsia="SimSun"/>
          <w:b/>
          <w:bCs/>
          <w:i/>
          <w:color w:val="000000" w:themeColor="text1"/>
          <w:lang w:val="en-US" w:eastAsia="zh-CN"/>
        </w:rPr>
        <w:t xml:space="preserve">Creb. </w:t>
      </w:r>
      <w:r w:rsidRPr="0092636B">
        <w:rPr>
          <w:b/>
          <w:bCs/>
          <w:color w:val="000000" w:themeColor="text1"/>
        </w:rPr>
        <w:t xml:space="preserve"> </w:t>
      </w:r>
      <w:r w:rsidRPr="0092636B">
        <w:rPr>
          <w:b/>
          <w:color w:val="000000" w:themeColor="text1"/>
        </w:rPr>
        <w:t xml:space="preserve">Gene expression of </w:t>
      </w:r>
      <w:r w:rsidRPr="0092636B">
        <w:rPr>
          <w:b/>
          <w:bCs/>
          <w:i/>
          <w:color w:val="000000" w:themeColor="text1"/>
        </w:rPr>
        <w:t>Ppar</w:t>
      </w:r>
      <w:r w:rsidR="0092636B" w:rsidRPr="0092636B">
        <w:rPr>
          <w:b/>
          <w:color w:val="000000" w:themeColor="text1"/>
          <w:shd w:val="clear" w:color="auto" w:fill="FFFFFF"/>
        </w:rPr>
        <w:t>γ</w:t>
      </w:r>
      <w:r w:rsidRPr="0092636B">
        <w:rPr>
          <w:rFonts w:eastAsia="SimSun"/>
          <w:b/>
          <w:bCs/>
          <w:i/>
          <w:color w:val="000000" w:themeColor="text1"/>
          <w:lang w:eastAsia="zh-CN"/>
        </w:rPr>
        <w:t xml:space="preserve"> </w:t>
      </w:r>
      <w:r w:rsidRPr="0092636B">
        <w:rPr>
          <w:rFonts w:eastAsia="SimSun"/>
          <w:b/>
          <w:color w:val="000000" w:themeColor="text1"/>
          <w:lang w:eastAsia="zh-CN"/>
        </w:rPr>
        <w:t>(A)</w:t>
      </w:r>
      <w:r w:rsidRPr="0092636B">
        <w:rPr>
          <w:rFonts w:eastAsia="SimSun"/>
          <w:b/>
          <w:bCs/>
          <w:i/>
          <w:color w:val="000000" w:themeColor="text1"/>
          <w:lang w:eastAsia="zh-CN"/>
        </w:rPr>
        <w:t xml:space="preserve">, </w:t>
      </w:r>
      <w:r w:rsidRPr="0092636B">
        <w:rPr>
          <w:b/>
          <w:bCs/>
          <w:i/>
          <w:color w:val="000000" w:themeColor="text1"/>
        </w:rPr>
        <w:t>Cebpa</w:t>
      </w:r>
      <w:r w:rsidRPr="0092636B">
        <w:rPr>
          <w:rFonts w:eastAsia="SimSun"/>
          <w:b/>
          <w:bCs/>
          <w:i/>
          <w:color w:val="000000" w:themeColor="text1"/>
          <w:lang w:eastAsia="zh-CN"/>
        </w:rPr>
        <w:t xml:space="preserve"> </w:t>
      </w:r>
      <w:r w:rsidRPr="0092636B">
        <w:rPr>
          <w:rFonts w:eastAsia="SimSun"/>
          <w:b/>
          <w:color w:val="000000" w:themeColor="text1"/>
          <w:lang w:eastAsia="zh-CN"/>
        </w:rPr>
        <w:t xml:space="preserve">(B) </w:t>
      </w:r>
      <w:r w:rsidRPr="0092636B">
        <w:rPr>
          <w:rFonts w:eastAsia="SimSun"/>
          <w:b/>
          <w:bCs/>
          <w:i/>
          <w:color w:val="000000" w:themeColor="text1"/>
          <w:lang w:eastAsia="zh-CN"/>
        </w:rPr>
        <w:t xml:space="preserve">and </w:t>
      </w:r>
      <w:r w:rsidRPr="0092636B">
        <w:rPr>
          <w:b/>
          <w:bCs/>
          <w:i/>
          <w:color w:val="000000" w:themeColor="text1"/>
        </w:rPr>
        <w:t>Creb</w:t>
      </w:r>
      <w:r w:rsidRPr="0092636B">
        <w:rPr>
          <w:b/>
          <w:color w:val="000000" w:themeColor="text1"/>
        </w:rPr>
        <w:t xml:space="preserve"> </w:t>
      </w:r>
      <w:r w:rsidRPr="0092636B">
        <w:rPr>
          <w:rFonts w:eastAsia="SimSun"/>
          <w:b/>
          <w:color w:val="000000" w:themeColor="text1"/>
          <w:lang w:eastAsia="zh-CN"/>
        </w:rPr>
        <w:t xml:space="preserve">(C) </w:t>
      </w:r>
      <w:r w:rsidRPr="0092636B">
        <w:rPr>
          <w:b/>
          <w:color w:val="000000" w:themeColor="text1"/>
        </w:rPr>
        <w:t>were detected by qRT-PCR in the cell cultures with DMEM (control), pioglitazone (Pio, 100 µmol), GTP (1 and 10 μg/mL) and GTP plus Pio for 21 days</w:t>
      </w:r>
      <w:r w:rsidRPr="0092636B">
        <w:rPr>
          <w:b/>
          <w:bCs/>
          <w:color w:val="000000" w:themeColor="text1"/>
        </w:rPr>
        <w:t>. Data from 4 separate experiments are expressed as</w:t>
      </w:r>
      <w:r w:rsidRPr="0092636B">
        <w:rPr>
          <w:rFonts w:eastAsia="SimSun"/>
          <w:b/>
          <w:bCs/>
          <w:color w:val="000000" w:themeColor="text1"/>
          <w:lang w:eastAsia="zh-CN"/>
        </w:rPr>
        <w:t xml:space="preserve"> </w:t>
      </w:r>
      <w:r w:rsidRPr="0092636B">
        <w:rPr>
          <w:b/>
          <w:color w:val="000000" w:themeColor="text1"/>
        </w:rPr>
        <w:t>mean</w:t>
      </w:r>
      <w:r w:rsidR="003151E4" w:rsidRPr="0092636B">
        <w:rPr>
          <w:b/>
          <w:color w:val="000000" w:themeColor="text1"/>
        </w:rPr>
        <w:t>s</w:t>
      </w:r>
      <w:r w:rsidRPr="0092636B">
        <w:rPr>
          <w:b/>
          <w:color w:val="000000" w:themeColor="text1"/>
        </w:rPr>
        <w:t xml:space="preserve"> ± SE.  </w:t>
      </w:r>
      <w:r w:rsidRPr="0092636B">
        <w:rPr>
          <w:b/>
          <w:color w:val="000000" w:themeColor="text1"/>
          <w:vertAlign w:val="superscript"/>
        </w:rPr>
        <w:t>*</w:t>
      </w:r>
      <w:r w:rsidRPr="0092636B">
        <w:rPr>
          <w:b/>
          <w:i/>
          <w:color w:val="000000" w:themeColor="text1"/>
        </w:rPr>
        <w:t xml:space="preserve">P </w:t>
      </w:r>
      <w:r w:rsidRPr="0092636B">
        <w:rPr>
          <w:b/>
          <w:color w:val="000000" w:themeColor="text1"/>
        </w:rPr>
        <w:t xml:space="preserve">&lt;.05 and </w:t>
      </w:r>
      <w:r w:rsidRPr="0092636B">
        <w:rPr>
          <w:b/>
          <w:color w:val="000000" w:themeColor="text1"/>
          <w:vertAlign w:val="superscript"/>
        </w:rPr>
        <w:t>**</w:t>
      </w:r>
      <w:r w:rsidRPr="0092636B">
        <w:rPr>
          <w:b/>
          <w:i/>
          <w:iCs/>
          <w:color w:val="000000" w:themeColor="text1"/>
        </w:rPr>
        <w:t xml:space="preserve">P </w:t>
      </w:r>
      <w:r w:rsidRPr="0092636B">
        <w:rPr>
          <w:b/>
          <w:color w:val="000000" w:themeColor="text1"/>
        </w:rPr>
        <w:t>&lt;</w:t>
      </w:r>
      <w:r w:rsidR="003151E4" w:rsidRPr="0092636B">
        <w:rPr>
          <w:b/>
          <w:color w:val="000000" w:themeColor="text1"/>
        </w:rPr>
        <w:t xml:space="preserve"> </w:t>
      </w:r>
      <w:r w:rsidRPr="0092636B">
        <w:rPr>
          <w:b/>
          <w:color w:val="000000" w:themeColor="text1"/>
        </w:rPr>
        <w:t>.01 GTP and pioglitazone treatments vs. the control.</w:t>
      </w:r>
      <w:r w:rsidRPr="0092636B">
        <w:rPr>
          <w:b/>
          <w:color w:val="000000" w:themeColor="text1"/>
          <w:vertAlign w:val="superscript"/>
        </w:rPr>
        <w:t xml:space="preserve"> #</w:t>
      </w:r>
      <w:r w:rsidRPr="0092636B">
        <w:rPr>
          <w:b/>
          <w:i/>
          <w:iCs/>
          <w:color w:val="000000" w:themeColor="text1"/>
        </w:rPr>
        <w:t xml:space="preserve">P </w:t>
      </w:r>
      <w:r w:rsidRPr="0092636B">
        <w:rPr>
          <w:b/>
          <w:color w:val="000000" w:themeColor="text1"/>
        </w:rPr>
        <w:t>&lt; .05 GTP plus pioglitazone vs. pioglitazone alone.</w:t>
      </w:r>
    </w:p>
    <w:p w14:paraId="0B250EA3" w14:textId="77777777" w:rsidR="007C7A4F" w:rsidRPr="0092636B" w:rsidRDefault="007C7A4F" w:rsidP="009A2024">
      <w:pPr>
        <w:pStyle w:val="Default"/>
        <w:spacing w:after="0" w:line="240" w:lineRule="auto"/>
        <w:ind w:right="89"/>
        <w:jc w:val="both"/>
        <w:rPr>
          <w:color w:val="000000" w:themeColor="text1"/>
        </w:rPr>
      </w:pPr>
    </w:p>
    <w:p w14:paraId="27AF308C" w14:textId="3427C386" w:rsidR="003B5AA5" w:rsidRPr="0092636B" w:rsidRDefault="007C7A4F" w:rsidP="0092636B">
      <w:pPr>
        <w:spacing w:after="0" w:line="480" w:lineRule="auto"/>
        <w:ind w:right="8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3151E4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4-</w:t>
      </w:r>
      <w:r w:rsidR="007565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</w:t>
      </w:r>
      <w:r w:rsidR="009A2024" w:rsidRPr="0092636B">
        <w:rPr>
          <w:rFonts w:ascii="Times New Roman" w:hAnsi="Times New Roman" w:cs="Times New Roman"/>
          <w:b/>
          <w:sz w:val="24"/>
          <w:szCs w:val="24"/>
        </w:rPr>
        <w:t>reen tea polyphenols (GTP)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7565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decrease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calcium contents and ALP activity in mature osteocytes. The quantitative assay of calcium level (A) and ALP activity (B) was performed by an automatic biochemistry ins</w:t>
      </w:r>
      <w:r w:rsidR="007565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trument (ARCHITECT, Japan). D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ata from 4 separate experiments </w:t>
      </w:r>
      <w:r w:rsidR="007565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are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presented as mean</w:t>
      </w:r>
      <w:r w:rsidR="003151E4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± SE. </w:t>
      </w:r>
      <w:r w:rsidR="00B23279"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*</w:t>
      </w:r>
      <w:r w:rsidR="00B23279" w:rsidRPr="0092636B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P </w:t>
      </w:r>
      <w:r w:rsidR="00B23279" w:rsidRPr="0092636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&lt;</w:t>
      </w:r>
      <w:r w:rsidR="008D487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.05 </w:t>
      </w:r>
      <w:r w:rsidR="00B23279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pioglitazone and GTP vs. the control</w:t>
      </w:r>
      <w:r w:rsidR="003151E4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;</w:t>
      </w:r>
      <w:r w:rsidR="00B23279"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B23279"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#</w:t>
      </w:r>
      <w:r w:rsidR="00B23279" w:rsidRPr="0092636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</w:t>
      </w:r>
      <w:r w:rsidR="00B23279" w:rsidRPr="0092636B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 </w:t>
      </w:r>
      <w:r w:rsidR="00B23279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&lt; .05 and </w:t>
      </w:r>
      <w:r w:rsidR="00B23279"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##</w:t>
      </w:r>
      <w:r w:rsidR="00B23279" w:rsidRPr="0092636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</w:t>
      </w:r>
      <w:r w:rsidR="00B23279" w:rsidRPr="0092636B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 </w:t>
      </w:r>
      <w:r w:rsidR="00B23279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&lt; .01 GTP plus pioglitazone vs. pioglitazone treatment alone.</w:t>
      </w:r>
    </w:p>
    <w:p w14:paraId="0FE0B5B2" w14:textId="77777777" w:rsidR="003151E4" w:rsidRPr="0092636B" w:rsidRDefault="003151E4" w:rsidP="009A2024">
      <w:pPr>
        <w:pStyle w:val="Default"/>
        <w:spacing w:after="0" w:line="240" w:lineRule="auto"/>
        <w:ind w:right="89"/>
        <w:jc w:val="both"/>
        <w:rPr>
          <w:bCs/>
          <w:color w:val="000000" w:themeColor="text1"/>
        </w:rPr>
      </w:pPr>
    </w:p>
    <w:p w14:paraId="50C4E46E" w14:textId="6E653C98" w:rsidR="003E77A9" w:rsidRPr="0092636B" w:rsidRDefault="003E77A9" w:rsidP="0092636B">
      <w:pPr>
        <w:pStyle w:val="Default"/>
        <w:spacing w:after="0" w:line="480" w:lineRule="auto"/>
        <w:ind w:right="89"/>
        <w:jc w:val="both"/>
        <w:rPr>
          <w:b/>
          <w:color w:val="000000" w:themeColor="text1"/>
        </w:rPr>
      </w:pPr>
      <w:r w:rsidRPr="0092636B">
        <w:rPr>
          <w:b/>
          <w:bCs/>
          <w:color w:val="000000" w:themeColor="text1"/>
        </w:rPr>
        <w:t>Fig.</w:t>
      </w:r>
      <w:r w:rsidR="003151E4" w:rsidRPr="0092636B">
        <w:rPr>
          <w:b/>
          <w:bCs/>
          <w:color w:val="000000" w:themeColor="text1"/>
        </w:rPr>
        <w:t>5-</w:t>
      </w:r>
      <w:r w:rsidR="009A2024" w:rsidRPr="0092636B">
        <w:rPr>
          <w:b/>
        </w:rPr>
        <w:t>Green tea polyphenols (GTP)</w:t>
      </w:r>
      <w:r w:rsidRPr="0092636B">
        <w:rPr>
          <w:b/>
          <w:bCs/>
          <w:color w:val="000000" w:themeColor="text1"/>
        </w:rPr>
        <w:t xml:space="preserve"> </w:t>
      </w:r>
      <w:r w:rsidR="009A2024" w:rsidRPr="0092636B">
        <w:rPr>
          <w:b/>
          <w:color w:val="000000" w:themeColor="text1"/>
        </w:rPr>
        <w:t>enhance</w:t>
      </w:r>
      <w:r w:rsidRPr="0092636B">
        <w:rPr>
          <w:b/>
          <w:bCs/>
          <w:color w:val="000000" w:themeColor="text1"/>
        </w:rPr>
        <w:t xml:space="preserve"> Runx2 expression during </w:t>
      </w:r>
      <w:r w:rsidR="009A2024" w:rsidRPr="0092636B">
        <w:rPr>
          <w:b/>
          <w:bCs/>
          <w:color w:val="000000" w:themeColor="text1"/>
        </w:rPr>
        <w:t>h</w:t>
      </w:r>
      <w:r w:rsidRPr="0092636B">
        <w:rPr>
          <w:b/>
          <w:bCs/>
          <w:color w:val="000000" w:themeColor="text1"/>
        </w:rPr>
        <w:t>ADSCs towards oestrogenic differentiation. Images of immunofluorescence staining</w:t>
      </w:r>
      <w:r w:rsidRPr="0092636B">
        <w:rPr>
          <w:rFonts w:eastAsia="SimSun"/>
          <w:b/>
          <w:bCs/>
          <w:color w:val="000000" w:themeColor="text1"/>
        </w:rPr>
        <w:t xml:space="preserve"> (A) showed Runx2 </w:t>
      </w:r>
      <w:r w:rsidRPr="0092636B">
        <w:rPr>
          <w:b/>
          <w:bCs/>
          <w:iCs/>
          <w:color w:val="000000" w:themeColor="text1"/>
        </w:rPr>
        <w:t xml:space="preserve">protein </w:t>
      </w:r>
      <w:r w:rsidRPr="0092636B">
        <w:rPr>
          <w:rFonts w:eastAsia="SimSun"/>
          <w:b/>
          <w:bCs/>
          <w:color w:val="000000" w:themeColor="text1"/>
        </w:rPr>
        <w:t xml:space="preserve">contents stained as green colour in </w:t>
      </w:r>
      <w:r w:rsidR="009A2024" w:rsidRPr="0092636B">
        <w:rPr>
          <w:rFonts w:eastAsia="SimSun"/>
          <w:b/>
          <w:bCs/>
          <w:color w:val="000000" w:themeColor="text1"/>
        </w:rPr>
        <w:t xml:space="preserve">the </w:t>
      </w:r>
      <w:r w:rsidRPr="0092636B">
        <w:rPr>
          <w:rFonts w:eastAsia="SimSun"/>
          <w:b/>
          <w:bCs/>
          <w:color w:val="000000" w:themeColor="text1"/>
        </w:rPr>
        <w:t>cells</w:t>
      </w:r>
      <w:r w:rsidRPr="0092636B">
        <w:rPr>
          <w:b/>
          <w:color w:val="000000" w:themeColor="text1"/>
        </w:rPr>
        <w:t xml:space="preserve"> </w:t>
      </w:r>
      <w:r w:rsidR="009A2024" w:rsidRPr="0092636B">
        <w:rPr>
          <w:b/>
          <w:color w:val="000000" w:themeColor="text1"/>
        </w:rPr>
        <w:t>treated</w:t>
      </w:r>
      <w:r w:rsidRPr="0092636B">
        <w:rPr>
          <w:b/>
          <w:color w:val="000000" w:themeColor="text1"/>
        </w:rPr>
        <w:t xml:space="preserve"> wi</w:t>
      </w:r>
      <w:r w:rsidR="008D4870">
        <w:rPr>
          <w:b/>
          <w:color w:val="000000" w:themeColor="text1"/>
        </w:rPr>
        <w:t>th pioglitazone (Pio, 100 µmol</w:t>
      </w:r>
      <w:r w:rsidRPr="0092636B">
        <w:rPr>
          <w:b/>
          <w:color w:val="000000" w:themeColor="text1"/>
        </w:rPr>
        <w:t xml:space="preserve">), 1 and 10 μg/mL of </w:t>
      </w:r>
      <w:r w:rsidRPr="0092636B">
        <w:rPr>
          <w:rFonts w:eastAsia="SimSun"/>
          <w:b/>
          <w:bCs/>
          <w:color w:val="000000" w:themeColor="text1"/>
        </w:rPr>
        <w:t xml:space="preserve">GTP  and  the combination of GTP and </w:t>
      </w:r>
      <w:r w:rsidRPr="0092636B">
        <w:rPr>
          <w:b/>
          <w:color w:val="000000" w:themeColor="text1"/>
        </w:rPr>
        <w:t>pioglitazone</w:t>
      </w:r>
      <w:r w:rsidRPr="0092636B">
        <w:rPr>
          <w:rFonts w:eastAsia="SimSun"/>
          <w:b/>
          <w:bCs/>
          <w:color w:val="000000" w:themeColor="text1"/>
        </w:rPr>
        <w:t xml:space="preserve">. Quantitative data (B) from 4 separate experiments are expressed as </w:t>
      </w:r>
      <w:r w:rsidRPr="0092636B">
        <w:rPr>
          <w:b/>
          <w:color w:val="000000" w:themeColor="text1"/>
        </w:rPr>
        <w:t>mean</w:t>
      </w:r>
      <w:r w:rsidR="009A2024" w:rsidRPr="0092636B">
        <w:rPr>
          <w:b/>
          <w:color w:val="000000" w:themeColor="text1"/>
        </w:rPr>
        <w:t>s</w:t>
      </w:r>
      <w:r w:rsidRPr="0092636B">
        <w:rPr>
          <w:b/>
          <w:color w:val="000000" w:themeColor="text1"/>
        </w:rPr>
        <w:t xml:space="preserve"> ± SE.  </w:t>
      </w:r>
      <w:r w:rsidRPr="0092636B">
        <w:rPr>
          <w:b/>
          <w:color w:val="000000" w:themeColor="text1"/>
          <w:vertAlign w:val="superscript"/>
        </w:rPr>
        <w:t>**</w:t>
      </w:r>
      <w:r w:rsidRPr="0092636B">
        <w:rPr>
          <w:b/>
          <w:i/>
          <w:color w:val="000000" w:themeColor="text1"/>
        </w:rPr>
        <w:t xml:space="preserve">P </w:t>
      </w:r>
      <w:r w:rsidRPr="0092636B">
        <w:rPr>
          <w:b/>
          <w:color w:val="000000" w:themeColor="text1"/>
        </w:rPr>
        <w:t xml:space="preserve">&lt; .01 and </w:t>
      </w:r>
      <w:r w:rsidRPr="0092636B">
        <w:rPr>
          <w:b/>
          <w:color w:val="000000" w:themeColor="text1"/>
          <w:vertAlign w:val="superscript"/>
        </w:rPr>
        <w:t>***</w:t>
      </w:r>
      <w:r w:rsidRPr="0092636B">
        <w:rPr>
          <w:b/>
          <w:i/>
          <w:iCs/>
          <w:color w:val="000000" w:themeColor="text1"/>
        </w:rPr>
        <w:t xml:space="preserve">P </w:t>
      </w:r>
      <w:r w:rsidRPr="0092636B">
        <w:rPr>
          <w:b/>
          <w:color w:val="000000" w:themeColor="text1"/>
        </w:rPr>
        <w:t>&lt; .001 GTP treatments vs. the control.</w:t>
      </w:r>
    </w:p>
    <w:p w14:paraId="2C7C2FF2" w14:textId="77777777" w:rsidR="007110C8" w:rsidRPr="0092636B" w:rsidRDefault="007110C8" w:rsidP="009A2024">
      <w:pPr>
        <w:pStyle w:val="Default"/>
        <w:spacing w:after="0" w:line="240" w:lineRule="auto"/>
        <w:ind w:right="89"/>
        <w:jc w:val="both"/>
        <w:rPr>
          <w:color w:val="000000" w:themeColor="text1"/>
        </w:rPr>
      </w:pPr>
    </w:p>
    <w:p w14:paraId="3348248A" w14:textId="660972D6" w:rsidR="007110C8" w:rsidRPr="0092636B" w:rsidRDefault="007110C8" w:rsidP="0092636B">
      <w:pPr>
        <w:autoSpaceDE w:val="0"/>
        <w:autoSpaceDN w:val="0"/>
        <w:adjustRightInd w:val="0"/>
        <w:spacing w:after="0" w:line="480" w:lineRule="auto"/>
        <w:ind w:right="439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3151E4" w:rsidRPr="0092636B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>6</w:t>
      </w:r>
      <w:r w:rsidR="009A2024" w:rsidRPr="0092636B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>-</w:t>
      </w:r>
      <w:r w:rsidR="009A2024"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</w:t>
      </w:r>
      <w:r w:rsidR="009A2024" w:rsidRPr="0092636B">
        <w:rPr>
          <w:rFonts w:ascii="Times New Roman" w:hAnsi="Times New Roman" w:cs="Times New Roman"/>
          <w:b/>
          <w:sz w:val="24"/>
          <w:szCs w:val="24"/>
        </w:rPr>
        <w:t>reen tea polyphenols (GTP)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9A2024"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upregulate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mRNA expression of</w:t>
      </w:r>
      <w:r w:rsidRPr="0092636B">
        <w:rPr>
          <w:rFonts w:ascii="Times New Roman" w:eastAsia="SimSun" w:hAnsi="Times New Roman" w:cs="Times New Roman"/>
          <w:b/>
          <w:bCs/>
          <w:i/>
          <w:color w:val="000000" w:themeColor="text1"/>
          <w:sz w:val="24"/>
          <w:szCs w:val="24"/>
        </w:rPr>
        <w:t xml:space="preserve"> Runx2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</w:t>
      </w:r>
      <w:r w:rsidRPr="0092636B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Bmp2 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 mature osteocytes.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Gene expression of </w:t>
      </w:r>
      <w:r w:rsidRPr="0092636B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Runx2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2636B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 xml:space="preserve">(A) </w:t>
      </w:r>
      <w:r w:rsidRPr="0092636B">
        <w:rPr>
          <w:rFonts w:ascii="Times New Roman" w:eastAsia="SimSun" w:hAnsi="Times New Roman" w:cs="Times New Roman"/>
          <w:b/>
          <w:bCs/>
          <w:i/>
          <w:color w:val="000000" w:themeColor="text1"/>
          <w:sz w:val="24"/>
          <w:szCs w:val="24"/>
        </w:rPr>
        <w:t xml:space="preserve">and </w:t>
      </w:r>
      <w:r w:rsidRPr="0092636B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Bmp2</w:t>
      </w:r>
      <w:r w:rsidRPr="0092636B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 xml:space="preserve"> (B)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analysed with qRT-PCR in the cell underwent 14 days of oestrogenic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induction</w:t>
      </w:r>
      <w:r w:rsidR="009A2024"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with variety of treatments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Data from 4 separate experiments are expressed as</w:t>
      </w:r>
      <w:r w:rsidRPr="0092636B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mean</w:t>
      </w:r>
      <w:r w:rsidR="0092636B"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± SE.  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*</w:t>
      </w:r>
      <w:r w:rsidRPr="0092636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P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&lt; .05 and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**</w:t>
      </w:r>
      <w:r w:rsidRPr="0092636B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P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&lt; .01 </w:t>
      </w:r>
      <w:bookmarkStart w:id="1" w:name="_GoBack"/>
      <w:bookmarkEnd w:id="1"/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GTP treatments vs. the control. </w:t>
      </w:r>
      <w:r w:rsidRPr="00926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#</w:t>
      </w:r>
      <w:r w:rsidRPr="0092636B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P </w:t>
      </w:r>
      <w:r w:rsidRPr="009263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&lt; .05 GTP plus pioglitazone vs. pioglitazone alone.</w:t>
      </w:r>
    </w:p>
    <w:p w14:paraId="71AEA2DD" w14:textId="77777777" w:rsidR="007110C8" w:rsidRPr="0092636B" w:rsidRDefault="007110C8" w:rsidP="009A2024">
      <w:pPr>
        <w:pStyle w:val="Default"/>
        <w:spacing w:after="0" w:line="240" w:lineRule="auto"/>
        <w:ind w:right="720"/>
        <w:jc w:val="both"/>
        <w:rPr>
          <w:bCs/>
          <w:color w:val="000000" w:themeColor="text1"/>
        </w:rPr>
      </w:pPr>
    </w:p>
    <w:p w14:paraId="53AAE53B" w14:textId="77777777" w:rsidR="003E77A9" w:rsidRPr="0092636B" w:rsidRDefault="003E77A9" w:rsidP="0072477F">
      <w:pPr>
        <w:pStyle w:val="Default"/>
        <w:spacing w:after="0" w:line="480" w:lineRule="auto"/>
        <w:ind w:right="720"/>
        <w:jc w:val="both"/>
        <w:rPr>
          <w:bCs/>
          <w:color w:val="000000" w:themeColor="text1"/>
        </w:rPr>
      </w:pPr>
    </w:p>
    <w:p w14:paraId="5E28E678" w14:textId="77777777" w:rsidR="003E77A9" w:rsidRPr="0092636B" w:rsidRDefault="003E77A9" w:rsidP="0072477F">
      <w:pPr>
        <w:spacing w:after="0" w:line="480" w:lineRule="auto"/>
        <w:ind w:right="544"/>
        <w:jc w:val="both"/>
        <w:rPr>
          <w:rFonts w:ascii="Times New Roman" w:hAnsi="Times New Roman" w:cs="Times New Roman"/>
          <w:sz w:val="24"/>
          <w:szCs w:val="24"/>
        </w:rPr>
      </w:pPr>
    </w:p>
    <w:sectPr w:rsidR="003E77A9" w:rsidRPr="0092636B" w:rsidSect="003151E4">
      <w:footerReference w:type="default" r:id="rId9"/>
      <w:pgSz w:w="11900" w:h="16840" w:code="9"/>
      <w:pgMar w:top="1418" w:right="1440" w:bottom="1418" w:left="1440" w:header="851" w:footer="992" w:gutter="0"/>
      <w:cols w:space="708"/>
      <w:docGrid w:type="linesAndChars" w:linePitch="423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348BBB" w14:textId="77777777" w:rsidR="009A2024" w:rsidRDefault="009A2024" w:rsidP="009A2024">
      <w:pPr>
        <w:spacing w:after="0" w:line="240" w:lineRule="auto"/>
      </w:pPr>
      <w:r>
        <w:separator/>
      </w:r>
    </w:p>
  </w:endnote>
  <w:endnote w:type="continuationSeparator" w:id="0">
    <w:p w14:paraId="6F81BBBB" w14:textId="77777777" w:rsidR="009A2024" w:rsidRDefault="009A2024" w:rsidP="009A2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180036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8FB869" w14:textId="5B4A2708" w:rsidR="009A2024" w:rsidRDefault="009A202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487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EABA918" w14:textId="77777777" w:rsidR="009A2024" w:rsidRDefault="009A20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05C029" w14:textId="77777777" w:rsidR="009A2024" w:rsidRDefault="009A2024" w:rsidP="009A2024">
      <w:pPr>
        <w:spacing w:after="0" w:line="240" w:lineRule="auto"/>
      </w:pPr>
      <w:r>
        <w:separator/>
      </w:r>
    </w:p>
  </w:footnote>
  <w:footnote w:type="continuationSeparator" w:id="0">
    <w:p w14:paraId="18FD1C93" w14:textId="77777777" w:rsidR="009A2024" w:rsidRDefault="009A2024" w:rsidP="009A20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rawingGridVerticalSpacing w:val="423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EFD"/>
    <w:rsid w:val="00136E21"/>
    <w:rsid w:val="001D429C"/>
    <w:rsid w:val="003151E4"/>
    <w:rsid w:val="00320573"/>
    <w:rsid w:val="003B5AA5"/>
    <w:rsid w:val="003E77A9"/>
    <w:rsid w:val="005F2A57"/>
    <w:rsid w:val="006D4D90"/>
    <w:rsid w:val="007110C8"/>
    <w:rsid w:val="0072477F"/>
    <w:rsid w:val="0073051D"/>
    <w:rsid w:val="007565C9"/>
    <w:rsid w:val="007C7A4F"/>
    <w:rsid w:val="00842EFD"/>
    <w:rsid w:val="00861EE1"/>
    <w:rsid w:val="008D4870"/>
    <w:rsid w:val="0092636B"/>
    <w:rsid w:val="009A2024"/>
    <w:rsid w:val="00B23279"/>
    <w:rsid w:val="00B4067E"/>
    <w:rsid w:val="00B7685A"/>
    <w:rsid w:val="00BA1B6F"/>
    <w:rsid w:val="00BF0733"/>
    <w:rsid w:val="00E5171C"/>
    <w:rsid w:val="00FE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9EC"/>
  <w15:chartTrackingRefBased/>
  <w15:docId w15:val="{087BE830-9251-4827-95A0-CCF3C9FFA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3B5AA5"/>
    <w:pPr>
      <w:autoSpaceDE w:val="0"/>
      <w:autoSpaceDN w:val="0"/>
      <w:adjustRightInd w:val="0"/>
      <w:spacing w:after="200" w:line="276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9A20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024"/>
  </w:style>
  <w:style w:type="paragraph" w:styleId="Footer">
    <w:name w:val="footer"/>
    <w:basedOn w:val="Normal"/>
    <w:link w:val="FooterChar"/>
    <w:uiPriority w:val="99"/>
    <w:unhideWhenUsed/>
    <w:rsid w:val="009A20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0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A1561C7AC61740AC0C42373ECAF626" ma:contentTypeVersion="15" ma:contentTypeDescription="Create a new document." ma:contentTypeScope="" ma:versionID="2995f01afee277a5d3e70b97adef4d2a">
  <xsd:schema xmlns:xsd="http://www.w3.org/2001/XMLSchema" xmlns:xs="http://www.w3.org/2001/XMLSchema" xmlns:p="http://schemas.microsoft.com/office/2006/metadata/properties" xmlns:ns1="http://schemas.microsoft.com/sharepoint/v3" xmlns:ns3="0fb774b7-0571-4e61-9f02-9eb8691563b7" xmlns:ns4="4a3a446d-7f3a-4d3c-9240-ab7cb2625859" targetNamespace="http://schemas.microsoft.com/office/2006/metadata/properties" ma:root="true" ma:fieldsID="73c8687d434086f82187f4395ab2360c" ns1:_="" ns3:_="" ns4:_="">
    <xsd:import namespace="http://schemas.microsoft.com/sharepoint/v3"/>
    <xsd:import namespace="0fb774b7-0571-4e61-9f02-9eb8691563b7"/>
    <xsd:import namespace="4a3a446d-7f3a-4d3c-9240-ab7cb26258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774b7-0571-4e61-9f02-9eb8691563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a446d-7f3a-4d3c-9240-ab7cb262585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D3CD9F5-6368-47A3-9792-43276A75C0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fb774b7-0571-4e61-9f02-9eb8691563b7"/>
    <ds:schemaRef ds:uri="4a3a446d-7f3a-4d3c-9240-ab7cb26258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2DB19F-5BDB-4EB3-960C-EC7BE6CAF2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6AA0C4-6D2E-4A1F-87D5-CF0D8C05BE15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4a3a446d-7f3a-4d3c-9240-ab7cb2625859"/>
    <ds:schemaRef ds:uri="0fb774b7-0571-4e61-9f02-9eb8691563b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Tan</dc:creator>
  <cp:keywords/>
  <dc:description/>
  <cp:lastModifiedBy>Xianqin Qu</cp:lastModifiedBy>
  <cp:revision>2</cp:revision>
  <dcterms:created xsi:type="dcterms:W3CDTF">2020-06-11T00:15:00Z</dcterms:created>
  <dcterms:modified xsi:type="dcterms:W3CDTF">2020-06-11T00:15:00Z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0x010100EAA1561C7AC61740AC0C42373ECAF626</vt:lpwstr>
  </property>
</Properties>
</file>