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49" w:rsidRPr="00846B49" w:rsidRDefault="00846B49" w:rsidP="00846B49">
      <w:pPr>
        <w:spacing w:after="120" w:line="48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Appendix </w:t>
      </w:r>
      <w:r w:rsidRPr="00846B49">
        <w:rPr>
          <w:rFonts w:ascii="Times New Roman" w:eastAsia="Times New Roman" w:hAnsi="Times New Roman" w:cs="Times New Roman"/>
          <w:b/>
          <w:sz w:val="24"/>
          <w:szCs w:val="24"/>
          <w:lang w:val="en-US"/>
        </w:rPr>
        <w:t>A4. Alternative econometric specification</w:t>
      </w:r>
    </w:p>
    <w:p w:rsidR="00846B49" w:rsidRDefault="00846B49" w:rsidP="00846B49">
      <w:pPr>
        <w:spacing w:after="120" w:line="480" w:lineRule="auto"/>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 xml:space="preserve">We tested an alternative econometric </w:t>
      </w:r>
      <w:proofErr w:type="gramStart"/>
      <w:r w:rsidRPr="00192088">
        <w:rPr>
          <w:rFonts w:ascii="Times New Roman" w:eastAsia="Times New Roman" w:hAnsi="Times New Roman" w:cs="Times New Roman"/>
          <w:sz w:val="24"/>
          <w:szCs w:val="24"/>
          <w:lang w:val="en-US"/>
        </w:rPr>
        <w:t>specification which</w:t>
      </w:r>
      <w:proofErr w:type="gramEnd"/>
      <w:r w:rsidRPr="00192088">
        <w:rPr>
          <w:rFonts w:ascii="Times New Roman" w:eastAsia="Times New Roman" w:hAnsi="Times New Roman" w:cs="Times New Roman"/>
          <w:sz w:val="24"/>
          <w:szCs w:val="24"/>
          <w:lang w:val="en-US"/>
        </w:rPr>
        <w:t xml:space="preserve"> does not assume linearity in the effect of the Price, Sensitivity and Specificity attributes. The alternative model lead to qualitatively similar results without significantly outperforming the model presented in the main paper (Likelihood Ratio - test</w:t>
      </w:r>
      <w:proofErr w:type="gramStart"/>
      <w:r w:rsidRPr="00192088">
        <w:rPr>
          <w:rFonts w:ascii="Times New Roman" w:eastAsia="Times New Roman" w:hAnsi="Times New Roman" w:cs="Times New Roman"/>
          <w:sz w:val="24"/>
          <w:szCs w:val="24"/>
          <w:lang w:val="en-US"/>
        </w:rPr>
        <w:t xml:space="preserve">: </w:t>
      </w:r>
      <w:proofErr w:type="gramEnd"/>
      <m:oMath>
        <m:r>
          <w:rPr>
            <w:rFonts w:ascii="Cambria Math" w:eastAsia="Times New Roman" w:hAnsi="Cambria Math" w:cs="Times New Roman"/>
            <w:sz w:val="24"/>
            <w:szCs w:val="24"/>
            <w:lang w:val="en-US"/>
          </w:rPr>
          <m:t xml:space="preserve"> </m:t>
        </m:r>
        <m:acc>
          <m:accPr>
            <m:ctrlPr>
              <w:rPr>
                <w:rFonts w:ascii="Cambria Math" w:eastAsia="Times New Roman" w:hAnsi="Cambria Math" w:cs="Times New Roman"/>
                <w:i/>
                <w:sz w:val="24"/>
                <w:szCs w:val="24"/>
                <w:lang w:val="en-US"/>
              </w:rPr>
            </m:ctrlPr>
          </m:accPr>
          <m:e>
            <m:r>
              <w:rPr>
                <w:rFonts w:ascii="Cambria Math" w:eastAsia="Times New Roman" w:hAnsi="Cambria Math" w:cs="Times New Roman"/>
                <w:sz w:val="24"/>
                <w:szCs w:val="24"/>
                <w:lang w:val="en-US"/>
              </w:rPr>
              <m:t>χ</m:t>
            </m:r>
          </m:e>
        </m:acc>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6</m:t>
            </m:r>
          </m:e>
        </m:d>
        <m:r>
          <w:rPr>
            <w:rFonts w:ascii="Cambria Math" w:eastAsia="Times New Roman" w:hAnsi="Cambria Math" w:cs="Times New Roman"/>
            <w:sz w:val="24"/>
            <w:szCs w:val="24"/>
            <w:lang w:val="en-US"/>
          </w:rPr>
          <m:t>=7.92, p=0.244</m:t>
        </m:r>
      </m:oMath>
      <w:r w:rsidRPr="00192088">
        <w:rPr>
          <w:rFonts w:ascii="Times New Roman" w:eastAsia="Times New Roman" w:hAnsi="Times New Roman" w:cs="Times New Roman"/>
          <w:sz w:val="24"/>
          <w:szCs w:val="24"/>
          <w:lang w:val="en-US"/>
        </w:rPr>
        <w:t>).</w:t>
      </w:r>
    </w:p>
    <w:p w:rsidR="00846B49" w:rsidRPr="00846B49" w:rsidRDefault="00846B49" w:rsidP="00846B49">
      <w:pPr>
        <w:spacing w:after="120" w:line="480" w:lineRule="auto"/>
        <w:jc w:val="both"/>
        <w:rPr>
          <w:rFonts w:ascii="Times New Roman" w:eastAsia="Times New Roman" w:hAnsi="Times New Roman" w:cs="Times New Roman"/>
          <w:b/>
          <w:sz w:val="24"/>
          <w:szCs w:val="24"/>
          <w:lang w:val="en-US"/>
        </w:rPr>
      </w:pPr>
      <w:r w:rsidRPr="00846B49">
        <w:rPr>
          <w:rFonts w:ascii="Times New Roman" w:eastAsia="Times New Roman" w:hAnsi="Times New Roman" w:cs="Times New Roman"/>
          <w:b/>
          <w:sz w:val="24"/>
          <w:szCs w:val="24"/>
          <w:lang w:val="en-US"/>
        </w:rPr>
        <w:t>Table A2. Alternative model without linearity assumption in the Price, Sensitivity and Specificity attributes</w:t>
      </w:r>
    </w:p>
    <w:tbl>
      <w:tblPr>
        <w:tblStyle w:val="Grilledutableau"/>
        <w:tblW w:w="9493" w:type="dxa"/>
        <w:tblLook w:val="04A0" w:firstRow="1" w:lastRow="0" w:firstColumn="1" w:lastColumn="0" w:noHBand="0" w:noVBand="1"/>
      </w:tblPr>
      <w:tblGrid>
        <w:gridCol w:w="3823"/>
        <w:gridCol w:w="2551"/>
        <w:gridCol w:w="3119"/>
      </w:tblGrid>
      <w:tr w:rsidR="00846B49" w:rsidRPr="00192088" w:rsidTr="006F6198">
        <w:tc>
          <w:tcPr>
            <w:tcW w:w="3823" w:type="dxa"/>
          </w:tcPr>
          <w:p w:rsidR="00846B49" w:rsidRPr="00192088" w:rsidRDefault="00846B49" w:rsidP="00846B49">
            <w:pPr>
              <w:spacing w:after="12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Direct effect</w:t>
            </w: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Interaction with Curability</w:t>
            </w:r>
          </w:p>
        </w:tc>
      </w:tr>
      <w:tr w:rsidR="00846B49" w:rsidRPr="00192088" w:rsidTr="006F6198">
        <w:trPr>
          <w:trHeight w:val="240"/>
        </w:trPr>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b/>
                <w:bCs/>
                <w:sz w:val="24"/>
                <w:szCs w:val="24"/>
                <w:lang w:val="en-US"/>
              </w:rPr>
            </w:pPr>
            <w:r w:rsidRPr="00192088">
              <w:rPr>
                <w:rFonts w:ascii="Times New Roman" w:eastAsia="Times New Roman" w:hAnsi="Times New Roman" w:cs="Times New Roman"/>
                <w:b/>
                <w:bCs/>
                <w:sz w:val="24"/>
                <w:szCs w:val="24"/>
                <w:lang w:val="en-US"/>
              </w:rPr>
              <w:t>Test Type (Ref= Biological)</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b/>
                <w:bCs/>
                <w:sz w:val="24"/>
                <w:szCs w:val="24"/>
                <w:lang w:val="en-US"/>
              </w:rPr>
            </w:pP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b/>
                <w:bCs/>
                <w:sz w:val="24"/>
                <w:szCs w:val="24"/>
                <w:lang w:val="en-US"/>
              </w:rPr>
            </w:pPr>
          </w:p>
        </w:tc>
      </w:tr>
      <w:tr w:rsidR="00846B49" w:rsidRPr="00192088" w:rsidTr="006F6198">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AI</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-0.493***</w:t>
            </w:r>
            <w:r w:rsidRPr="00192088">
              <w:rPr>
                <w:rFonts w:ascii="Times New Roman" w:eastAsia="Times New Roman" w:hAnsi="Times New Roman" w:cs="Times New Roman"/>
                <w:sz w:val="24"/>
                <w:szCs w:val="24"/>
                <w:lang w:val="en-US"/>
              </w:rPr>
              <w:br/>
              <w:t>(0.127)</w:t>
            </w: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-0. 002</w:t>
            </w:r>
            <w:r w:rsidRPr="00192088">
              <w:rPr>
                <w:rFonts w:ascii="Times New Roman" w:eastAsia="Times New Roman" w:hAnsi="Times New Roman" w:cs="Times New Roman"/>
                <w:sz w:val="24"/>
                <w:szCs w:val="24"/>
                <w:lang w:val="en-US"/>
              </w:rPr>
              <w:br/>
              <w:t>(0.135)</w:t>
            </w:r>
          </w:p>
        </w:tc>
      </w:tr>
      <w:tr w:rsidR="00846B49" w:rsidRPr="00192088" w:rsidTr="006F6198">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AI+</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-0.854***</w:t>
            </w:r>
            <w:r w:rsidRPr="00192088">
              <w:rPr>
                <w:rFonts w:ascii="Times New Roman" w:eastAsia="Times New Roman" w:hAnsi="Times New Roman" w:cs="Times New Roman"/>
                <w:sz w:val="24"/>
                <w:szCs w:val="24"/>
                <w:lang w:val="en-US"/>
              </w:rPr>
              <w:br/>
              <w:t>(0.187)</w:t>
            </w: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 xml:space="preserve">0.014 </w:t>
            </w:r>
            <w:r w:rsidRPr="00192088">
              <w:rPr>
                <w:rFonts w:ascii="Times New Roman" w:eastAsia="Times New Roman" w:hAnsi="Times New Roman" w:cs="Times New Roman"/>
                <w:sz w:val="24"/>
                <w:szCs w:val="24"/>
                <w:lang w:val="en-US"/>
              </w:rPr>
              <w:br/>
              <w:t>(0.152)</w:t>
            </w:r>
          </w:p>
        </w:tc>
      </w:tr>
      <w:tr w:rsidR="00846B49" w:rsidRPr="002D5733" w:rsidTr="006F6198">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b/>
                <w:bCs/>
                <w:sz w:val="24"/>
                <w:szCs w:val="24"/>
                <w:lang w:val="en-US"/>
              </w:rPr>
            </w:pPr>
            <w:r w:rsidRPr="00192088">
              <w:rPr>
                <w:rFonts w:ascii="Times New Roman" w:eastAsia="Times New Roman" w:hAnsi="Times New Roman" w:cs="Times New Roman"/>
                <w:b/>
                <w:bCs/>
                <w:sz w:val="24"/>
                <w:szCs w:val="24"/>
                <w:lang w:val="en-US"/>
              </w:rPr>
              <w:t>Test reading (Ref= Family Doctor)</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b/>
                <w:bCs/>
                <w:sz w:val="24"/>
                <w:szCs w:val="24"/>
                <w:lang w:val="en-US"/>
              </w:rPr>
            </w:pP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b/>
                <w:bCs/>
                <w:sz w:val="24"/>
                <w:szCs w:val="24"/>
                <w:lang w:val="en-US"/>
              </w:rPr>
            </w:pPr>
          </w:p>
        </w:tc>
      </w:tr>
      <w:tr w:rsidR="00846B49" w:rsidRPr="00192088" w:rsidTr="006F6198">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Self</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-0.588***</w:t>
            </w:r>
            <w:r w:rsidRPr="00192088">
              <w:rPr>
                <w:rFonts w:ascii="Times New Roman" w:eastAsia="Times New Roman" w:hAnsi="Times New Roman" w:cs="Times New Roman"/>
                <w:sz w:val="24"/>
                <w:szCs w:val="24"/>
                <w:lang w:val="en-US"/>
              </w:rPr>
              <w:br/>
              <w:t>(0.120)</w:t>
            </w: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-0.188</w:t>
            </w:r>
            <w:r w:rsidRPr="00192088">
              <w:rPr>
                <w:rFonts w:ascii="Times New Roman" w:hAnsi="Times New Roman" w:cs="Times New Roman"/>
                <w:sz w:val="24"/>
                <w:szCs w:val="24"/>
              </w:rPr>
              <w:br/>
              <w:t>(0.166)</w:t>
            </w:r>
          </w:p>
        </w:tc>
      </w:tr>
      <w:tr w:rsidR="00846B49" w:rsidRPr="00192088" w:rsidTr="006F6198">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NHI</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-0.614***</w:t>
            </w:r>
            <w:r w:rsidRPr="00192088">
              <w:rPr>
                <w:rFonts w:ascii="Times New Roman" w:eastAsia="Times New Roman" w:hAnsi="Times New Roman" w:cs="Times New Roman"/>
                <w:sz w:val="24"/>
                <w:szCs w:val="24"/>
                <w:lang w:val="en-US"/>
              </w:rPr>
              <w:br/>
              <w:t>(0.130)</w:t>
            </w: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b/>
                <w:bCs/>
                <w:sz w:val="24"/>
                <w:szCs w:val="24"/>
                <w:lang w:val="en-US"/>
              </w:rPr>
            </w:pPr>
            <w:r w:rsidRPr="00192088">
              <w:rPr>
                <w:rFonts w:ascii="Times New Roman" w:eastAsia="Times New Roman" w:hAnsi="Times New Roman" w:cs="Times New Roman"/>
                <w:sz w:val="24"/>
                <w:szCs w:val="24"/>
                <w:lang w:val="en-US"/>
              </w:rPr>
              <w:t>-0.086</w:t>
            </w:r>
            <w:r w:rsidRPr="00192088">
              <w:rPr>
                <w:rFonts w:ascii="Times New Roman" w:hAnsi="Times New Roman" w:cs="Times New Roman"/>
                <w:b/>
                <w:bCs/>
                <w:sz w:val="24"/>
                <w:szCs w:val="24"/>
              </w:rPr>
              <w:br/>
            </w:r>
            <w:r w:rsidRPr="00192088">
              <w:rPr>
                <w:rFonts w:ascii="Times New Roman" w:eastAsia="Times New Roman" w:hAnsi="Times New Roman" w:cs="Times New Roman"/>
                <w:sz w:val="24"/>
                <w:szCs w:val="24"/>
                <w:lang w:val="en-US"/>
              </w:rPr>
              <w:t>(0.161)</w:t>
            </w:r>
          </w:p>
        </w:tc>
      </w:tr>
      <w:tr w:rsidR="00846B49" w:rsidRPr="00192088" w:rsidTr="006F6198">
        <w:trPr>
          <w:trHeight w:val="725"/>
        </w:trPr>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Private Company</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-1.200***</w:t>
            </w:r>
            <w:r w:rsidRPr="00192088">
              <w:rPr>
                <w:rFonts w:ascii="Times New Roman" w:eastAsia="Times New Roman" w:hAnsi="Times New Roman" w:cs="Times New Roman"/>
                <w:sz w:val="24"/>
                <w:szCs w:val="24"/>
                <w:lang w:val="en-US"/>
              </w:rPr>
              <w:br/>
              <w:t>(0.115)</w:t>
            </w: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-0.293</w:t>
            </w:r>
            <w:r w:rsidRPr="00192088">
              <w:rPr>
                <w:rFonts w:ascii="Times New Roman" w:hAnsi="Times New Roman" w:cs="Times New Roman"/>
                <w:b/>
                <w:bCs/>
                <w:sz w:val="24"/>
                <w:szCs w:val="24"/>
              </w:rPr>
              <w:t xml:space="preserve"> ·</w:t>
            </w:r>
            <w:r w:rsidRPr="00192088">
              <w:rPr>
                <w:rFonts w:ascii="Times New Roman" w:eastAsia="Times New Roman" w:hAnsi="Times New Roman" w:cs="Times New Roman"/>
                <w:sz w:val="24"/>
                <w:szCs w:val="24"/>
                <w:lang w:val="en-US"/>
              </w:rPr>
              <w:br/>
              <w:t>(0.169)</w:t>
            </w:r>
          </w:p>
        </w:tc>
      </w:tr>
      <w:tr w:rsidR="00846B49" w:rsidRPr="00192088" w:rsidTr="006F6198">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b/>
                <w:bCs/>
                <w:sz w:val="24"/>
                <w:szCs w:val="24"/>
                <w:lang w:val="en-US"/>
              </w:rPr>
            </w:pPr>
            <w:r w:rsidRPr="00192088">
              <w:rPr>
                <w:rFonts w:ascii="Times New Roman" w:eastAsia="Times New Roman" w:hAnsi="Times New Roman" w:cs="Times New Roman"/>
                <w:b/>
                <w:bCs/>
                <w:sz w:val="24"/>
                <w:szCs w:val="24"/>
                <w:lang w:val="en-US"/>
              </w:rPr>
              <w:lastRenderedPageBreak/>
              <w:t>Sensitivity (Ref = 60%)</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p>
        </w:tc>
      </w:tr>
      <w:tr w:rsidR="00846B49" w:rsidRPr="00192088" w:rsidTr="006F6198">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70%</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0.259*</w:t>
            </w:r>
          </w:p>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(0.102)</w:t>
            </w: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0.081</w:t>
            </w:r>
            <w:r w:rsidRPr="00192088">
              <w:rPr>
                <w:rFonts w:ascii="Times New Roman" w:eastAsia="Times New Roman" w:hAnsi="Times New Roman" w:cs="Times New Roman"/>
                <w:sz w:val="24"/>
                <w:szCs w:val="24"/>
                <w:lang w:val="en-US"/>
              </w:rPr>
              <w:br/>
              <w:t>(0.140)</w:t>
            </w:r>
          </w:p>
        </w:tc>
      </w:tr>
      <w:tr w:rsidR="00846B49" w:rsidRPr="00192088" w:rsidTr="006F6198">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95%</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1.158***</w:t>
            </w:r>
          </w:p>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(0.106)</w:t>
            </w: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0.013</w:t>
            </w:r>
            <w:r w:rsidRPr="00192088">
              <w:rPr>
                <w:rFonts w:ascii="Times New Roman" w:eastAsia="Times New Roman" w:hAnsi="Times New Roman" w:cs="Times New Roman"/>
                <w:sz w:val="24"/>
                <w:szCs w:val="24"/>
                <w:lang w:val="en-US"/>
              </w:rPr>
              <w:br/>
              <w:t>(0.147)</w:t>
            </w:r>
          </w:p>
        </w:tc>
      </w:tr>
      <w:tr w:rsidR="00846B49" w:rsidRPr="00192088" w:rsidTr="006F6198">
        <w:trPr>
          <w:trHeight w:val="174"/>
        </w:trPr>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b/>
                <w:bCs/>
                <w:sz w:val="24"/>
                <w:szCs w:val="24"/>
                <w:lang w:val="en-US"/>
              </w:rPr>
            </w:pPr>
            <w:r w:rsidRPr="00192088">
              <w:rPr>
                <w:rFonts w:ascii="Times New Roman" w:eastAsia="Times New Roman" w:hAnsi="Times New Roman" w:cs="Times New Roman"/>
                <w:b/>
                <w:bCs/>
                <w:sz w:val="24"/>
                <w:szCs w:val="24"/>
                <w:lang w:val="en-US"/>
              </w:rPr>
              <w:t>Specificity (Ref=60%)</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p>
        </w:tc>
      </w:tr>
      <w:tr w:rsidR="00846B49" w:rsidRPr="00192088" w:rsidTr="006F6198">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70%</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0.433**</w:t>
            </w:r>
          </w:p>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(0.142)</w:t>
            </w: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0.163</w:t>
            </w:r>
            <w:r w:rsidRPr="00192088">
              <w:rPr>
                <w:rFonts w:ascii="Times New Roman" w:eastAsia="Times New Roman" w:hAnsi="Times New Roman" w:cs="Times New Roman"/>
                <w:sz w:val="24"/>
                <w:szCs w:val="24"/>
                <w:lang w:val="en-US"/>
              </w:rPr>
              <w:br/>
              <w:t>(0.196)</w:t>
            </w:r>
          </w:p>
        </w:tc>
      </w:tr>
      <w:tr w:rsidR="00846B49" w:rsidRPr="00192088" w:rsidTr="006F6198">
        <w:trPr>
          <w:trHeight w:val="903"/>
        </w:trPr>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95%</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1.321***</w:t>
            </w:r>
          </w:p>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(0.133)</w:t>
            </w: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0.099</w:t>
            </w:r>
            <w:r w:rsidRPr="00192088">
              <w:rPr>
                <w:rFonts w:ascii="Times New Roman" w:eastAsia="Times New Roman" w:hAnsi="Times New Roman" w:cs="Times New Roman"/>
                <w:sz w:val="24"/>
                <w:szCs w:val="24"/>
                <w:lang w:val="en-US"/>
              </w:rPr>
              <w:br/>
              <w:t>(0.186)</w:t>
            </w:r>
          </w:p>
        </w:tc>
      </w:tr>
      <w:tr w:rsidR="00846B49" w:rsidRPr="00192088" w:rsidTr="006F6198">
        <w:trPr>
          <w:trHeight w:val="63"/>
        </w:trPr>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b/>
                <w:bCs/>
                <w:sz w:val="24"/>
                <w:szCs w:val="24"/>
                <w:lang w:val="en-US"/>
              </w:rPr>
            </w:pPr>
            <w:r w:rsidRPr="00192088">
              <w:rPr>
                <w:rFonts w:ascii="Times New Roman" w:eastAsia="Times New Roman" w:hAnsi="Times New Roman" w:cs="Times New Roman"/>
                <w:b/>
                <w:bCs/>
                <w:sz w:val="24"/>
                <w:szCs w:val="24"/>
                <w:lang w:val="en-US"/>
              </w:rPr>
              <w:t>Price (Ref = 0€)</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p>
        </w:tc>
      </w:tr>
      <w:tr w:rsidR="00846B49" w:rsidRPr="00192088" w:rsidTr="006F6198">
        <w:trPr>
          <w:trHeight w:val="903"/>
        </w:trPr>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20€</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-0.459***</w:t>
            </w:r>
          </w:p>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(0.101)</w:t>
            </w: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0.225</w:t>
            </w:r>
            <w:r w:rsidRPr="00192088">
              <w:rPr>
                <w:rFonts w:ascii="Times New Roman" w:eastAsia="Times New Roman" w:hAnsi="Times New Roman" w:cs="Times New Roman"/>
                <w:sz w:val="24"/>
                <w:szCs w:val="24"/>
                <w:lang w:val="en-US"/>
              </w:rPr>
              <w:br/>
              <w:t>(0.143)</w:t>
            </w:r>
          </w:p>
        </w:tc>
      </w:tr>
      <w:tr w:rsidR="00846B49" w:rsidRPr="00192088" w:rsidTr="006F6198">
        <w:trPr>
          <w:trHeight w:val="903"/>
        </w:trPr>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90€</w:t>
            </w:r>
          </w:p>
        </w:tc>
        <w:tc>
          <w:tcPr>
            <w:tcW w:w="2551"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-1.338***</w:t>
            </w:r>
            <w:r w:rsidRPr="00192088">
              <w:rPr>
                <w:rFonts w:ascii="Times New Roman" w:eastAsia="Times New Roman" w:hAnsi="Times New Roman" w:cs="Times New Roman"/>
                <w:sz w:val="24"/>
                <w:szCs w:val="24"/>
                <w:lang w:val="en-US"/>
              </w:rPr>
              <w:br/>
              <w:t>(0.100)</w:t>
            </w:r>
          </w:p>
        </w:tc>
        <w:tc>
          <w:tcPr>
            <w:tcW w:w="3119" w:type="dxa"/>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0.054</w:t>
            </w:r>
          </w:p>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(0.139)</w:t>
            </w:r>
          </w:p>
        </w:tc>
      </w:tr>
      <w:tr w:rsidR="00846B49" w:rsidRPr="00192088" w:rsidTr="006F6198">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b/>
                <w:bCs/>
                <w:sz w:val="24"/>
                <w:szCs w:val="24"/>
                <w:lang w:val="en-US"/>
              </w:rPr>
            </w:pPr>
            <w:r w:rsidRPr="00192088">
              <w:rPr>
                <w:rFonts w:ascii="Times New Roman" w:eastAsia="Times New Roman" w:hAnsi="Times New Roman" w:cs="Times New Roman"/>
                <w:b/>
                <w:bCs/>
                <w:sz w:val="24"/>
                <w:szCs w:val="24"/>
                <w:lang w:val="en-US"/>
              </w:rPr>
              <w:t>N</w:t>
            </w:r>
          </w:p>
        </w:tc>
        <w:tc>
          <w:tcPr>
            <w:tcW w:w="5670" w:type="dxa"/>
            <w:gridSpan w:val="2"/>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10,170</w:t>
            </w:r>
          </w:p>
        </w:tc>
      </w:tr>
      <w:tr w:rsidR="00846B49" w:rsidRPr="00192088" w:rsidTr="006F6198">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b/>
                <w:bCs/>
                <w:sz w:val="24"/>
                <w:szCs w:val="24"/>
                <w:lang w:val="en-US"/>
              </w:rPr>
            </w:pPr>
            <w:r w:rsidRPr="00192088">
              <w:rPr>
                <w:rFonts w:ascii="Times New Roman" w:eastAsia="Times New Roman" w:hAnsi="Times New Roman" w:cs="Times New Roman"/>
                <w:b/>
                <w:bCs/>
                <w:sz w:val="24"/>
                <w:szCs w:val="24"/>
                <w:lang w:val="en-US"/>
              </w:rPr>
              <w:t>Likelihood Ratio</w:t>
            </w:r>
          </w:p>
        </w:tc>
        <w:tc>
          <w:tcPr>
            <w:tcW w:w="5670" w:type="dxa"/>
            <w:gridSpan w:val="2"/>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2194***</w:t>
            </w:r>
          </w:p>
        </w:tc>
      </w:tr>
      <w:tr w:rsidR="00846B49" w:rsidRPr="00192088" w:rsidTr="006F6198">
        <w:tc>
          <w:tcPr>
            <w:tcW w:w="3823" w:type="dxa"/>
            <w:vAlign w:val="center"/>
          </w:tcPr>
          <w:p w:rsidR="00846B49" w:rsidRPr="00192088" w:rsidRDefault="00846B49" w:rsidP="00846B49">
            <w:pPr>
              <w:spacing w:after="120" w:line="480" w:lineRule="auto"/>
              <w:jc w:val="both"/>
              <w:rPr>
                <w:rFonts w:ascii="Times New Roman" w:eastAsia="Times New Roman" w:hAnsi="Times New Roman" w:cs="Times New Roman"/>
                <w:b/>
                <w:bCs/>
                <w:sz w:val="24"/>
                <w:szCs w:val="24"/>
                <w:lang w:val="en-US"/>
              </w:rPr>
            </w:pPr>
            <w:r w:rsidRPr="00192088">
              <w:rPr>
                <w:rFonts w:ascii="Times New Roman" w:eastAsia="Times New Roman" w:hAnsi="Times New Roman" w:cs="Times New Roman"/>
                <w:b/>
                <w:bCs/>
                <w:sz w:val="24"/>
                <w:szCs w:val="24"/>
                <w:lang w:val="en-US"/>
              </w:rPr>
              <w:t>Wald</w:t>
            </w:r>
          </w:p>
        </w:tc>
        <w:tc>
          <w:tcPr>
            <w:tcW w:w="5670" w:type="dxa"/>
            <w:gridSpan w:val="2"/>
          </w:tcPr>
          <w:p w:rsidR="00846B49" w:rsidRPr="00192088" w:rsidRDefault="00846B49" w:rsidP="00846B49">
            <w:pPr>
              <w:spacing w:after="120" w:line="480" w:lineRule="auto"/>
              <w:jc w:val="center"/>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1287***</w:t>
            </w:r>
          </w:p>
        </w:tc>
      </w:tr>
    </w:tbl>
    <w:p w:rsidR="002D5733" w:rsidRDefault="002D5733" w:rsidP="002D5733">
      <w:pPr>
        <w:spacing w:after="120" w:line="480" w:lineRule="auto"/>
        <w:jc w:val="both"/>
        <w:rPr>
          <w:lang w:val="en-US"/>
        </w:rPr>
      </w:pPr>
    </w:p>
    <w:p w:rsidR="002D5733" w:rsidRDefault="002D5733" w:rsidP="002D5733">
      <w:pPr>
        <w:spacing w:after="12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As a robustness check for the subpopulation analysis, we also computed WTP for increasing Sensitivity and Specificity from 60% to 70% and 95%</w:t>
      </w:r>
      <w:proofErr w:type="gramStart"/>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 xml:space="preserve"> with a model that assumes linearity in Price and non-linearity in Specificity and Sensitivity. The following figures present the estimated WTP for increasing Sensitivity and Specificity from 60% to 70% and 95%, for subsamples according to gender, age, education, cognitive abilities and income.</w:t>
      </w:r>
    </w:p>
    <w:p w:rsidR="002D5733" w:rsidRDefault="002D5733" w:rsidP="002D5733">
      <w:pPr>
        <w:spacing w:after="12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fr-FR"/>
        </w:rPr>
        <w:drawing>
          <wp:inline distT="0" distB="0" distL="0" distR="0" wp14:anchorId="6659E3E8" wp14:editId="21893125">
            <wp:extent cx="2895600" cy="1911735"/>
            <wp:effectExtent l="0" t="0" r="0" b="0"/>
            <wp:docPr id="1726307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0720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5863" cy="1931715"/>
                    </a:xfrm>
                    <a:prstGeom prst="rect">
                      <a:avLst/>
                    </a:prstGeom>
                    <a:noFill/>
                  </pic:spPr>
                </pic:pic>
              </a:graphicData>
            </a:graphic>
          </wp:inline>
        </w:drawing>
      </w:r>
      <w:r>
        <w:rPr>
          <w:rFonts w:ascii="Times New Roman" w:eastAsia="Times New Roman" w:hAnsi="Times New Roman" w:cs="Times New Roman"/>
          <w:noProof/>
          <w:sz w:val="24"/>
          <w:szCs w:val="24"/>
          <w:lang w:val="fr-FR"/>
        </w:rPr>
        <w:drawing>
          <wp:inline distT="0" distB="0" distL="0" distR="0" wp14:anchorId="272F2791" wp14:editId="570DB852">
            <wp:extent cx="3031066" cy="2001173"/>
            <wp:effectExtent l="0" t="0" r="0" b="0"/>
            <wp:docPr id="1886558189" name="Picture 4" descr="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58189" name="Picture 4" descr="A graph with different colored lin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1582" cy="2008116"/>
                    </a:xfrm>
                    <a:prstGeom prst="rect">
                      <a:avLst/>
                    </a:prstGeom>
                    <a:noFill/>
                  </pic:spPr>
                </pic:pic>
              </a:graphicData>
            </a:graphic>
          </wp:inline>
        </w:drawing>
      </w:r>
    </w:p>
    <w:p w:rsidR="002D5733" w:rsidRDefault="002D5733" w:rsidP="002D5733">
      <w:pPr>
        <w:spacing w:after="12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fr-FR"/>
        </w:rPr>
        <w:drawing>
          <wp:inline distT="0" distB="0" distL="0" distR="0" wp14:anchorId="4465090A" wp14:editId="7318AA02">
            <wp:extent cx="2971800" cy="1962045"/>
            <wp:effectExtent l="0" t="0" r="0" b="635"/>
            <wp:docPr id="1444355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3349" cy="1976272"/>
                    </a:xfrm>
                    <a:prstGeom prst="rect">
                      <a:avLst/>
                    </a:prstGeom>
                    <a:noFill/>
                  </pic:spPr>
                </pic:pic>
              </a:graphicData>
            </a:graphic>
          </wp:inline>
        </w:drawing>
      </w:r>
      <w:r>
        <w:rPr>
          <w:rFonts w:ascii="Times New Roman" w:eastAsia="Times New Roman" w:hAnsi="Times New Roman" w:cs="Times New Roman"/>
          <w:noProof/>
          <w:sz w:val="24"/>
          <w:szCs w:val="24"/>
          <w:lang w:val="fr-FR"/>
        </w:rPr>
        <w:drawing>
          <wp:inline distT="0" distB="0" distL="0" distR="0" wp14:anchorId="143F05B7" wp14:editId="50CB020A">
            <wp:extent cx="2997200" cy="1978814"/>
            <wp:effectExtent l="0" t="0" r="0" b="2540"/>
            <wp:docPr id="17264562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8100" cy="1986011"/>
                    </a:xfrm>
                    <a:prstGeom prst="rect">
                      <a:avLst/>
                    </a:prstGeom>
                    <a:noFill/>
                  </pic:spPr>
                </pic:pic>
              </a:graphicData>
            </a:graphic>
          </wp:inline>
        </w:drawing>
      </w:r>
    </w:p>
    <w:p w:rsidR="002D5733" w:rsidRPr="001C596D" w:rsidRDefault="002D5733" w:rsidP="002D5733">
      <w:pPr>
        <w:spacing w:after="12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 obtain qualitatively similar results. We observe no difference in terms of willingness to pay for the Reading and Type attributes and observe the same group differences in the willingness to pay for increasing sensitivity and specificity. More precisely, i</w:t>
      </w:r>
      <w:r w:rsidRPr="5E63E8A2">
        <w:rPr>
          <w:rFonts w:ascii="Times New Roman" w:eastAsia="Times New Roman" w:hAnsi="Times New Roman" w:cs="Times New Roman"/>
          <w:sz w:val="24"/>
          <w:szCs w:val="24"/>
          <w:lang w:val="en-US"/>
        </w:rPr>
        <w:t xml:space="preserve">ndividuals with higher income </w:t>
      </w:r>
      <w:r>
        <w:rPr>
          <w:rFonts w:ascii="Times New Roman" w:eastAsia="Times New Roman" w:hAnsi="Times New Roman" w:cs="Times New Roman"/>
          <w:sz w:val="24"/>
          <w:szCs w:val="24"/>
          <w:lang w:val="en-US"/>
        </w:rPr>
        <w:t xml:space="preserve">are willing to pay more for increasing </w:t>
      </w:r>
      <w:r w:rsidRPr="5E63E8A2">
        <w:rPr>
          <w:rFonts w:ascii="Times New Roman" w:eastAsia="Times New Roman" w:hAnsi="Times New Roman" w:cs="Times New Roman"/>
          <w:sz w:val="24"/>
          <w:szCs w:val="24"/>
          <w:lang w:val="en-US"/>
        </w:rPr>
        <w:t>sensitivity</w:t>
      </w:r>
      <w:r>
        <w:rPr>
          <w:rFonts w:ascii="Times New Roman" w:eastAsia="Times New Roman" w:hAnsi="Times New Roman" w:cs="Times New Roman"/>
          <w:sz w:val="24"/>
          <w:szCs w:val="24"/>
          <w:lang w:val="en-US"/>
        </w:rPr>
        <w:t xml:space="preserve"> from 60% to 95%</w:t>
      </w:r>
      <w:r w:rsidRPr="5E63E8A2">
        <w:rPr>
          <w:rFonts w:ascii="Times New Roman" w:eastAsia="Times New Roman" w:hAnsi="Times New Roman" w:cs="Times New Roman"/>
          <w:sz w:val="24"/>
          <w:szCs w:val="24"/>
          <w:lang w:val="en-US"/>
        </w:rPr>
        <w:t xml:space="preserve"> (M = </w:t>
      </w:r>
      <w:r w:rsidRPr="000C0993">
        <w:rPr>
          <w:rFonts w:ascii="Times New Roman" w:eastAsia="Times New Roman" w:hAnsi="Times New Roman" w:cs="Times New Roman"/>
          <w:sz w:val="24"/>
          <w:szCs w:val="24"/>
          <w:lang w:val="en-US"/>
        </w:rPr>
        <w:t>133.9</w:t>
      </w:r>
      <w:r>
        <w:rPr>
          <w:rFonts w:ascii="Times New Roman" w:eastAsia="Times New Roman" w:hAnsi="Times New Roman" w:cs="Times New Roman"/>
          <w:sz w:val="24"/>
          <w:szCs w:val="24"/>
          <w:lang w:val="en-US"/>
        </w:rPr>
        <w:t>4</w:t>
      </w:r>
      <w:r w:rsidRPr="5E63E8A2">
        <w:rPr>
          <w:rFonts w:ascii="Times New Roman" w:eastAsia="Times New Roman" w:hAnsi="Times New Roman" w:cs="Times New Roman"/>
          <w:sz w:val="24"/>
          <w:szCs w:val="24"/>
          <w:lang w:val="en-US"/>
        </w:rPr>
        <w:t>€, IC = [</w:t>
      </w:r>
      <w:r>
        <w:rPr>
          <w:rFonts w:ascii="Times New Roman" w:eastAsia="Times New Roman" w:hAnsi="Times New Roman" w:cs="Times New Roman"/>
          <w:sz w:val="24"/>
          <w:szCs w:val="24"/>
          <w:lang w:val="en-US"/>
        </w:rPr>
        <w:t>101.01</w:t>
      </w:r>
      <w:r w:rsidRPr="5E63E8A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181</w:t>
      </w:r>
      <w:r w:rsidRPr="5E63E8A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04</w:t>
      </w:r>
      <w:r w:rsidRPr="5E63E8A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if compared with</w:t>
      </w:r>
      <w:r w:rsidRPr="5E63E8A2">
        <w:rPr>
          <w:rFonts w:ascii="Times New Roman" w:eastAsia="Times New Roman" w:hAnsi="Times New Roman" w:cs="Times New Roman"/>
          <w:sz w:val="24"/>
          <w:szCs w:val="24"/>
          <w:lang w:val="en-US"/>
        </w:rPr>
        <w:t xml:space="preserve"> individuals with lower income (M = </w:t>
      </w:r>
      <w:r>
        <w:rPr>
          <w:rFonts w:ascii="Times New Roman" w:eastAsia="Times New Roman" w:hAnsi="Times New Roman" w:cs="Times New Roman"/>
          <w:sz w:val="24"/>
          <w:szCs w:val="24"/>
          <w:lang w:val="en-US"/>
        </w:rPr>
        <w:t>56</w:t>
      </w:r>
      <w:r w:rsidRPr="5E63E8A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78</w:t>
      </w:r>
      <w:r w:rsidRPr="5E63E8A2">
        <w:rPr>
          <w:rFonts w:ascii="Times New Roman" w:eastAsia="Times New Roman" w:hAnsi="Times New Roman" w:cs="Times New Roman"/>
          <w:sz w:val="24"/>
          <w:szCs w:val="24"/>
          <w:lang w:val="en-US"/>
        </w:rPr>
        <w:t>€, IC = [</w:t>
      </w:r>
      <w:r>
        <w:rPr>
          <w:rFonts w:ascii="Times New Roman" w:eastAsia="Times New Roman" w:hAnsi="Times New Roman" w:cs="Times New Roman"/>
          <w:sz w:val="24"/>
          <w:szCs w:val="24"/>
          <w:lang w:val="en-US"/>
        </w:rPr>
        <w:t>39.30; 76.72</w:t>
      </w:r>
      <w:r w:rsidRPr="5E63E8A2">
        <w:rPr>
          <w:rFonts w:ascii="Times New Roman" w:eastAsia="Times New Roman" w:hAnsi="Times New Roman" w:cs="Times New Roman"/>
          <w:sz w:val="24"/>
          <w:szCs w:val="24"/>
          <w:lang w:val="en-US"/>
        </w:rPr>
        <w:t xml:space="preserve">]). </w:t>
      </w:r>
      <w:proofErr w:type="gramStart"/>
      <w:r w:rsidRPr="5E63E8A2">
        <w:rPr>
          <w:rFonts w:ascii="Times New Roman" w:eastAsia="Times New Roman" w:hAnsi="Times New Roman" w:cs="Times New Roman"/>
          <w:sz w:val="24"/>
          <w:szCs w:val="24"/>
          <w:lang w:val="en-US"/>
        </w:rPr>
        <w:t xml:space="preserve">The willingness to pay for </w:t>
      </w:r>
      <w:r>
        <w:rPr>
          <w:rFonts w:ascii="Times New Roman" w:eastAsia="Times New Roman" w:hAnsi="Times New Roman" w:cs="Times New Roman"/>
          <w:sz w:val="24"/>
          <w:szCs w:val="24"/>
          <w:lang w:val="en-US"/>
        </w:rPr>
        <w:t xml:space="preserve">increasing </w:t>
      </w:r>
      <w:r w:rsidRPr="5E63E8A2">
        <w:rPr>
          <w:rFonts w:ascii="Times New Roman" w:eastAsia="Times New Roman" w:hAnsi="Times New Roman" w:cs="Times New Roman"/>
          <w:sz w:val="24"/>
          <w:szCs w:val="24"/>
          <w:lang w:val="en-US"/>
        </w:rPr>
        <w:t xml:space="preserve">specificity </w:t>
      </w:r>
      <w:r>
        <w:rPr>
          <w:rFonts w:ascii="Times New Roman" w:eastAsia="Times New Roman" w:hAnsi="Times New Roman" w:cs="Times New Roman"/>
          <w:sz w:val="24"/>
          <w:szCs w:val="24"/>
          <w:lang w:val="en-US"/>
        </w:rPr>
        <w:t>from 60% to 95%</w:t>
      </w:r>
      <w:r w:rsidRPr="5E63E8A2">
        <w:rPr>
          <w:rFonts w:ascii="Times New Roman" w:eastAsia="Times New Roman" w:hAnsi="Times New Roman" w:cs="Times New Roman"/>
          <w:sz w:val="24"/>
          <w:szCs w:val="24"/>
          <w:lang w:val="en-US"/>
        </w:rPr>
        <w:t xml:space="preserve"> is also higher for individuals with </w:t>
      </w:r>
      <w:r w:rsidRPr="5E63E8A2">
        <w:rPr>
          <w:rFonts w:ascii="Times New Roman" w:eastAsia="Times New Roman" w:hAnsi="Times New Roman" w:cs="Times New Roman"/>
          <w:sz w:val="24"/>
          <w:szCs w:val="24"/>
          <w:lang w:val="en-US"/>
        </w:rPr>
        <w:lastRenderedPageBreak/>
        <w:t xml:space="preserve">higher cognitive abilities (M = </w:t>
      </w:r>
      <w:r w:rsidRPr="000C0993">
        <w:rPr>
          <w:rFonts w:ascii="Times New Roman" w:eastAsia="Times New Roman" w:hAnsi="Times New Roman" w:cs="Times New Roman"/>
          <w:sz w:val="24"/>
          <w:szCs w:val="24"/>
          <w:lang w:val="en-US"/>
        </w:rPr>
        <w:t>144.62</w:t>
      </w:r>
      <w:r w:rsidRPr="5E63E8A2">
        <w:rPr>
          <w:rFonts w:ascii="Times New Roman" w:eastAsia="Times New Roman" w:hAnsi="Times New Roman" w:cs="Times New Roman"/>
          <w:sz w:val="24"/>
          <w:szCs w:val="24"/>
          <w:lang w:val="en-US"/>
        </w:rPr>
        <w:t>€, IC = [</w:t>
      </w:r>
      <w:r w:rsidRPr="000C0993">
        <w:rPr>
          <w:rFonts w:ascii="Times New Roman" w:eastAsia="Times New Roman" w:hAnsi="Times New Roman" w:cs="Times New Roman"/>
          <w:sz w:val="24"/>
          <w:szCs w:val="24"/>
          <w:lang w:val="en-US"/>
        </w:rPr>
        <w:t>117.20</w:t>
      </w:r>
      <w:r>
        <w:rPr>
          <w:rFonts w:ascii="Times New Roman" w:eastAsia="Times New Roman" w:hAnsi="Times New Roman" w:cs="Times New Roman"/>
          <w:sz w:val="24"/>
          <w:szCs w:val="24"/>
          <w:lang w:val="en-US"/>
        </w:rPr>
        <w:t xml:space="preserve">; </w:t>
      </w:r>
      <w:r w:rsidRPr="000C0993">
        <w:rPr>
          <w:rFonts w:ascii="Times New Roman" w:eastAsia="Times New Roman" w:hAnsi="Times New Roman" w:cs="Times New Roman"/>
          <w:sz w:val="24"/>
          <w:szCs w:val="24"/>
          <w:lang w:val="en-US"/>
        </w:rPr>
        <w:t>178.2</w:t>
      </w:r>
      <w:r>
        <w:rPr>
          <w:rFonts w:ascii="Times New Roman" w:eastAsia="Times New Roman" w:hAnsi="Times New Roman" w:cs="Times New Roman"/>
          <w:sz w:val="24"/>
          <w:szCs w:val="24"/>
          <w:lang w:val="en-US"/>
        </w:rPr>
        <w:t>8</w:t>
      </w:r>
      <w:r w:rsidRPr="5E63E8A2">
        <w:rPr>
          <w:rFonts w:ascii="Times New Roman" w:eastAsia="Times New Roman" w:hAnsi="Times New Roman" w:cs="Times New Roman"/>
          <w:sz w:val="24"/>
          <w:szCs w:val="24"/>
          <w:lang w:val="en-US"/>
        </w:rPr>
        <w:t xml:space="preserve">]), income (M = </w:t>
      </w:r>
      <w:r w:rsidRPr="000C0993">
        <w:rPr>
          <w:rFonts w:ascii="Times New Roman" w:eastAsia="Times New Roman" w:hAnsi="Times New Roman" w:cs="Times New Roman"/>
          <w:sz w:val="24"/>
          <w:szCs w:val="24"/>
          <w:lang w:val="en-US"/>
        </w:rPr>
        <w:t>148.31</w:t>
      </w:r>
      <w:r w:rsidRPr="5E63E8A2">
        <w:rPr>
          <w:rFonts w:ascii="Times New Roman" w:eastAsia="Times New Roman" w:hAnsi="Times New Roman" w:cs="Times New Roman"/>
          <w:sz w:val="24"/>
          <w:szCs w:val="24"/>
          <w:lang w:val="en-US"/>
        </w:rPr>
        <w:t>€, IC = [</w:t>
      </w:r>
      <w:r w:rsidRPr="000C0993">
        <w:rPr>
          <w:rFonts w:ascii="Times New Roman" w:eastAsia="Times New Roman" w:hAnsi="Times New Roman" w:cs="Times New Roman"/>
          <w:sz w:val="24"/>
          <w:szCs w:val="24"/>
          <w:lang w:val="en-US"/>
        </w:rPr>
        <w:t>104.7</w:t>
      </w:r>
      <w:r>
        <w:rPr>
          <w:rFonts w:ascii="Times New Roman" w:eastAsia="Times New Roman" w:hAnsi="Times New Roman" w:cs="Times New Roman"/>
          <w:sz w:val="24"/>
          <w:szCs w:val="24"/>
          <w:lang w:val="en-US"/>
        </w:rPr>
        <w:t>9;</w:t>
      </w:r>
      <w:r w:rsidRPr="000C0993">
        <w:rPr>
          <w:rFonts w:ascii="Times New Roman" w:eastAsia="Times New Roman" w:hAnsi="Times New Roman" w:cs="Times New Roman"/>
          <w:sz w:val="24"/>
          <w:szCs w:val="24"/>
          <w:lang w:val="en-US"/>
        </w:rPr>
        <w:t xml:space="preserve"> 209.3</w:t>
      </w:r>
      <w:r>
        <w:rPr>
          <w:rFonts w:ascii="Times New Roman" w:eastAsia="Times New Roman" w:hAnsi="Times New Roman" w:cs="Times New Roman"/>
          <w:sz w:val="24"/>
          <w:szCs w:val="24"/>
          <w:lang w:val="en-US"/>
        </w:rPr>
        <w:t>5]</w:t>
      </w:r>
      <w:r w:rsidRPr="5E63E8A2">
        <w:rPr>
          <w:rFonts w:ascii="Times New Roman" w:eastAsia="Times New Roman" w:hAnsi="Times New Roman" w:cs="Times New Roman"/>
          <w:sz w:val="24"/>
          <w:szCs w:val="24"/>
          <w:lang w:val="en-US"/>
        </w:rPr>
        <w:t xml:space="preserve">), and education (M = </w:t>
      </w:r>
      <w:r w:rsidRPr="000C0993">
        <w:rPr>
          <w:rFonts w:ascii="Times New Roman" w:eastAsia="Times New Roman" w:hAnsi="Times New Roman" w:cs="Times New Roman"/>
          <w:sz w:val="24"/>
          <w:szCs w:val="24"/>
          <w:lang w:val="en-US"/>
        </w:rPr>
        <w:t>122.84</w:t>
      </w:r>
      <w:r w:rsidRPr="5E63E8A2">
        <w:rPr>
          <w:rFonts w:ascii="Times New Roman" w:eastAsia="Times New Roman" w:hAnsi="Times New Roman" w:cs="Times New Roman"/>
          <w:sz w:val="24"/>
          <w:szCs w:val="24"/>
          <w:lang w:val="en-US"/>
        </w:rPr>
        <w:t>€, IC = [</w:t>
      </w:r>
      <w:r w:rsidRPr="000C0993">
        <w:rPr>
          <w:rFonts w:ascii="Times New Roman" w:eastAsia="Times New Roman" w:hAnsi="Times New Roman" w:cs="Times New Roman"/>
          <w:sz w:val="24"/>
          <w:szCs w:val="24"/>
          <w:lang w:val="en-US"/>
        </w:rPr>
        <w:t>95.98</w:t>
      </w:r>
      <w:r>
        <w:rPr>
          <w:rFonts w:ascii="Times New Roman" w:eastAsia="Times New Roman" w:hAnsi="Times New Roman" w:cs="Times New Roman"/>
          <w:sz w:val="24"/>
          <w:szCs w:val="24"/>
          <w:lang w:val="en-US"/>
        </w:rPr>
        <w:t xml:space="preserve">; </w:t>
      </w:r>
      <w:r w:rsidRPr="000C0993">
        <w:rPr>
          <w:rFonts w:ascii="Times New Roman" w:eastAsia="Times New Roman" w:hAnsi="Times New Roman" w:cs="Times New Roman"/>
          <w:sz w:val="24"/>
          <w:szCs w:val="24"/>
          <w:lang w:val="en-US"/>
        </w:rPr>
        <w:t>155.7</w:t>
      </w:r>
      <w:r>
        <w:rPr>
          <w:rFonts w:ascii="Times New Roman" w:eastAsia="Times New Roman" w:hAnsi="Times New Roman" w:cs="Times New Roman"/>
          <w:sz w:val="24"/>
          <w:szCs w:val="24"/>
          <w:lang w:val="en-US"/>
        </w:rPr>
        <w:t>1</w:t>
      </w:r>
      <w:r w:rsidRPr="5E63E8A2">
        <w:rPr>
          <w:rFonts w:ascii="Times New Roman" w:eastAsia="Times New Roman" w:hAnsi="Times New Roman" w:cs="Times New Roman"/>
          <w:sz w:val="24"/>
          <w:szCs w:val="24"/>
          <w:lang w:val="en-US"/>
        </w:rPr>
        <w:t xml:space="preserve">]), if compared with individuals with lower cognitive abilities (M = </w:t>
      </w:r>
      <w:r w:rsidRPr="000C0993">
        <w:rPr>
          <w:rFonts w:ascii="Times New Roman" w:eastAsia="Times New Roman" w:hAnsi="Times New Roman" w:cs="Times New Roman"/>
          <w:sz w:val="24"/>
          <w:szCs w:val="24"/>
          <w:lang w:val="en-US"/>
        </w:rPr>
        <w:t>67.42</w:t>
      </w:r>
      <w:r w:rsidRPr="5E63E8A2">
        <w:rPr>
          <w:rFonts w:ascii="Times New Roman" w:eastAsia="Times New Roman" w:hAnsi="Times New Roman" w:cs="Times New Roman"/>
          <w:sz w:val="24"/>
          <w:szCs w:val="24"/>
          <w:lang w:val="en-US"/>
        </w:rPr>
        <w:t>€, IC = [</w:t>
      </w:r>
      <w:r>
        <w:rPr>
          <w:rFonts w:ascii="Times New Roman" w:eastAsia="Times New Roman" w:hAnsi="Times New Roman" w:cs="Times New Roman"/>
          <w:sz w:val="24"/>
          <w:szCs w:val="24"/>
          <w:lang w:val="en-US"/>
        </w:rPr>
        <w:t>51.22</w:t>
      </w:r>
      <w:r w:rsidRPr="5E63E8A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85.84</w:t>
      </w:r>
      <w:r w:rsidRPr="5E63E8A2">
        <w:rPr>
          <w:rFonts w:ascii="Times New Roman" w:eastAsia="Times New Roman" w:hAnsi="Times New Roman" w:cs="Times New Roman"/>
          <w:sz w:val="24"/>
          <w:szCs w:val="24"/>
          <w:lang w:val="en-US"/>
        </w:rPr>
        <w:t xml:space="preserve">]), income (M </w:t>
      </w:r>
      <w:r>
        <w:rPr>
          <w:rFonts w:ascii="Times New Roman" w:eastAsia="Times New Roman" w:hAnsi="Times New Roman" w:cs="Times New Roman"/>
          <w:sz w:val="24"/>
          <w:szCs w:val="24"/>
          <w:lang w:val="en-US"/>
        </w:rPr>
        <w:t>= 64.14</w:t>
      </w:r>
      <w:r w:rsidRPr="5E63E8A2">
        <w:rPr>
          <w:rFonts w:ascii="Times New Roman" w:eastAsia="Times New Roman" w:hAnsi="Times New Roman" w:cs="Times New Roman"/>
          <w:sz w:val="24"/>
          <w:szCs w:val="24"/>
          <w:lang w:val="en-US"/>
        </w:rPr>
        <w:t>€, IC = [</w:t>
      </w:r>
      <w:r>
        <w:rPr>
          <w:rFonts w:ascii="Times New Roman" w:eastAsia="Times New Roman" w:hAnsi="Times New Roman" w:cs="Times New Roman"/>
          <w:sz w:val="24"/>
          <w:szCs w:val="24"/>
          <w:lang w:val="en-US"/>
        </w:rPr>
        <w:t>41.21; 89.81</w:t>
      </w:r>
      <w:r w:rsidRPr="5E63E8A2">
        <w:rPr>
          <w:rFonts w:ascii="Times New Roman" w:eastAsia="Times New Roman" w:hAnsi="Times New Roman" w:cs="Times New Roman"/>
          <w:sz w:val="24"/>
          <w:szCs w:val="24"/>
          <w:lang w:val="en-US"/>
        </w:rPr>
        <w:t xml:space="preserve">]), and education (M = </w:t>
      </w:r>
      <w:r>
        <w:rPr>
          <w:rFonts w:ascii="Times New Roman" w:eastAsia="Times New Roman" w:hAnsi="Times New Roman" w:cs="Times New Roman"/>
          <w:sz w:val="24"/>
          <w:szCs w:val="24"/>
          <w:lang w:val="en-US"/>
        </w:rPr>
        <w:t>60.07</w:t>
      </w:r>
      <w:r w:rsidRPr="5E63E8A2">
        <w:rPr>
          <w:rFonts w:ascii="Times New Roman" w:eastAsia="Times New Roman" w:hAnsi="Times New Roman" w:cs="Times New Roman"/>
          <w:sz w:val="24"/>
          <w:szCs w:val="24"/>
          <w:lang w:val="en-US"/>
        </w:rPr>
        <w:t>€, IC = [</w:t>
      </w:r>
      <w:r>
        <w:rPr>
          <w:rFonts w:ascii="Times New Roman" w:eastAsia="Times New Roman" w:hAnsi="Times New Roman" w:cs="Times New Roman"/>
          <w:sz w:val="24"/>
          <w:szCs w:val="24"/>
          <w:lang w:val="en-US"/>
        </w:rPr>
        <w:t>34.04; 89.45</w:t>
      </w:r>
      <w:r w:rsidRPr="5E63E8A2">
        <w:rPr>
          <w:rFonts w:ascii="Times New Roman" w:eastAsia="Times New Roman" w:hAnsi="Times New Roman" w:cs="Times New Roman"/>
          <w:sz w:val="24"/>
          <w:szCs w:val="24"/>
          <w:lang w:val="en-US"/>
        </w:rPr>
        <w:t>]).</w:t>
      </w:r>
      <w:proofErr w:type="gramEnd"/>
      <w:r w:rsidRPr="5E63E8A2">
        <w:rPr>
          <w:rFonts w:ascii="Times New Roman" w:eastAsia="Times New Roman" w:hAnsi="Times New Roman" w:cs="Times New Roman"/>
          <w:sz w:val="24"/>
          <w:szCs w:val="24"/>
          <w:lang w:val="en-US"/>
        </w:rPr>
        <w:t xml:space="preserve"> </w:t>
      </w:r>
      <w:bookmarkStart w:id="0" w:name="_GoBack"/>
      <w:bookmarkEnd w:id="0"/>
    </w:p>
    <w:p w:rsidR="004E207B" w:rsidRPr="00846B49" w:rsidRDefault="004E207B" w:rsidP="002D5733">
      <w:pPr>
        <w:spacing w:after="120" w:line="480" w:lineRule="auto"/>
        <w:jc w:val="both"/>
        <w:rPr>
          <w:lang w:val="en-US"/>
        </w:rPr>
      </w:pPr>
    </w:p>
    <w:sectPr w:rsidR="004E207B" w:rsidRPr="00846B49" w:rsidSect="00255D48">
      <w:headerReference w:type="default" r:id="rId10"/>
      <w:footerReference w:type="default" r:id="rId11"/>
      <w:pgSz w:w="12240" w:h="15840" w:code="1"/>
      <w:pgMar w:top="1417" w:right="1417" w:bottom="1417"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88A" w:rsidRDefault="0036788A">
      <w:pPr>
        <w:spacing w:line="240" w:lineRule="auto"/>
      </w:pPr>
      <w:r>
        <w:separator/>
      </w:r>
    </w:p>
  </w:endnote>
  <w:endnote w:type="continuationSeparator" w:id="0">
    <w:p w:rsidR="0036788A" w:rsidRDefault="00367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524" w:rsidRDefault="00846B49">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D5733">
      <w:rPr>
        <w:rFonts w:ascii="Times New Roman" w:eastAsia="Times New Roman" w:hAnsi="Times New Roman" w:cs="Times New Roman"/>
        <w:noProof/>
      </w:rPr>
      <w:t>3</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88A" w:rsidRDefault="0036788A">
      <w:pPr>
        <w:spacing w:line="240" w:lineRule="auto"/>
      </w:pPr>
      <w:r>
        <w:separator/>
      </w:r>
    </w:p>
  </w:footnote>
  <w:footnote w:type="continuationSeparator" w:id="0">
    <w:p w:rsidR="0036788A" w:rsidRDefault="003678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524" w:rsidRDefault="003678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49"/>
    <w:rsid w:val="002D5733"/>
    <w:rsid w:val="0036788A"/>
    <w:rsid w:val="004E207B"/>
    <w:rsid w:val="00846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ED18"/>
  <w15:chartTrackingRefBased/>
  <w15:docId w15:val="{B393B276-867C-45FF-85D9-E8A14361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B49"/>
    <w:pPr>
      <w:spacing w:after="0" w:line="276" w:lineRule="auto"/>
    </w:pPr>
    <w:rPr>
      <w:rFonts w:ascii="Arial" w:eastAsia="Arial" w:hAnsi="Arial" w:cs="Arial"/>
      <w:lang w:val="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46B49"/>
    <w:pPr>
      <w:spacing w:after="0" w:line="240" w:lineRule="auto"/>
    </w:pPr>
    <w:rPr>
      <w:rFonts w:ascii="Arial" w:eastAsia="Arial" w:hAnsi="Arial" w:cs="Arial"/>
      <w:lang w:val="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388</Words>
  <Characters>2136</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3</cp:revision>
  <dcterms:created xsi:type="dcterms:W3CDTF">2024-07-10T13:37:00Z</dcterms:created>
  <dcterms:modified xsi:type="dcterms:W3CDTF">2024-07-10T13:56:00Z</dcterms:modified>
</cp:coreProperties>
</file>