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379" w:rsidRPr="00192088" w:rsidRDefault="00E55379" w:rsidP="00E55379">
      <w:pPr>
        <w:spacing w:line="48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 xml:space="preserve">Appendix </w:t>
      </w:r>
      <w:r w:rsidRPr="00192088">
        <w:rPr>
          <w:rFonts w:ascii="Times New Roman" w:eastAsia="Times New Roman" w:hAnsi="Times New Roman" w:cs="Times New Roman"/>
          <w:b/>
          <w:sz w:val="24"/>
          <w:szCs w:val="24"/>
          <w:lang w:val="en-GB"/>
        </w:rPr>
        <w:t xml:space="preserve">A1. DCE survey development </w:t>
      </w:r>
    </w:p>
    <w:p w:rsidR="00E55379" w:rsidRPr="00192088" w:rsidRDefault="00E55379" w:rsidP="00E55379">
      <w:pPr>
        <w:pStyle w:val="Textebrut"/>
        <w:spacing w:line="480" w:lineRule="auto"/>
        <w:jc w:val="both"/>
        <w:rPr>
          <w:rFonts w:ascii="Times New Roman" w:hAnsi="Times New Roman" w:cs="Times New Roman"/>
          <w:b/>
          <w:sz w:val="24"/>
          <w:szCs w:val="24"/>
          <w:lang w:val="en-GB"/>
        </w:rPr>
      </w:pPr>
      <w:r w:rsidRPr="00192088">
        <w:rPr>
          <w:rFonts w:ascii="Times New Roman" w:hAnsi="Times New Roman" w:cs="Times New Roman"/>
          <w:sz w:val="24"/>
          <w:szCs w:val="24"/>
          <w:lang w:val="en-GB"/>
        </w:rPr>
        <w:t>Survey design forms the backbone of any DCE (Bridges et al (2011), Johnson et al (2013)). This appendix gives detailed information on the development of the DCE survey that we used in this study.</w:t>
      </w:r>
    </w:p>
    <w:p w:rsidR="00E55379" w:rsidRPr="00192088" w:rsidRDefault="00E55379" w:rsidP="00E55379">
      <w:pPr>
        <w:spacing w:line="480" w:lineRule="auto"/>
        <w:jc w:val="both"/>
        <w:rPr>
          <w:rFonts w:ascii="Times New Roman" w:eastAsia="Times New Roman" w:hAnsi="Times New Roman" w:cs="Times New Roman"/>
          <w:b/>
          <w:sz w:val="24"/>
          <w:szCs w:val="24"/>
          <w:lang w:val="en-GB"/>
        </w:rPr>
      </w:pPr>
    </w:p>
    <w:p w:rsidR="00E55379" w:rsidRPr="00192088" w:rsidRDefault="00E55379" w:rsidP="00E55379">
      <w:pPr>
        <w:spacing w:line="480" w:lineRule="auto"/>
        <w:jc w:val="both"/>
        <w:rPr>
          <w:rFonts w:ascii="Times New Roman" w:eastAsia="Times New Roman" w:hAnsi="Times New Roman" w:cs="Times New Roman"/>
          <w:b/>
          <w:sz w:val="24"/>
          <w:szCs w:val="24"/>
          <w:lang w:val="en-GB"/>
        </w:rPr>
      </w:pPr>
      <w:r w:rsidRPr="00192088">
        <w:rPr>
          <w:rFonts w:ascii="Times New Roman" w:eastAsia="Times New Roman" w:hAnsi="Times New Roman" w:cs="Times New Roman"/>
          <w:b/>
          <w:sz w:val="24"/>
          <w:szCs w:val="24"/>
          <w:lang w:val="en-GB"/>
        </w:rPr>
        <w:t xml:space="preserve">A.1.1 The choice task </w:t>
      </w:r>
    </w:p>
    <w:p w:rsidR="00E55379" w:rsidRPr="00192088" w:rsidRDefault="00E55379" w:rsidP="00E55379">
      <w:pPr>
        <w:spacing w:line="480" w:lineRule="auto"/>
        <w:jc w:val="both"/>
        <w:rPr>
          <w:rFonts w:ascii="Times New Roman" w:hAnsi="Times New Roman" w:cs="Times New Roman"/>
          <w:sz w:val="24"/>
          <w:szCs w:val="24"/>
          <w:lang w:val="en-US"/>
        </w:rPr>
      </w:pPr>
      <w:r w:rsidRPr="00192088">
        <w:rPr>
          <w:rFonts w:ascii="Times New Roman" w:hAnsi="Times New Roman" w:cs="Times New Roman"/>
          <w:sz w:val="24"/>
          <w:szCs w:val="24"/>
          <w:lang w:val="en-US"/>
        </w:rPr>
        <w:t xml:space="preserve">Each respondent </w:t>
      </w:r>
      <w:proofErr w:type="gramStart"/>
      <w:r w:rsidRPr="00192088">
        <w:rPr>
          <w:rFonts w:ascii="Times New Roman" w:hAnsi="Times New Roman" w:cs="Times New Roman"/>
          <w:sz w:val="24"/>
          <w:szCs w:val="24"/>
          <w:lang w:val="en-US"/>
        </w:rPr>
        <w:t>was presented</w:t>
      </w:r>
      <w:proofErr w:type="gramEnd"/>
      <w:r w:rsidRPr="00192088">
        <w:rPr>
          <w:rFonts w:ascii="Times New Roman" w:hAnsi="Times New Roman" w:cs="Times New Roman"/>
          <w:sz w:val="24"/>
          <w:szCs w:val="24"/>
          <w:lang w:val="en-US"/>
        </w:rPr>
        <w:t xml:space="preserve"> with successive scenarios featuring a varying set of attributes for the test. To build the set of attributes, we relied on a prior literature review: Huang et al. (2014</w:t>
      </w:r>
      <w:proofErr w:type="gramStart"/>
      <w:r w:rsidRPr="00192088">
        <w:rPr>
          <w:rFonts w:ascii="Times New Roman" w:hAnsi="Times New Roman" w:cs="Times New Roman"/>
          <w:sz w:val="24"/>
          <w:szCs w:val="24"/>
          <w:lang w:val="en-US"/>
        </w:rPr>
        <w:t>)</w:t>
      </w:r>
      <w:proofErr w:type="gramEnd"/>
      <w:r w:rsidRPr="00192088">
        <w:rPr>
          <w:rStyle w:val="Appelnotedebasdep"/>
          <w:rFonts w:ascii="Times New Roman" w:hAnsi="Times New Roman" w:cs="Times New Roman"/>
          <w:sz w:val="24"/>
          <w:szCs w:val="24"/>
          <w:lang w:val="en-US"/>
        </w:rPr>
        <w:footnoteReference w:id="1"/>
      </w:r>
      <w:r w:rsidRPr="00192088">
        <w:rPr>
          <w:rFonts w:ascii="Times New Roman" w:hAnsi="Times New Roman" w:cs="Times New Roman"/>
          <w:sz w:val="24"/>
          <w:szCs w:val="24"/>
          <w:lang w:val="en-US"/>
        </w:rPr>
        <w:t>notably emphasized ‘accuracy’, and ‘anonymity’. Neumann et al. (2001)</w:t>
      </w:r>
      <w:r w:rsidRPr="00192088">
        <w:rPr>
          <w:rStyle w:val="Appelnotedebasdep"/>
          <w:rFonts w:ascii="Times New Roman" w:hAnsi="Times New Roman" w:cs="Times New Roman"/>
          <w:sz w:val="24"/>
          <w:szCs w:val="24"/>
          <w:lang w:val="en-US"/>
        </w:rPr>
        <w:footnoteReference w:id="2"/>
      </w:r>
      <w:r w:rsidRPr="00192088">
        <w:rPr>
          <w:rFonts w:ascii="Times New Roman" w:hAnsi="Times New Roman" w:cs="Times New Roman"/>
          <w:sz w:val="24"/>
          <w:szCs w:val="24"/>
          <w:lang w:val="en-US"/>
        </w:rPr>
        <w:t xml:space="preserve"> suggested that people value testing for personal and financial reasons (‘price’), but also express the need to counsel tested persons about accuracy and implications of test information (‘doctor reading’). We refined these attributes, adding our main point ‘AI versus saliva test’. We end up with </w:t>
      </w:r>
      <w:proofErr w:type="gramStart"/>
      <w:r w:rsidRPr="00192088">
        <w:rPr>
          <w:rFonts w:ascii="Times New Roman" w:hAnsi="Times New Roman" w:cs="Times New Roman"/>
          <w:sz w:val="24"/>
          <w:szCs w:val="24"/>
          <w:lang w:val="en-US"/>
        </w:rPr>
        <w:t>5</w:t>
      </w:r>
      <w:proofErr w:type="gramEnd"/>
      <w:r w:rsidRPr="00192088">
        <w:rPr>
          <w:rFonts w:ascii="Times New Roman" w:hAnsi="Times New Roman" w:cs="Times New Roman"/>
          <w:sz w:val="24"/>
          <w:szCs w:val="24"/>
          <w:lang w:val="en-US"/>
        </w:rPr>
        <w:t xml:space="preserve"> attributes: (1) the type of the test, (2) the reading of test results, (3) tests’ sensitivity, (4) tests’ specificity, (5) tests’ price.</w:t>
      </w:r>
    </w:p>
    <w:p w:rsidR="00E55379" w:rsidRPr="00192088" w:rsidRDefault="00E55379" w:rsidP="00E55379">
      <w:pPr>
        <w:spacing w:line="480" w:lineRule="auto"/>
        <w:jc w:val="both"/>
        <w:rPr>
          <w:rFonts w:ascii="Times New Roman" w:hAnsi="Times New Roman" w:cs="Times New Roman"/>
          <w:sz w:val="24"/>
          <w:szCs w:val="24"/>
          <w:lang w:val="en-US"/>
        </w:rPr>
      </w:pPr>
      <w:bookmarkStart w:id="0" w:name="_Hlk165024249"/>
      <w:r w:rsidRPr="00192088">
        <w:rPr>
          <w:rFonts w:ascii="Times New Roman" w:hAnsi="Times New Roman" w:cs="Times New Roman"/>
          <w:sz w:val="24"/>
          <w:szCs w:val="24"/>
          <w:lang w:val="en-US"/>
        </w:rPr>
        <w:t xml:space="preserve">Note that the curability of the </w:t>
      </w:r>
      <w:proofErr w:type="gramStart"/>
      <w:r w:rsidRPr="00192088">
        <w:rPr>
          <w:rFonts w:ascii="Times New Roman" w:hAnsi="Times New Roman" w:cs="Times New Roman"/>
          <w:sz w:val="24"/>
          <w:szCs w:val="24"/>
          <w:lang w:val="en-US"/>
        </w:rPr>
        <w:t>disease which is an important driver of testing decision</w:t>
      </w:r>
      <w:r w:rsidRPr="00192088">
        <w:rPr>
          <w:rStyle w:val="Appelnotedebasdep"/>
          <w:rFonts w:ascii="Times New Roman" w:hAnsi="Times New Roman" w:cs="Times New Roman"/>
          <w:sz w:val="24"/>
          <w:szCs w:val="24"/>
          <w:lang w:val="en-US"/>
        </w:rPr>
        <w:footnoteReference w:id="3"/>
      </w:r>
      <w:r w:rsidRPr="00192088">
        <w:rPr>
          <w:rFonts w:ascii="Times New Roman" w:hAnsi="Times New Roman" w:cs="Times New Roman"/>
          <w:sz w:val="24"/>
          <w:szCs w:val="24"/>
          <w:lang w:val="en-US"/>
        </w:rPr>
        <w:t xml:space="preserve"> (Myers et al. 1990; Weller et al. 1995)</w:t>
      </w:r>
      <w:proofErr w:type="gramEnd"/>
      <w:r w:rsidRPr="00192088">
        <w:rPr>
          <w:rFonts w:ascii="Times New Roman" w:hAnsi="Times New Roman" w:cs="Times New Roman"/>
          <w:sz w:val="24"/>
          <w:szCs w:val="24"/>
          <w:lang w:val="en-US"/>
        </w:rPr>
        <w:t xml:space="preserve"> has been included as a general context opening the questionnaire. We preferred to “prefix” the nature of the disease by respondent, to be able to focus on the characteristics of the test. </w:t>
      </w:r>
    </w:p>
    <w:bookmarkEnd w:id="0"/>
    <w:p w:rsidR="00E55379" w:rsidRPr="00192088" w:rsidRDefault="00E55379" w:rsidP="00E55379">
      <w:pPr>
        <w:spacing w:line="480" w:lineRule="auto"/>
        <w:jc w:val="both"/>
        <w:rPr>
          <w:rFonts w:ascii="Times New Roman" w:eastAsia="Times New Roman" w:hAnsi="Times New Roman" w:cs="Times New Roman"/>
          <w:b/>
          <w:sz w:val="24"/>
          <w:szCs w:val="24"/>
          <w:lang w:val="en-GB"/>
        </w:rPr>
      </w:pPr>
    </w:p>
    <w:p w:rsidR="00E55379" w:rsidRDefault="00E55379" w:rsidP="00E55379">
      <w:pPr>
        <w:spacing w:line="480" w:lineRule="auto"/>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br w:type="page"/>
      </w:r>
    </w:p>
    <w:p w:rsidR="00E55379" w:rsidRPr="00192088" w:rsidRDefault="00E55379" w:rsidP="00E55379">
      <w:pPr>
        <w:spacing w:line="480" w:lineRule="auto"/>
        <w:jc w:val="both"/>
        <w:rPr>
          <w:rFonts w:ascii="Times New Roman" w:eastAsia="Times New Roman" w:hAnsi="Times New Roman" w:cs="Times New Roman"/>
          <w:b/>
          <w:sz w:val="24"/>
          <w:szCs w:val="24"/>
          <w:lang w:val="en-GB"/>
        </w:rPr>
      </w:pPr>
      <w:r w:rsidRPr="00192088">
        <w:rPr>
          <w:rFonts w:ascii="Times New Roman" w:eastAsia="Times New Roman" w:hAnsi="Times New Roman" w:cs="Times New Roman"/>
          <w:b/>
          <w:sz w:val="24"/>
          <w:szCs w:val="24"/>
          <w:lang w:val="en-GB"/>
        </w:rPr>
        <w:lastRenderedPageBreak/>
        <w:t>A.1.2 Scenarios combination</w:t>
      </w:r>
    </w:p>
    <w:p w:rsidR="00E55379" w:rsidRPr="00192088" w:rsidRDefault="00E55379" w:rsidP="00E55379">
      <w:pPr>
        <w:spacing w:line="480" w:lineRule="auto"/>
        <w:jc w:val="both"/>
        <w:rPr>
          <w:rFonts w:ascii="Times New Roman" w:hAnsi="Times New Roman" w:cs="Times New Roman"/>
          <w:sz w:val="24"/>
          <w:szCs w:val="24"/>
          <w:lang w:val="en-GB"/>
        </w:rPr>
      </w:pPr>
      <w:r w:rsidRPr="00192088">
        <w:rPr>
          <w:rFonts w:ascii="Times New Roman" w:hAnsi="Times New Roman" w:cs="Times New Roman"/>
          <w:sz w:val="24"/>
          <w:szCs w:val="24"/>
          <w:lang w:val="en-US"/>
        </w:rPr>
        <w:t>The full factorial design was generated and provided 324 possible combinations of all attribute levels (</w:t>
      </w:r>
      <w:proofErr w:type="gramStart"/>
      <w:r w:rsidRPr="00192088">
        <w:rPr>
          <w:rFonts w:ascii="Times New Roman" w:hAnsi="Times New Roman" w:cs="Times New Roman"/>
          <w:sz w:val="24"/>
          <w:szCs w:val="24"/>
          <w:lang w:val="en-US"/>
        </w:rPr>
        <w:t>4</w:t>
      </w:r>
      <w:proofErr w:type="gramEnd"/>
      <w:r w:rsidRPr="00192088">
        <w:rPr>
          <w:rFonts w:ascii="Times New Roman" w:hAnsi="Times New Roman" w:cs="Times New Roman"/>
          <w:sz w:val="24"/>
          <w:szCs w:val="24"/>
          <w:lang w:val="en-US"/>
        </w:rPr>
        <w:t xml:space="preserve"> attributes at 3 levels and 1 attribute at 4 levels, 3^4 * 4^1=324). Each one corresponds to one of two possible options in a choice scenario. However, this number is too high to consider working with the complete design. We have chosen to reduce the number of possible combinations by considering a D-efficient fractional design that takes into account main effects and first order interactions. This leads to 70 possible combinations of attribute </w:t>
      </w:r>
      <w:proofErr w:type="gramStart"/>
      <w:r w:rsidRPr="00192088">
        <w:rPr>
          <w:rFonts w:ascii="Times New Roman" w:hAnsi="Times New Roman" w:cs="Times New Roman"/>
          <w:sz w:val="24"/>
          <w:szCs w:val="24"/>
          <w:lang w:val="en-US"/>
        </w:rPr>
        <w:t>levels which</w:t>
      </w:r>
      <w:proofErr w:type="gramEnd"/>
      <w:r w:rsidRPr="00192088">
        <w:rPr>
          <w:rFonts w:ascii="Times New Roman" w:hAnsi="Times New Roman" w:cs="Times New Roman"/>
          <w:sz w:val="24"/>
          <w:szCs w:val="24"/>
          <w:lang w:val="en-US"/>
        </w:rPr>
        <w:t>, by random pair-wise matching, generate 35 scenarios of choice between two options. The D-efficiency of the fractional design generated is 82%.</w:t>
      </w:r>
    </w:p>
    <w:p w:rsidR="00E55379" w:rsidRPr="00192088" w:rsidRDefault="00E55379" w:rsidP="00E55379">
      <w:pPr>
        <w:spacing w:line="480" w:lineRule="auto"/>
        <w:jc w:val="both"/>
        <w:rPr>
          <w:rFonts w:ascii="Times New Roman" w:hAnsi="Times New Roman" w:cs="Times New Roman"/>
          <w:sz w:val="24"/>
          <w:szCs w:val="24"/>
          <w:lang w:val="en-US"/>
        </w:rPr>
      </w:pPr>
      <w:r w:rsidRPr="00192088">
        <w:rPr>
          <w:rFonts w:ascii="Times New Roman" w:hAnsi="Times New Roman" w:cs="Times New Roman"/>
          <w:sz w:val="24"/>
          <w:szCs w:val="24"/>
          <w:lang w:val="en-US"/>
        </w:rPr>
        <w:t xml:space="preserve">For each person interviewed, </w:t>
      </w:r>
      <w:proofErr w:type="gramStart"/>
      <w:r w:rsidRPr="00192088">
        <w:rPr>
          <w:rFonts w:ascii="Times New Roman" w:hAnsi="Times New Roman" w:cs="Times New Roman"/>
          <w:sz w:val="24"/>
          <w:szCs w:val="24"/>
          <w:lang w:val="en-US"/>
        </w:rPr>
        <w:t>5</w:t>
      </w:r>
      <w:proofErr w:type="gramEnd"/>
      <w:r w:rsidRPr="00192088">
        <w:rPr>
          <w:rFonts w:ascii="Times New Roman" w:hAnsi="Times New Roman" w:cs="Times New Roman"/>
          <w:sz w:val="24"/>
          <w:szCs w:val="24"/>
          <w:lang w:val="en-US"/>
        </w:rPr>
        <w:t xml:space="preserve"> scenarios were drawn at random, from the 35 possible.</w:t>
      </w:r>
    </w:p>
    <w:p w:rsidR="00E55379" w:rsidRPr="00192088" w:rsidRDefault="00E55379" w:rsidP="00E55379">
      <w:pPr>
        <w:spacing w:line="480" w:lineRule="auto"/>
        <w:jc w:val="both"/>
        <w:rPr>
          <w:rFonts w:ascii="Times New Roman" w:eastAsia="Times New Roman" w:hAnsi="Times New Roman" w:cs="Times New Roman"/>
          <w:b/>
          <w:sz w:val="24"/>
          <w:szCs w:val="24"/>
          <w:lang w:val="en-GB"/>
        </w:rPr>
      </w:pPr>
    </w:p>
    <w:p w:rsidR="00E55379" w:rsidRPr="00192088" w:rsidRDefault="00E55379" w:rsidP="00E55379">
      <w:pPr>
        <w:spacing w:line="480" w:lineRule="auto"/>
        <w:jc w:val="both"/>
        <w:rPr>
          <w:rFonts w:ascii="Times New Roman" w:eastAsia="Times New Roman" w:hAnsi="Times New Roman" w:cs="Times New Roman"/>
          <w:b/>
          <w:sz w:val="24"/>
          <w:szCs w:val="24"/>
          <w:lang w:val="en-GB"/>
        </w:rPr>
      </w:pPr>
      <w:r w:rsidRPr="00192088">
        <w:rPr>
          <w:rFonts w:ascii="Times New Roman" w:eastAsia="Times New Roman" w:hAnsi="Times New Roman" w:cs="Times New Roman"/>
          <w:b/>
          <w:sz w:val="24"/>
          <w:szCs w:val="24"/>
          <w:lang w:val="en-GB"/>
        </w:rPr>
        <w:t>A.1.3 Forced choice methodology</w:t>
      </w:r>
    </w:p>
    <w:p w:rsidR="00E55379" w:rsidRPr="00192088" w:rsidRDefault="00E55379" w:rsidP="00E55379">
      <w:pPr>
        <w:spacing w:line="480" w:lineRule="auto"/>
        <w:jc w:val="both"/>
        <w:rPr>
          <w:rFonts w:ascii="Times New Roman" w:eastAsia="Times New Roman" w:hAnsi="Times New Roman" w:cs="Times New Roman"/>
          <w:sz w:val="24"/>
          <w:szCs w:val="24"/>
          <w:lang w:val="en-US"/>
        </w:rPr>
      </w:pPr>
      <w:proofErr w:type="gramStart"/>
      <w:r w:rsidRPr="00192088">
        <w:rPr>
          <w:rFonts w:ascii="Times New Roman" w:eastAsia="Times New Roman" w:hAnsi="Times New Roman" w:cs="Times New Roman"/>
          <w:sz w:val="24"/>
          <w:szCs w:val="24"/>
          <w:lang w:val="en-US"/>
        </w:rPr>
        <w:t xml:space="preserve">We opted for the ‘forced choice’ for two reasons: </w:t>
      </w:r>
      <w:proofErr w:type="spellStart"/>
      <w:r w:rsidRPr="00192088">
        <w:rPr>
          <w:rFonts w:ascii="Times New Roman" w:eastAsia="Times New Roman" w:hAnsi="Times New Roman" w:cs="Times New Roman"/>
          <w:sz w:val="24"/>
          <w:szCs w:val="24"/>
          <w:lang w:val="en-US"/>
        </w:rPr>
        <w:t>i</w:t>
      </w:r>
      <w:proofErr w:type="spellEnd"/>
      <w:r w:rsidRPr="00192088">
        <w:rPr>
          <w:rFonts w:ascii="Times New Roman" w:eastAsia="Times New Roman" w:hAnsi="Times New Roman" w:cs="Times New Roman"/>
          <w:sz w:val="24"/>
          <w:szCs w:val="24"/>
          <w:lang w:val="en-US"/>
        </w:rPr>
        <w:t>) according to the literature, this method seems acceptable, and even preferable (see references below); ii) the task was hard cognitively for respondent (they have to compare options with several attributes and figures, like sensitivity and specificity), and was not incentivized, although other parts of the questionnaire were gamified and incentivized; this would expose to a high risk of numerous “do not know” of this online study.</w:t>
      </w:r>
      <w:proofErr w:type="gramEnd"/>
    </w:p>
    <w:p w:rsidR="00E55379" w:rsidRPr="00192088" w:rsidRDefault="00E55379" w:rsidP="00E55379">
      <w:pPr>
        <w:spacing w:line="480" w:lineRule="auto"/>
        <w:jc w:val="both"/>
        <w:rPr>
          <w:rFonts w:ascii="Times New Roman" w:eastAsia="Times New Roman" w:hAnsi="Times New Roman" w:cs="Times New Roman"/>
          <w:sz w:val="24"/>
          <w:szCs w:val="24"/>
          <w:lang w:val="en-US"/>
        </w:rPr>
      </w:pPr>
      <w:r w:rsidRPr="00192088">
        <w:rPr>
          <w:rFonts w:ascii="Times New Roman" w:eastAsia="Times New Roman" w:hAnsi="Times New Roman" w:cs="Times New Roman"/>
          <w:sz w:val="24"/>
          <w:szCs w:val="24"/>
          <w:lang w:val="en-US"/>
        </w:rPr>
        <w:t>In the literature</w:t>
      </w:r>
      <w:r w:rsidRPr="00192088">
        <w:rPr>
          <w:rStyle w:val="Appelnotedebasdep"/>
          <w:rFonts w:ascii="Times New Roman" w:eastAsia="Times New Roman" w:hAnsi="Times New Roman" w:cs="Times New Roman"/>
          <w:sz w:val="24"/>
          <w:szCs w:val="24"/>
          <w:lang w:val="en-US"/>
        </w:rPr>
        <w:footnoteReference w:id="4"/>
      </w:r>
      <w:r w:rsidRPr="00192088">
        <w:rPr>
          <w:rFonts w:ascii="Times New Roman" w:eastAsia="Times New Roman" w:hAnsi="Times New Roman" w:cs="Times New Roman"/>
          <w:sz w:val="24"/>
          <w:szCs w:val="24"/>
          <w:lang w:val="en-US"/>
        </w:rPr>
        <w:t xml:space="preserve">, many papers put forward the ‘forced choice’. </w:t>
      </w:r>
      <w:proofErr w:type="spellStart"/>
      <w:r w:rsidRPr="00192088">
        <w:rPr>
          <w:rFonts w:ascii="Times New Roman" w:eastAsia="Times New Roman" w:hAnsi="Times New Roman" w:cs="Times New Roman"/>
          <w:sz w:val="24"/>
          <w:szCs w:val="24"/>
          <w:lang w:val="en-US"/>
        </w:rPr>
        <w:t>Jonker</w:t>
      </w:r>
      <w:proofErr w:type="spellEnd"/>
      <w:r w:rsidRPr="00192088">
        <w:rPr>
          <w:rFonts w:ascii="Times New Roman" w:eastAsia="Times New Roman" w:hAnsi="Times New Roman" w:cs="Times New Roman"/>
          <w:sz w:val="24"/>
          <w:szCs w:val="24"/>
          <w:lang w:val="en-US"/>
        </w:rPr>
        <w:t xml:space="preserve"> et al. (2021) stated that ‘a dual-response option format’ </w:t>
      </w:r>
      <w:proofErr w:type="gramStart"/>
      <w:r w:rsidRPr="00192088">
        <w:rPr>
          <w:rFonts w:ascii="Times New Roman" w:eastAsia="Times New Roman" w:hAnsi="Times New Roman" w:cs="Times New Roman"/>
          <w:sz w:val="24"/>
          <w:szCs w:val="24"/>
          <w:lang w:val="en-US"/>
        </w:rPr>
        <w:t>can</w:t>
      </w:r>
      <w:proofErr w:type="gramEnd"/>
      <w:r w:rsidRPr="00192088">
        <w:rPr>
          <w:rFonts w:ascii="Times New Roman" w:eastAsia="Times New Roman" w:hAnsi="Times New Roman" w:cs="Times New Roman"/>
          <w:sz w:val="24"/>
          <w:szCs w:val="24"/>
          <w:lang w:val="en-US"/>
        </w:rPr>
        <w:t xml:space="preserve"> provide (potentially useful) preference information for </w:t>
      </w:r>
      <w:r w:rsidRPr="00192088">
        <w:rPr>
          <w:rFonts w:ascii="Times New Roman" w:eastAsia="Times New Roman" w:hAnsi="Times New Roman" w:cs="Times New Roman"/>
          <w:sz w:val="24"/>
          <w:szCs w:val="24"/>
          <w:lang w:val="en-US"/>
        </w:rPr>
        <w:lastRenderedPageBreak/>
        <w:t xml:space="preserve">respondents who otherwise consistently choose the opt-out option. Unfortunately, there is still a lack of evidence about the quality of these additional choice data. Moreover, the different framing of the opt-out options could induce slightly different choice behavior, resulting in different preferences assessment and different adoption-rates estimates. Similarly, </w:t>
      </w:r>
      <w:proofErr w:type="spellStart"/>
      <w:r w:rsidRPr="00192088">
        <w:rPr>
          <w:rFonts w:ascii="Times New Roman" w:eastAsia="Times New Roman" w:hAnsi="Times New Roman" w:cs="Times New Roman"/>
          <w:sz w:val="24"/>
          <w:szCs w:val="24"/>
          <w:lang w:val="en-US"/>
        </w:rPr>
        <w:t>Veldwijk</w:t>
      </w:r>
      <w:proofErr w:type="spellEnd"/>
      <w:r w:rsidRPr="00192088">
        <w:rPr>
          <w:rFonts w:ascii="Times New Roman" w:eastAsia="Times New Roman" w:hAnsi="Times New Roman" w:cs="Times New Roman"/>
          <w:sz w:val="24"/>
          <w:szCs w:val="24"/>
          <w:lang w:val="en-US"/>
        </w:rPr>
        <w:t xml:space="preserve"> et al. reported that ‘including an opt-out reduces efficiency with respect to power’ (2013), and that ‘since respondents seem to learn from answering forced choice tasks, a dual response design might result in higher data quality compared to offering a direct opt-out option (2014). In their study, </w:t>
      </w:r>
      <w:proofErr w:type="spellStart"/>
      <w:r w:rsidRPr="00192088">
        <w:rPr>
          <w:rFonts w:ascii="Times New Roman" w:eastAsia="Times New Roman" w:hAnsi="Times New Roman" w:cs="Times New Roman"/>
          <w:sz w:val="24"/>
          <w:szCs w:val="24"/>
          <w:lang w:val="en-US"/>
        </w:rPr>
        <w:t>Determan</w:t>
      </w:r>
      <w:proofErr w:type="spellEnd"/>
      <w:r w:rsidRPr="00192088">
        <w:rPr>
          <w:rFonts w:ascii="Times New Roman" w:eastAsia="Times New Roman" w:hAnsi="Times New Roman" w:cs="Times New Roman"/>
          <w:sz w:val="24"/>
          <w:szCs w:val="24"/>
          <w:lang w:val="en-US"/>
        </w:rPr>
        <w:t xml:space="preserve"> et al. (2019) found that ‘the use of different unforced choice formats affects marginal utilities and welfare estimates and hence the conclusions that will be drawn from the DCE to inform health care decision making’. Last, Campbell &amp; </w:t>
      </w:r>
      <w:proofErr w:type="spellStart"/>
      <w:r w:rsidRPr="00192088">
        <w:rPr>
          <w:rFonts w:ascii="Times New Roman" w:eastAsia="Times New Roman" w:hAnsi="Times New Roman" w:cs="Times New Roman"/>
          <w:sz w:val="24"/>
          <w:szCs w:val="24"/>
          <w:lang w:val="en-US"/>
        </w:rPr>
        <w:t>Erdem</w:t>
      </w:r>
      <w:proofErr w:type="spellEnd"/>
      <w:r w:rsidRPr="00192088">
        <w:rPr>
          <w:rFonts w:ascii="Times New Roman" w:eastAsia="Times New Roman" w:hAnsi="Times New Roman" w:cs="Times New Roman"/>
          <w:sz w:val="24"/>
          <w:szCs w:val="24"/>
          <w:lang w:val="en-US"/>
        </w:rPr>
        <w:t xml:space="preserve"> (2019) showed that ‘</w:t>
      </w:r>
      <w:proofErr w:type="spellStart"/>
      <w:r w:rsidRPr="00192088">
        <w:rPr>
          <w:rFonts w:ascii="Times New Roman" w:eastAsia="Times New Roman" w:hAnsi="Times New Roman" w:cs="Times New Roman"/>
          <w:sz w:val="24"/>
          <w:szCs w:val="24"/>
          <w:lang w:val="en-US"/>
        </w:rPr>
        <w:t>mis</w:t>
      </w:r>
      <w:proofErr w:type="spellEnd"/>
      <w:r w:rsidRPr="00192088">
        <w:rPr>
          <w:rFonts w:ascii="Times New Roman" w:eastAsia="Times New Roman" w:hAnsi="Times New Roman" w:cs="Times New Roman"/>
          <w:sz w:val="24"/>
          <w:szCs w:val="24"/>
          <w:lang w:val="en-US"/>
        </w:rPr>
        <w:t xml:space="preserve">-specifying the opt-out effect has repercussions for marginal willingness to pay estimation and the forecasting of market shares’. </w:t>
      </w:r>
    </w:p>
    <w:p w:rsidR="00E55379" w:rsidRPr="00192088" w:rsidRDefault="00E55379" w:rsidP="00E55379">
      <w:pPr>
        <w:spacing w:line="480" w:lineRule="auto"/>
        <w:jc w:val="both"/>
        <w:rPr>
          <w:rFonts w:ascii="Times New Roman" w:eastAsia="Times New Roman" w:hAnsi="Times New Roman" w:cs="Times New Roman"/>
          <w:sz w:val="24"/>
          <w:szCs w:val="24"/>
          <w:u w:val="single"/>
          <w:lang w:val="en-US"/>
        </w:rPr>
      </w:pPr>
    </w:p>
    <w:p w:rsidR="00E55379" w:rsidRPr="00192088" w:rsidRDefault="00E55379" w:rsidP="00E55379">
      <w:pPr>
        <w:spacing w:line="480" w:lineRule="auto"/>
        <w:jc w:val="both"/>
        <w:rPr>
          <w:rFonts w:ascii="Times New Roman" w:eastAsia="Times New Roman" w:hAnsi="Times New Roman" w:cs="Times New Roman"/>
          <w:sz w:val="24"/>
          <w:szCs w:val="24"/>
          <w:u w:val="single"/>
          <w:lang w:val="en-US"/>
        </w:rPr>
      </w:pPr>
    </w:p>
    <w:p w:rsidR="00E55379" w:rsidRPr="00192088" w:rsidRDefault="00E55379" w:rsidP="00E55379">
      <w:pPr>
        <w:spacing w:line="480" w:lineRule="auto"/>
        <w:jc w:val="both"/>
        <w:rPr>
          <w:rFonts w:ascii="Times New Roman" w:eastAsia="Times New Roman" w:hAnsi="Times New Roman" w:cs="Times New Roman"/>
          <w:sz w:val="24"/>
          <w:szCs w:val="24"/>
          <w:lang w:val="en-US"/>
        </w:rPr>
      </w:pPr>
    </w:p>
    <w:p w:rsidR="004E207B" w:rsidRPr="00E55379" w:rsidRDefault="004E207B" w:rsidP="00E55379">
      <w:pPr>
        <w:spacing w:line="480" w:lineRule="auto"/>
        <w:rPr>
          <w:lang w:val="en-US"/>
        </w:rPr>
      </w:pPr>
      <w:bookmarkStart w:id="1" w:name="_GoBack"/>
      <w:bookmarkEnd w:id="1"/>
    </w:p>
    <w:sectPr w:rsidR="004E207B" w:rsidRPr="00E553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9D" w:rsidRDefault="00752C9D" w:rsidP="00E55379">
      <w:pPr>
        <w:spacing w:line="240" w:lineRule="auto"/>
      </w:pPr>
      <w:r>
        <w:separator/>
      </w:r>
    </w:p>
  </w:endnote>
  <w:endnote w:type="continuationSeparator" w:id="0">
    <w:p w:rsidR="00752C9D" w:rsidRDefault="00752C9D" w:rsidP="00E55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9D" w:rsidRDefault="00752C9D" w:rsidP="00E55379">
      <w:pPr>
        <w:spacing w:line="240" w:lineRule="auto"/>
      </w:pPr>
      <w:r>
        <w:separator/>
      </w:r>
    </w:p>
  </w:footnote>
  <w:footnote w:type="continuationSeparator" w:id="0">
    <w:p w:rsidR="00752C9D" w:rsidRDefault="00752C9D" w:rsidP="00E55379">
      <w:pPr>
        <w:spacing w:line="240" w:lineRule="auto"/>
      </w:pPr>
      <w:r>
        <w:continuationSeparator/>
      </w:r>
    </w:p>
  </w:footnote>
  <w:footnote w:id="1">
    <w:p w:rsidR="00E55379" w:rsidRPr="00851C3B" w:rsidRDefault="00E55379" w:rsidP="00E55379">
      <w:pPr>
        <w:pStyle w:val="Notedebasdepage"/>
        <w:spacing w:after="120"/>
        <w:jc w:val="both"/>
        <w:rPr>
          <w:rFonts w:ascii="Times New Roman" w:eastAsia="Times New Roman" w:hAnsi="Times New Roman" w:cs="Times New Roman"/>
          <w:lang w:val="en-US"/>
        </w:rPr>
      </w:pPr>
      <w:r w:rsidRPr="00851C3B">
        <w:rPr>
          <w:rStyle w:val="Appelnotedebasdep"/>
          <w:rFonts w:ascii="Times New Roman" w:eastAsia="Times New Roman" w:hAnsi="Times New Roman" w:cs="Times New Roman"/>
        </w:rPr>
        <w:footnoteRef/>
      </w:r>
      <w:r w:rsidRPr="00851C3B">
        <w:rPr>
          <w:rFonts w:ascii="Times New Roman" w:eastAsia="Times New Roman" w:hAnsi="Times New Roman" w:cs="Times New Roman"/>
          <w:lang w:val="en-GB"/>
        </w:rPr>
        <w:t xml:space="preserve"> </w:t>
      </w:r>
      <w:r w:rsidRPr="00851C3B">
        <w:rPr>
          <w:rFonts w:ascii="Times New Roman" w:eastAsia="Times New Roman" w:hAnsi="Times New Roman" w:cs="Times New Roman"/>
          <w:lang w:val="en-US"/>
        </w:rPr>
        <w:t xml:space="preserve">Huang, M. Y., Huston, S. A., &amp; </w:t>
      </w:r>
      <w:proofErr w:type="spellStart"/>
      <w:r w:rsidRPr="00851C3B">
        <w:rPr>
          <w:rFonts w:ascii="Times New Roman" w:eastAsia="Times New Roman" w:hAnsi="Times New Roman" w:cs="Times New Roman"/>
          <w:lang w:val="en-US"/>
        </w:rPr>
        <w:t>Perri</w:t>
      </w:r>
      <w:proofErr w:type="spellEnd"/>
      <w:r w:rsidRPr="00851C3B">
        <w:rPr>
          <w:rFonts w:ascii="Times New Roman" w:eastAsia="Times New Roman" w:hAnsi="Times New Roman" w:cs="Times New Roman"/>
          <w:lang w:val="en-US"/>
        </w:rPr>
        <w:t xml:space="preserve">, M. (2014). Consumer preferences for the predictive genetic test for Alzheimer disease. </w:t>
      </w:r>
      <w:r w:rsidRPr="00851C3B">
        <w:rPr>
          <w:rFonts w:ascii="Times New Roman" w:eastAsia="Times New Roman" w:hAnsi="Times New Roman" w:cs="Times New Roman"/>
          <w:i/>
          <w:lang w:val="en-US"/>
        </w:rPr>
        <w:t>Journal of genetic counseling</w:t>
      </w:r>
      <w:r w:rsidRPr="00851C3B">
        <w:rPr>
          <w:rFonts w:ascii="Times New Roman" w:eastAsia="Times New Roman" w:hAnsi="Times New Roman" w:cs="Times New Roman"/>
          <w:lang w:val="en-US"/>
        </w:rPr>
        <w:t>, 23(2), 172-178</w:t>
      </w:r>
    </w:p>
  </w:footnote>
  <w:footnote w:id="2">
    <w:p w:rsidR="00E55379" w:rsidRPr="00851C3B" w:rsidRDefault="00E55379" w:rsidP="00E55379">
      <w:pPr>
        <w:pStyle w:val="Notedebasdepage"/>
        <w:spacing w:after="120"/>
        <w:jc w:val="both"/>
        <w:rPr>
          <w:rFonts w:ascii="Times New Roman" w:eastAsia="Times New Roman" w:hAnsi="Times New Roman" w:cs="Times New Roman"/>
          <w:lang w:val="en-US"/>
        </w:rPr>
      </w:pPr>
      <w:r w:rsidRPr="00851C3B">
        <w:rPr>
          <w:rStyle w:val="Appelnotedebasdep"/>
          <w:rFonts w:ascii="Times New Roman" w:eastAsia="Times New Roman" w:hAnsi="Times New Roman" w:cs="Times New Roman"/>
        </w:rPr>
        <w:footnoteRef/>
      </w:r>
      <w:r w:rsidRPr="00851C3B">
        <w:rPr>
          <w:rFonts w:ascii="Times New Roman" w:eastAsia="Times New Roman" w:hAnsi="Times New Roman" w:cs="Times New Roman"/>
          <w:lang w:val="en-GB"/>
        </w:rPr>
        <w:t xml:space="preserve"> </w:t>
      </w:r>
      <w:r w:rsidRPr="00851C3B">
        <w:rPr>
          <w:rFonts w:ascii="Times New Roman" w:eastAsia="Times New Roman" w:hAnsi="Times New Roman" w:cs="Times New Roman"/>
          <w:lang w:val="en-US"/>
        </w:rPr>
        <w:t xml:space="preserve">Neumann, P. J., </w:t>
      </w:r>
      <w:proofErr w:type="spellStart"/>
      <w:r w:rsidRPr="00851C3B">
        <w:rPr>
          <w:rFonts w:ascii="Times New Roman" w:eastAsia="Times New Roman" w:hAnsi="Times New Roman" w:cs="Times New Roman"/>
          <w:lang w:val="en-US"/>
        </w:rPr>
        <w:t>Hammitt</w:t>
      </w:r>
      <w:proofErr w:type="spellEnd"/>
      <w:r w:rsidRPr="00851C3B">
        <w:rPr>
          <w:rFonts w:ascii="Times New Roman" w:eastAsia="Times New Roman" w:hAnsi="Times New Roman" w:cs="Times New Roman"/>
          <w:lang w:val="en-US"/>
        </w:rPr>
        <w:t xml:space="preserve">, J. K., Mueller, C., </w:t>
      </w:r>
      <w:proofErr w:type="spellStart"/>
      <w:r w:rsidRPr="00851C3B">
        <w:rPr>
          <w:rFonts w:ascii="Times New Roman" w:eastAsia="Times New Roman" w:hAnsi="Times New Roman" w:cs="Times New Roman"/>
          <w:lang w:val="en-US"/>
        </w:rPr>
        <w:t>Fillit</w:t>
      </w:r>
      <w:proofErr w:type="spellEnd"/>
      <w:r w:rsidRPr="00851C3B">
        <w:rPr>
          <w:rFonts w:ascii="Times New Roman" w:eastAsia="Times New Roman" w:hAnsi="Times New Roman" w:cs="Times New Roman"/>
          <w:lang w:val="en-US"/>
        </w:rPr>
        <w:t xml:space="preserve">, H. M., Hill, J., </w:t>
      </w:r>
      <w:proofErr w:type="spellStart"/>
      <w:r w:rsidRPr="00851C3B">
        <w:rPr>
          <w:rFonts w:ascii="Times New Roman" w:eastAsia="Times New Roman" w:hAnsi="Times New Roman" w:cs="Times New Roman"/>
          <w:lang w:val="en-US"/>
        </w:rPr>
        <w:t>Tetteh</w:t>
      </w:r>
      <w:proofErr w:type="spellEnd"/>
      <w:r w:rsidRPr="00851C3B">
        <w:rPr>
          <w:rFonts w:ascii="Times New Roman" w:eastAsia="Times New Roman" w:hAnsi="Times New Roman" w:cs="Times New Roman"/>
          <w:lang w:val="en-US"/>
        </w:rPr>
        <w:t xml:space="preserve">, N. A., &amp; </w:t>
      </w:r>
      <w:proofErr w:type="spellStart"/>
      <w:r w:rsidRPr="00851C3B">
        <w:rPr>
          <w:rFonts w:ascii="Times New Roman" w:eastAsia="Times New Roman" w:hAnsi="Times New Roman" w:cs="Times New Roman"/>
          <w:lang w:val="en-US"/>
        </w:rPr>
        <w:t>Kosik</w:t>
      </w:r>
      <w:proofErr w:type="spellEnd"/>
      <w:r w:rsidRPr="00851C3B">
        <w:rPr>
          <w:rFonts w:ascii="Times New Roman" w:eastAsia="Times New Roman" w:hAnsi="Times New Roman" w:cs="Times New Roman"/>
          <w:lang w:val="en-US"/>
        </w:rPr>
        <w:t>, K. S. (2001). Public attitudes about genetic testing for Alzheimer’s disease. </w:t>
      </w:r>
      <w:r w:rsidRPr="00851C3B">
        <w:rPr>
          <w:rFonts w:ascii="Times New Roman" w:eastAsia="Times New Roman" w:hAnsi="Times New Roman" w:cs="Times New Roman"/>
          <w:i/>
          <w:lang w:val="en-US"/>
        </w:rPr>
        <w:t>Health Affairs</w:t>
      </w:r>
      <w:r w:rsidRPr="00851C3B">
        <w:rPr>
          <w:rFonts w:ascii="Times New Roman" w:eastAsia="Times New Roman" w:hAnsi="Times New Roman" w:cs="Times New Roman"/>
          <w:lang w:val="en-US"/>
        </w:rPr>
        <w:t>, 20(5), 252-264.</w:t>
      </w:r>
    </w:p>
  </w:footnote>
  <w:footnote w:id="3">
    <w:p w:rsidR="00E55379" w:rsidRPr="00851C3B" w:rsidRDefault="00E55379" w:rsidP="00E55379">
      <w:pPr>
        <w:pStyle w:val="Notedebasdepage"/>
        <w:spacing w:after="120"/>
        <w:jc w:val="both"/>
        <w:rPr>
          <w:rFonts w:ascii="Times New Roman" w:eastAsia="Times New Roman" w:hAnsi="Times New Roman" w:cs="Times New Roman"/>
          <w:lang w:val="en-GB"/>
        </w:rPr>
      </w:pPr>
      <w:r w:rsidRPr="00851C3B">
        <w:rPr>
          <w:rStyle w:val="Appelnotedebasdep"/>
          <w:rFonts w:ascii="Times New Roman" w:eastAsia="Times New Roman" w:hAnsi="Times New Roman" w:cs="Times New Roman"/>
        </w:rPr>
        <w:footnoteRef/>
      </w:r>
      <w:r w:rsidRPr="00851C3B">
        <w:rPr>
          <w:rFonts w:ascii="Times New Roman" w:eastAsia="Times New Roman" w:hAnsi="Times New Roman" w:cs="Times New Roman"/>
          <w:lang w:val="en-GB"/>
        </w:rPr>
        <w:t xml:space="preserve"> Myers, R. E., </w:t>
      </w:r>
      <w:proofErr w:type="spellStart"/>
      <w:r w:rsidRPr="00851C3B">
        <w:rPr>
          <w:rFonts w:ascii="Times New Roman" w:eastAsia="Times New Roman" w:hAnsi="Times New Roman" w:cs="Times New Roman"/>
          <w:lang w:val="en-GB"/>
        </w:rPr>
        <w:t>Trock</w:t>
      </w:r>
      <w:proofErr w:type="spellEnd"/>
      <w:r w:rsidRPr="00851C3B">
        <w:rPr>
          <w:rFonts w:ascii="Times New Roman" w:eastAsia="Times New Roman" w:hAnsi="Times New Roman" w:cs="Times New Roman"/>
          <w:lang w:val="en-GB"/>
        </w:rPr>
        <w:t xml:space="preserve">, B. J., </w:t>
      </w:r>
      <w:proofErr w:type="spellStart"/>
      <w:r w:rsidRPr="00851C3B">
        <w:rPr>
          <w:rFonts w:ascii="Times New Roman" w:eastAsia="Times New Roman" w:hAnsi="Times New Roman" w:cs="Times New Roman"/>
          <w:lang w:val="en-GB"/>
        </w:rPr>
        <w:t>Lerman</w:t>
      </w:r>
      <w:proofErr w:type="spellEnd"/>
      <w:r w:rsidRPr="00851C3B">
        <w:rPr>
          <w:rFonts w:ascii="Times New Roman" w:eastAsia="Times New Roman" w:hAnsi="Times New Roman" w:cs="Times New Roman"/>
          <w:lang w:val="en-GB"/>
        </w:rPr>
        <w:t xml:space="preserve">, C., Wolf, T., Ross, E., &amp; </w:t>
      </w:r>
      <w:proofErr w:type="spellStart"/>
      <w:r w:rsidRPr="00851C3B">
        <w:rPr>
          <w:rFonts w:ascii="Times New Roman" w:eastAsia="Times New Roman" w:hAnsi="Times New Roman" w:cs="Times New Roman"/>
          <w:lang w:val="en-GB"/>
        </w:rPr>
        <w:t>Engstrom</w:t>
      </w:r>
      <w:proofErr w:type="spellEnd"/>
      <w:r w:rsidRPr="00851C3B">
        <w:rPr>
          <w:rFonts w:ascii="Times New Roman" w:eastAsia="Times New Roman" w:hAnsi="Times New Roman" w:cs="Times New Roman"/>
          <w:lang w:val="en-GB"/>
        </w:rPr>
        <w:t xml:space="preserve">, P. F. (1990). Adherence to colorectal cancer screening in an HMO population. </w:t>
      </w:r>
      <w:r w:rsidRPr="00851C3B">
        <w:rPr>
          <w:rFonts w:ascii="Times New Roman" w:eastAsia="Times New Roman" w:hAnsi="Times New Roman" w:cs="Times New Roman"/>
          <w:i/>
          <w:iCs/>
          <w:lang w:val="en-GB"/>
        </w:rPr>
        <w:t>Preventive medicine</w:t>
      </w:r>
      <w:r w:rsidRPr="00851C3B">
        <w:rPr>
          <w:rFonts w:ascii="Times New Roman" w:eastAsia="Times New Roman" w:hAnsi="Times New Roman" w:cs="Times New Roman"/>
          <w:lang w:val="en-GB"/>
        </w:rPr>
        <w:t xml:space="preserve">, </w:t>
      </w:r>
      <w:r w:rsidRPr="00851C3B">
        <w:rPr>
          <w:rFonts w:ascii="Times New Roman" w:eastAsia="Times New Roman" w:hAnsi="Times New Roman" w:cs="Times New Roman"/>
          <w:i/>
          <w:iCs/>
          <w:lang w:val="en-GB"/>
        </w:rPr>
        <w:t>19</w:t>
      </w:r>
      <w:r w:rsidRPr="00851C3B">
        <w:rPr>
          <w:rFonts w:ascii="Times New Roman" w:eastAsia="Times New Roman" w:hAnsi="Times New Roman" w:cs="Times New Roman"/>
          <w:lang w:val="en-GB"/>
        </w:rPr>
        <w:t>(5), 502-514.</w:t>
      </w:r>
    </w:p>
    <w:p w:rsidR="00E55379" w:rsidRPr="006E4524" w:rsidRDefault="00E55379" w:rsidP="00E55379">
      <w:pPr>
        <w:pStyle w:val="Notedebasdepage"/>
        <w:spacing w:after="120"/>
        <w:jc w:val="both"/>
        <w:rPr>
          <w:rFonts w:ascii="Times New Roman" w:eastAsia="Times New Roman" w:hAnsi="Times New Roman" w:cs="Times New Roman"/>
          <w:lang w:val="en-GB"/>
        </w:rPr>
      </w:pPr>
      <w:r w:rsidRPr="00851C3B">
        <w:rPr>
          <w:rFonts w:ascii="Times New Roman" w:eastAsia="Times New Roman" w:hAnsi="Times New Roman" w:cs="Times New Roman"/>
          <w:lang w:val="en-GB"/>
        </w:rPr>
        <w:t xml:space="preserve">Weller, D. P., Owen, N., Hiller, J. E., </w:t>
      </w:r>
      <w:proofErr w:type="spellStart"/>
      <w:r w:rsidRPr="00851C3B">
        <w:rPr>
          <w:rFonts w:ascii="Times New Roman" w:eastAsia="Times New Roman" w:hAnsi="Times New Roman" w:cs="Times New Roman"/>
          <w:lang w:val="en-GB"/>
        </w:rPr>
        <w:t>Willson</w:t>
      </w:r>
      <w:proofErr w:type="spellEnd"/>
      <w:r w:rsidRPr="00851C3B">
        <w:rPr>
          <w:rFonts w:ascii="Times New Roman" w:eastAsia="Times New Roman" w:hAnsi="Times New Roman" w:cs="Times New Roman"/>
          <w:lang w:val="en-GB"/>
        </w:rPr>
        <w:t xml:space="preserve">, K., &amp; Wilson, D. (1995). Colorectal cancer and its prevention: prevalence of beliefs, attitudes, intentions and behaviour. </w:t>
      </w:r>
      <w:r w:rsidRPr="00851C3B">
        <w:rPr>
          <w:rFonts w:ascii="Times New Roman" w:eastAsia="Times New Roman" w:hAnsi="Times New Roman" w:cs="Times New Roman"/>
          <w:i/>
          <w:iCs/>
          <w:lang w:val="en-GB"/>
        </w:rPr>
        <w:t>Australian Journal of Public Health</w:t>
      </w:r>
      <w:r w:rsidRPr="00851C3B">
        <w:rPr>
          <w:rFonts w:ascii="Times New Roman" w:eastAsia="Times New Roman" w:hAnsi="Times New Roman" w:cs="Times New Roman"/>
          <w:lang w:val="en-GB"/>
        </w:rPr>
        <w:t xml:space="preserve">, </w:t>
      </w:r>
      <w:r w:rsidRPr="00851C3B">
        <w:rPr>
          <w:rFonts w:ascii="Times New Roman" w:eastAsia="Times New Roman" w:hAnsi="Times New Roman" w:cs="Times New Roman"/>
          <w:i/>
          <w:iCs/>
          <w:lang w:val="en-GB"/>
        </w:rPr>
        <w:t>19</w:t>
      </w:r>
      <w:r w:rsidRPr="00851C3B">
        <w:rPr>
          <w:rFonts w:ascii="Times New Roman" w:eastAsia="Times New Roman" w:hAnsi="Times New Roman" w:cs="Times New Roman"/>
          <w:lang w:val="en-GB"/>
        </w:rPr>
        <w:t>(1), 19-23.</w:t>
      </w:r>
    </w:p>
  </w:footnote>
  <w:footnote w:id="4">
    <w:p w:rsidR="00E55379" w:rsidRPr="00E55379" w:rsidRDefault="00E55379" w:rsidP="00E55379">
      <w:pPr>
        <w:spacing w:after="120" w:line="240" w:lineRule="auto"/>
        <w:jc w:val="both"/>
        <w:rPr>
          <w:rFonts w:ascii="Times New Roman" w:eastAsia="Times New Roman" w:hAnsi="Times New Roman" w:cs="Times New Roman"/>
          <w:sz w:val="20"/>
          <w:szCs w:val="20"/>
          <w:lang w:val="en-US"/>
        </w:rPr>
      </w:pPr>
      <w:r w:rsidRPr="00E55379">
        <w:rPr>
          <w:rStyle w:val="Appelnotedebasdep"/>
          <w:rFonts w:ascii="Times New Roman" w:hAnsi="Times New Roman" w:cs="Times New Roman"/>
          <w:sz w:val="20"/>
          <w:szCs w:val="20"/>
        </w:rPr>
        <w:footnoteRef/>
      </w:r>
      <w:r w:rsidRPr="00E55379">
        <w:rPr>
          <w:rFonts w:ascii="Times New Roman" w:hAnsi="Times New Roman" w:cs="Times New Roman"/>
          <w:sz w:val="20"/>
          <w:szCs w:val="20"/>
          <w:lang w:val="en-GB"/>
        </w:rPr>
        <w:t xml:space="preserve"> </w:t>
      </w:r>
      <w:proofErr w:type="spellStart"/>
      <w:r w:rsidRPr="00E55379">
        <w:rPr>
          <w:rFonts w:ascii="Times New Roman" w:eastAsia="Times New Roman" w:hAnsi="Times New Roman" w:cs="Times New Roman"/>
          <w:sz w:val="20"/>
          <w:szCs w:val="20"/>
          <w:lang w:val="en-US"/>
        </w:rPr>
        <w:t>Jonker</w:t>
      </w:r>
      <w:proofErr w:type="spellEnd"/>
      <w:r w:rsidRPr="00E55379">
        <w:rPr>
          <w:rFonts w:ascii="Times New Roman" w:eastAsia="Times New Roman" w:hAnsi="Times New Roman" w:cs="Times New Roman"/>
          <w:sz w:val="20"/>
          <w:szCs w:val="20"/>
          <w:lang w:val="en-US"/>
        </w:rPr>
        <w:t xml:space="preserve">, M. F., de </w:t>
      </w:r>
      <w:proofErr w:type="spellStart"/>
      <w:r w:rsidRPr="00E55379">
        <w:rPr>
          <w:rFonts w:ascii="Times New Roman" w:eastAsia="Times New Roman" w:hAnsi="Times New Roman" w:cs="Times New Roman"/>
          <w:sz w:val="20"/>
          <w:szCs w:val="20"/>
          <w:lang w:val="en-US"/>
        </w:rPr>
        <w:t>Bekker-Grob</w:t>
      </w:r>
      <w:proofErr w:type="spellEnd"/>
      <w:r w:rsidRPr="00E55379">
        <w:rPr>
          <w:rFonts w:ascii="Times New Roman" w:eastAsia="Times New Roman" w:hAnsi="Times New Roman" w:cs="Times New Roman"/>
          <w:sz w:val="20"/>
          <w:szCs w:val="20"/>
          <w:lang w:val="en-US"/>
        </w:rPr>
        <w:t xml:space="preserve">, E. W., </w:t>
      </w:r>
      <w:proofErr w:type="spellStart"/>
      <w:r w:rsidRPr="00E55379">
        <w:rPr>
          <w:rFonts w:ascii="Times New Roman" w:eastAsia="Times New Roman" w:hAnsi="Times New Roman" w:cs="Times New Roman"/>
          <w:sz w:val="20"/>
          <w:szCs w:val="20"/>
          <w:lang w:val="en-US"/>
        </w:rPr>
        <w:t>Veldwijk</w:t>
      </w:r>
      <w:proofErr w:type="spellEnd"/>
      <w:r w:rsidRPr="00E55379">
        <w:rPr>
          <w:rFonts w:ascii="Times New Roman" w:eastAsia="Times New Roman" w:hAnsi="Times New Roman" w:cs="Times New Roman"/>
          <w:sz w:val="20"/>
          <w:szCs w:val="20"/>
          <w:lang w:val="en-US"/>
        </w:rPr>
        <w:t xml:space="preserve">, J., </w:t>
      </w:r>
      <w:proofErr w:type="spellStart"/>
      <w:r w:rsidRPr="00E55379">
        <w:rPr>
          <w:rFonts w:ascii="Times New Roman" w:eastAsia="Times New Roman" w:hAnsi="Times New Roman" w:cs="Times New Roman"/>
          <w:sz w:val="20"/>
          <w:szCs w:val="20"/>
          <w:lang w:val="en-US"/>
        </w:rPr>
        <w:t>Goossens</w:t>
      </w:r>
      <w:proofErr w:type="spellEnd"/>
      <w:r w:rsidRPr="00E55379">
        <w:rPr>
          <w:rFonts w:ascii="Times New Roman" w:eastAsia="Times New Roman" w:hAnsi="Times New Roman" w:cs="Times New Roman"/>
          <w:sz w:val="20"/>
          <w:szCs w:val="20"/>
          <w:lang w:val="en-US"/>
        </w:rPr>
        <w:t xml:space="preserve">, L. M. A., &amp; Rutten-Van </w:t>
      </w:r>
      <w:proofErr w:type="spellStart"/>
      <w:r w:rsidRPr="00E55379">
        <w:rPr>
          <w:rFonts w:ascii="Times New Roman" w:eastAsia="Times New Roman" w:hAnsi="Times New Roman" w:cs="Times New Roman"/>
          <w:sz w:val="20"/>
          <w:szCs w:val="20"/>
          <w:lang w:val="en-US"/>
        </w:rPr>
        <w:t>Molken</w:t>
      </w:r>
      <w:proofErr w:type="spellEnd"/>
      <w:r w:rsidRPr="00E55379">
        <w:rPr>
          <w:rFonts w:ascii="Times New Roman" w:eastAsia="Times New Roman" w:hAnsi="Times New Roman" w:cs="Times New Roman"/>
          <w:sz w:val="20"/>
          <w:szCs w:val="20"/>
          <w:lang w:val="en-US"/>
        </w:rPr>
        <w:t>, M. (2021). Improved External Validity of DCE Uptake Predictions Based on a Dual-Response None Option Format</w:t>
      </w:r>
      <w:proofErr w:type="gramStart"/>
      <w:r w:rsidRPr="00E55379">
        <w:rPr>
          <w:rFonts w:ascii="Times New Roman" w:eastAsia="Times New Roman" w:hAnsi="Times New Roman" w:cs="Times New Roman"/>
          <w:sz w:val="20"/>
          <w:szCs w:val="20"/>
          <w:lang w:val="en-US"/>
        </w:rPr>
        <w:t>?.</w:t>
      </w:r>
      <w:proofErr w:type="gramEnd"/>
      <w:r w:rsidRPr="00E55379">
        <w:rPr>
          <w:rFonts w:ascii="Times New Roman" w:eastAsia="Times New Roman" w:hAnsi="Times New Roman" w:cs="Times New Roman"/>
          <w:sz w:val="20"/>
          <w:szCs w:val="20"/>
          <w:lang w:val="en-US"/>
        </w:rPr>
        <w:t xml:space="preserve"> The Patient, 14(6), 867-867.</w:t>
      </w:r>
    </w:p>
    <w:p w:rsidR="00E55379" w:rsidRPr="00E55379" w:rsidRDefault="00E55379" w:rsidP="00E55379">
      <w:pPr>
        <w:spacing w:after="120" w:line="240" w:lineRule="auto"/>
        <w:jc w:val="both"/>
        <w:rPr>
          <w:rFonts w:ascii="Times New Roman" w:eastAsia="Times New Roman" w:hAnsi="Times New Roman" w:cs="Times New Roman"/>
          <w:sz w:val="20"/>
          <w:szCs w:val="20"/>
          <w:lang w:val="en-US"/>
        </w:rPr>
      </w:pPr>
      <w:proofErr w:type="spellStart"/>
      <w:r w:rsidRPr="00E55379">
        <w:rPr>
          <w:rFonts w:ascii="Times New Roman" w:eastAsia="Times New Roman" w:hAnsi="Times New Roman" w:cs="Times New Roman"/>
          <w:sz w:val="20"/>
          <w:szCs w:val="20"/>
          <w:lang w:val="en-US"/>
        </w:rPr>
        <w:t>Veldwijk</w:t>
      </w:r>
      <w:proofErr w:type="spellEnd"/>
      <w:r w:rsidRPr="00E55379">
        <w:rPr>
          <w:rFonts w:ascii="Times New Roman" w:eastAsia="Times New Roman" w:hAnsi="Times New Roman" w:cs="Times New Roman"/>
          <w:sz w:val="20"/>
          <w:szCs w:val="20"/>
          <w:lang w:val="en-US"/>
        </w:rPr>
        <w:t xml:space="preserve">, J., </w:t>
      </w:r>
      <w:proofErr w:type="spellStart"/>
      <w:r w:rsidRPr="00E55379">
        <w:rPr>
          <w:rFonts w:ascii="Times New Roman" w:eastAsia="Times New Roman" w:hAnsi="Times New Roman" w:cs="Times New Roman"/>
          <w:sz w:val="20"/>
          <w:szCs w:val="20"/>
          <w:lang w:val="en-US"/>
        </w:rPr>
        <w:t>Lambooij</w:t>
      </w:r>
      <w:proofErr w:type="spellEnd"/>
      <w:r w:rsidRPr="00E55379">
        <w:rPr>
          <w:rFonts w:ascii="Times New Roman" w:eastAsia="Times New Roman" w:hAnsi="Times New Roman" w:cs="Times New Roman"/>
          <w:sz w:val="20"/>
          <w:szCs w:val="20"/>
          <w:lang w:val="en-US"/>
        </w:rPr>
        <w:t xml:space="preserve">, M. S., de </w:t>
      </w:r>
      <w:proofErr w:type="spellStart"/>
      <w:r w:rsidRPr="00E55379">
        <w:rPr>
          <w:rFonts w:ascii="Times New Roman" w:eastAsia="Times New Roman" w:hAnsi="Times New Roman" w:cs="Times New Roman"/>
          <w:sz w:val="20"/>
          <w:szCs w:val="20"/>
          <w:lang w:val="en-US"/>
        </w:rPr>
        <w:t>Bekker-Grob</w:t>
      </w:r>
      <w:proofErr w:type="spellEnd"/>
      <w:r w:rsidRPr="00E55379">
        <w:rPr>
          <w:rFonts w:ascii="Times New Roman" w:eastAsia="Times New Roman" w:hAnsi="Times New Roman" w:cs="Times New Roman"/>
          <w:sz w:val="20"/>
          <w:szCs w:val="20"/>
          <w:lang w:val="en-US"/>
        </w:rPr>
        <w:t xml:space="preserve">, E., Smit, H. A., &amp; de Wit, G. A. (2013). The effect of including an opt-out option in discrete choice experiments. Value in Health, 16(3), A46. </w:t>
      </w:r>
    </w:p>
    <w:p w:rsidR="00E55379" w:rsidRPr="00E55379" w:rsidRDefault="00E55379" w:rsidP="00E55379">
      <w:pPr>
        <w:spacing w:after="120" w:line="240" w:lineRule="auto"/>
        <w:jc w:val="both"/>
        <w:rPr>
          <w:rFonts w:ascii="Times New Roman" w:eastAsia="Times New Roman" w:hAnsi="Times New Roman" w:cs="Times New Roman"/>
          <w:sz w:val="20"/>
          <w:szCs w:val="20"/>
          <w:lang w:val="en-US"/>
        </w:rPr>
      </w:pPr>
      <w:proofErr w:type="spellStart"/>
      <w:r w:rsidRPr="00E55379">
        <w:rPr>
          <w:rFonts w:ascii="Times New Roman" w:eastAsia="Times New Roman" w:hAnsi="Times New Roman" w:cs="Times New Roman"/>
          <w:sz w:val="20"/>
          <w:szCs w:val="20"/>
          <w:lang w:val="en-US"/>
        </w:rPr>
        <w:t>Veldwijk</w:t>
      </w:r>
      <w:proofErr w:type="spellEnd"/>
      <w:r w:rsidRPr="00E55379">
        <w:rPr>
          <w:rFonts w:ascii="Times New Roman" w:eastAsia="Times New Roman" w:hAnsi="Times New Roman" w:cs="Times New Roman"/>
          <w:sz w:val="20"/>
          <w:szCs w:val="20"/>
          <w:lang w:val="en-US"/>
        </w:rPr>
        <w:t xml:space="preserve">, J., </w:t>
      </w:r>
      <w:proofErr w:type="spellStart"/>
      <w:r w:rsidRPr="00E55379">
        <w:rPr>
          <w:rFonts w:ascii="Times New Roman" w:eastAsia="Times New Roman" w:hAnsi="Times New Roman" w:cs="Times New Roman"/>
          <w:sz w:val="20"/>
          <w:szCs w:val="20"/>
          <w:lang w:val="en-US"/>
        </w:rPr>
        <w:t>Lambooij</w:t>
      </w:r>
      <w:proofErr w:type="spellEnd"/>
      <w:r w:rsidRPr="00E55379">
        <w:rPr>
          <w:rFonts w:ascii="Times New Roman" w:eastAsia="Times New Roman" w:hAnsi="Times New Roman" w:cs="Times New Roman"/>
          <w:sz w:val="20"/>
          <w:szCs w:val="20"/>
          <w:lang w:val="en-US"/>
        </w:rPr>
        <w:t xml:space="preserve">, M. S., de </w:t>
      </w:r>
      <w:proofErr w:type="spellStart"/>
      <w:r w:rsidRPr="00E55379">
        <w:rPr>
          <w:rFonts w:ascii="Times New Roman" w:eastAsia="Times New Roman" w:hAnsi="Times New Roman" w:cs="Times New Roman"/>
          <w:sz w:val="20"/>
          <w:szCs w:val="20"/>
          <w:lang w:val="en-US"/>
        </w:rPr>
        <w:t>Bekker-Grob</w:t>
      </w:r>
      <w:proofErr w:type="spellEnd"/>
      <w:r w:rsidRPr="00E55379">
        <w:rPr>
          <w:rFonts w:ascii="Times New Roman" w:eastAsia="Times New Roman" w:hAnsi="Times New Roman" w:cs="Times New Roman"/>
          <w:sz w:val="20"/>
          <w:szCs w:val="20"/>
          <w:lang w:val="en-US"/>
        </w:rPr>
        <w:t xml:space="preserve">, E. W., Smit, H. A., &amp; de Wit, G. A. (2014). The effect of including an opt-out option in discrete choice experiments. </w:t>
      </w:r>
      <w:proofErr w:type="spellStart"/>
      <w:r w:rsidRPr="00E55379">
        <w:rPr>
          <w:rFonts w:ascii="Times New Roman" w:eastAsia="Times New Roman" w:hAnsi="Times New Roman" w:cs="Times New Roman"/>
          <w:sz w:val="20"/>
          <w:szCs w:val="20"/>
          <w:lang w:val="en-US"/>
        </w:rPr>
        <w:t>PloS</w:t>
      </w:r>
      <w:proofErr w:type="spellEnd"/>
      <w:r w:rsidRPr="00E55379">
        <w:rPr>
          <w:rFonts w:ascii="Times New Roman" w:eastAsia="Times New Roman" w:hAnsi="Times New Roman" w:cs="Times New Roman"/>
          <w:sz w:val="20"/>
          <w:szCs w:val="20"/>
          <w:lang w:val="en-US"/>
        </w:rPr>
        <w:t xml:space="preserve"> one, 9(11), e111805.</w:t>
      </w:r>
    </w:p>
    <w:p w:rsidR="00E55379" w:rsidRPr="00E55379" w:rsidRDefault="00E55379" w:rsidP="00E55379">
      <w:pPr>
        <w:spacing w:after="120" w:line="240" w:lineRule="auto"/>
        <w:jc w:val="both"/>
        <w:rPr>
          <w:rFonts w:ascii="Times New Roman" w:eastAsia="Times New Roman" w:hAnsi="Times New Roman" w:cs="Times New Roman"/>
          <w:sz w:val="20"/>
          <w:szCs w:val="20"/>
          <w:lang w:val="en-US"/>
        </w:rPr>
      </w:pPr>
      <w:proofErr w:type="spellStart"/>
      <w:r w:rsidRPr="00E55379">
        <w:rPr>
          <w:rFonts w:ascii="Times New Roman" w:eastAsia="Times New Roman" w:hAnsi="Times New Roman" w:cs="Times New Roman"/>
          <w:sz w:val="20"/>
          <w:szCs w:val="20"/>
          <w:lang w:val="en-US"/>
        </w:rPr>
        <w:t>Determann</w:t>
      </w:r>
      <w:proofErr w:type="spellEnd"/>
      <w:r w:rsidRPr="00E55379">
        <w:rPr>
          <w:rFonts w:ascii="Times New Roman" w:eastAsia="Times New Roman" w:hAnsi="Times New Roman" w:cs="Times New Roman"/>
          <w:sz w:val="20"/>
          <w:szCs w:val="20"/>
          <w:lang w:val="en-US"/>
        </w:rPr>
        <w:t xml:space="preserve">, D., </w:t>
      </w:r>
      <w:proofErr w:type="spellStart"/>
      <w:r w:rsidRPr="00E55379">
        <w:rPr>
          <w:rFonts w:ascii="Times New Roman" w:eastAsia="Times New Roman" w:hAnsi="Times New Roman" w:cs="Times New Roman"/>
          <w:sz w:val="20"/>
          <w:szCs w:val="20"/>
          <w:lang w:val="en-US"/>
        </w:rPr>
        <w:t>Gyrd</w:t>
      </w:r>
      <w:proofErr w:type="spellEnd"/>
      <w:r w:rsidRPr="00E55379">
        <w:rPr>
          <w:rFonts w:ascii="Times New Roman" w:eastAsia="Times New Roman" w:hAnsi="Times New Roman" w:cs="Times New Roman"/>
          <w:sz w:val="20"/>
          <w:szCs w:val="20"/>
          <w:lang w:val="en-US"/>
        </w:rPr>
        <w:t xml:space="preserve">-Hansen, D., de Wit, G. A., de </w:t>
      </w:r>
      <w:proofErr w:type="spellStart"/>
      <w:r w:rsidRPr="00E55379">
        <w:rPr>
          <w:rFonts w:ascii="Times New Roman" w:eastAsia="Times New Roman" w:hAnsi="Times New Roman" w:cs="Times New Roman"/>
          <w:sz w:val="20"/>
          <w:szCs w:val="20"/>
          <w:lang w:val="en-US"/>
        </w:rPr>
        <w:t>Bekker-Grob</w:t>
      </w:r>
      <w:proofErr w:type="spellEnd"/>
      <w:r w:rsidRPr="00E55379">
        <w:rPr>
          <w:rFonts w:ascii="Times New Roman" w:eastAsia="Times New Roman" w:hAnsi="Times New Roman" w:cs="Times New Roman"/>
          <w:sz w:val="20"/>
          <w:szCs w:val="20"/>
          <w:lang w:val="en-US"/>
        </w:rPr>
        <w:t xml:space="preserve">, E. W., </w:t>
      </w:r>
      <w:proofErr w:type="spellStart"/>
      <w:r w:rsidRPr="00E55379">
        <w:rPr>
          <w:rFonts w:ascii="Times New Roman" w:eastAsia="Times New Roman" w:hAnsi="Times New Roman" w:cs="Times New Roman"/>
          <w:sz w:val="20"/>
          <w:szCs w:val="20"/>
          <w:lang w:val="en-US"/>
        </w:rPr>
        <w:t>Steyerberg</w:t>
      </w:r>
      <w:proofErr w:type="spellEnd"/>
      <w:r w:rsidRPr="00E55379">
        <w:rPr>
          <w:rFonts w:ascii="Times New Roman" w:eastAsia="Times New Roman" w:hAnsi="Times New Roman" w:cs="Times New Roman"/>
          <w:sz w:val="20"/>
          <w:szCs w:val="20"/>
          <w:lang w:val="en-US"/>
        </w:rPr>
        <w:t xml:space="preserve">, E. W., </w:t>
      </w:r>
      <w:proofErr w:type="spellStart"/>
      <w:r w:rsidRPr="00E55379">
        <w:rPr>
          <w:rFonts w:ascii="Times New Roman" w:eastAsia="Times New Roman" w:hAnsi="Times New Roman" w:cs="Times New Roman"/>
          <w:sz w:val="20"/>
          <w:szCs w:val="20"/>
          <w:lang w:val="en-US"/>
        </w:rPr>
        <w:t>Lambooij</w:t>
      </w:r>
      <w:proofErr w:type="spellEnd"/>
      <w:r w:rsidRPr="00E55379">
        <w:rPr>
          <w:rFonts w:ascii="Times New Roman" w:eastAsia="Times New Roman" w:hAnsi="Times New Roman" w:cs="Times New Roman"/>
          <w:sz w:val="20"/>
          <w:szCs w:val="20"/>
          <w:lang w:val="en-US"/>
        </w:rPr>
        <w:t xml:space="preserve">, M. S., &amp; </w:t>
      </w:r>
      <w:proofErr w:type="spellStart"/>
      <w:r w:rsidRPr="00E55379">
        <w:rPr>
          <w:rFonts w:ascii="Times New Roman" w:eastAsia="Times New Roman" w:hAnsi="Times New Roman" w:cs="Times New Roman"/>
          <w:sz w:val="20"/>
          <w:szCs w:val="20"/>
          <w:lang w:val="en-US"/>
        </w:rPr>
        <w:t>Bjørnskov</w:t>
      </w:r>
      <w:proofErr w:type="spellEnd"/>
      <w:r w:rsidRPr="00E55379">
        <w:rPr>
          <w:rFonts w:ascii="Times New Roman" w:eastAsia="Times New Roman" w:hAnsi="Times New Roman" w:cs="Times New Roman"/>
          <w:sz w:val="20"/>
          <w:szCs w:val="20"/>
          <w:lang w:val="en-US"/>
        </w:rPr>
        <w:t xml:space="preserve"> Pedersen, L. (2019). Designing unforced choice experiments to inform health care </w:t>
      </w:r>
      <w:proofErr w:type="gramStart"/>
      <w:r w:rsidRPr="00E55379">
        <w:rPr>
          <w:rFonts w:ascii="Times New Roman" w:eastAsia="Times New Roman" w:hAnsi="Times New Roman" w:cs="Times New Roman"/>
          <w:sz w:val="20"/>
          <w:szCs w:val="20"/>
          <w:lang w:val="en-US"/>
        </w:rPr>
        <w:t>decision making</w:t>
      </w:r>
      <w:proofErr w:type="gramEnd"/>
      <w:r w:rsidRPr="00E55379">
        <w:rPr>
          <w:rFonts w:ascii="Times New Roman" w:eastAsia="Times New Roman" w:hAnsi="Times New Roman" w:cs="Times New Roman"/>
          <w:sz w:val="20"/>
          <w:szCs w:val="20"/>
          <w:lang w:val="en-US"/>
        </w:rPr>
        <w:t>:</w:t>
      </w:r>
      <w:r w:rsidRPr="00851C3B">
        <w:rPr>
          <w:rFonts w:ascii="Times New Roman" w:eastAsia="Times New Roman" w:hAnsi="Times New Roman" w:cs="Times New Roman"/>
          <w:sz w:val="20"/>
          <w:szCs w:val="20"/>
          <w:u w:val="single"/>
          <w:lang w:val="en-US"/>
        </w:rPr>
        <w:t xml:space="preserve"> </w:t>
      </w:r>
      <w:r w:rsidRPr="00E55379">
        <w:rPr>
          <w:rFonts w:ascii="Times New Roman" w:eastAsia="Times New Roman" w:hAnsi="Times New Roman" w:cs="Times New Roman"/>
          <w:sz w:val="20"/>
          <w:szCs w:val="20"/>
          <w:lang w:val="en-US"/>
        </w:rPr>
        <w:t>implications of using opt-out, neither, or status quo alternatives in discrete choice experiments. Medical Decision Making, 39(6), 681-692.</w:t>
      </w:r>
    </w:p>
    <w:p w:rsidR="00E55379" w:rsidRPr="00E55379" w:rsidRDefault="00E55379" w:rsidP="00E55379">
      <w:pPr>
        <w:spacing w:after="120" w:line="240" w:lineRule="auto"/>
        <w:jc w:val="both"/>
        <w:rPr>
          <w:rFonts w:ascii="Times New Roman" w:eastAsia="Times New Roman" w:hAnsi="Times New Roman" w:cs="Times New Roman"/>
          <w:color w:val="008080"/>
          <w:lang w:val="en-US"/>
        </w:rPr>
      </w:pPr>
      <w:r w:rsidRPr="00E55379">
        <w:rPr>
          <w:rFonts w:ascii="Times New Roman" w:eastAsia="Times New Roman" w:hAnsi="Times New Roman" w:cs="Times New Roman"/>
          <w:sz w:val="20"/>
          <w:szCs w:val="20"/>
          <w:lang w:val="en-US"/>
        </w:rPr>
        <w:t xml:space="preserve">Campbell, D., &amp; </w:t>
      </w:r>
      <w:proofErr w:type="spellStart"/>
      <w:r w:rsidRPr="00E55379">
        <w:rPr>
          <w:rFonts w:ascii="Times New Roman" w:eastAsia="Times New Roman" w:hAnsi="Times New Roman" w:cs="Times New Roman"/>
          <w:sz w:val="20"/>
          <w:szCs w:val="20"/>
          <w:lang w:val="en-US"/>
        </w:rPr>
        <w:t>Erdem</w:t>
      </w:r>
      <w:proofErr w:type="spellEnd"/>
      <w:r w:rsidRPr="00E55379">
        <w:rPr>
          <w:rFonts w:ascii="Times New Roman" w:eastAsia="Times New Roman" w:hAnsi="Times New Roman" w:cs="Times New Roman"/>
          <w:sz w:val="20"/>
          <w:szCs w:val="20"/>
          <w:lang w:val="en-US"/>
        </w:rPr>
        <w:t>, S. (2019). Including opt-out options in discrete choice experiments: issues to consider. The Patient-Patient-Centered Outcomes Research, 12, 1-14.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79"/>
    <w:rsid w:val="004E207B"/>
    <w:rsid w:val="00752C9D"/>
    <w:rsid w:val="00E553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B290"/>
  <w15:chartTrackingRefBased/>
  <w15:docId w15:val="{DCBF7FEA-1196-4FA1-B5B4-A57D1967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379"/>
    <w:pPr>
      <w:spacing w:after="0" w:line="276" w:lineRule="auto"/>
    </w:pPr>
    <w:rPr>
      <w:rFonts w:ascii="Arial" w:eastAsia="Arial" w:hAnsi="Arial" w:cs="Arial"/>
      <w:lang w:val="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uiPriority w:val="99"/>
    <w:unhideWhenUsed/>
    <w:rsid w:val="00E55379"/>
    <w:pPr>
      <w:spacing w:line="240" w:lineRule="auto"/>
    </w:pPr>
    <w:rPr>
      <w:rFonts w:ascii="Calibri" w:eastAsiaTheme="minorHAnsi" w:hAnsi="Calibri" w:cstheme="minorBidi"/>
      <w:kern w:val="2"/>
      <w:szCs w:val="21"/>
      <w:lang w:val="fr-FR" w:eastAsia="en-US"/>
      <w14:ligatures w14:val="standardContextual"/>
    </w:rPr>
  </w:style>
  <w:style w:type="character" w:customStyle="1" w:styleId="TextebrutCar">
    <w:name w:val="Texte brut Car"/>
    <w:basedOn w:val="Policepardfaut"/>
    <w:link w:val="Textebrut"/>
    <w:uiPriority w:val="99"/>
    <w:rsid w:val="00E55379"/>
    <w:rPr>
      <w:rFonts w:ascii="Calibri" w:hAnsi="Calibri"/>
      <w:kern w:val="2"/>
      <w:szCs w:val="21"/>
      <w14:ligatures w14:val="standardContextual"/>
    </w:rPr>
  </w:style>
  <w:style w:type="character" w:styleId="Appelnotedebasdep">
    <w:name w:val="footnote reference"/>
    <w:basedOn w:val="Policepardfaut"/>
    <w:uiPriority w:val="99"/>
    <w:semiHidden/>
    <w:unhideWhenUsed/>
    <w:rsid w:val="00E55379"/>
    <w:rPr>
      <w:vertAlign w:val="superscript"/>
    </w:rPr>
  </w:style>
  <w:style w:type="character" w:customStyle="1" w:styleId="NotedebasdepageCar">
    <w:name w:val="Note de bas de page Car"/>
    <w:basedOn w:val="Policepardfaut"/>
    <w:link w:val="Notedebasdepage"/>
    <w:uiPriority w:val="99"/>
    <w:semiHidden/>
    <w:rsid w:val="00E55379"/>
    <w:rPr>
      <w:sz w:val="20"/>
      <w:szCs w:val="20"/>
    </w:rPr>
  </w:style>
  <w:style w:type="paragraph" w:styleId="Notedebasdepage">
    <w:name w:val="footnote text"/>
    <w:basedOn w:val="Normal"/>
    <w:link w:val="NotedebasdepageCar"/>
    <w:uiPriority w:val="99"/>
    <w:semiHidden/>
    <w:unhideWhenUsed/>
    <w:rsid w:val="00E55379"/>
    <w:pPr>
      <w:spacing w:line="240" w:lineRule="auto"/>
    </w:pPr>
    <w:rPr>
      <w:rFonts w:asciiTheme="minorHAnsi" w:eastAsiaTheme="minorHAnsi" w:hAnsiTheme="minorHAnsi" w:cstheme="minorBidi"/>
      <w:sz w:val="20"/>
      <w:szCs w:val="20"/>
      <w:lang w:val="fr-FR" w:eastAsia="en-US"/>
    </w:rPr>
  </w:style>
  <w:style w:type="character" w:customStyle="1" w:styleId="NotedebasdepageCar1">
    <w:name w:val="Note de bas de page Car1"/>
    <w:basedOn w:val="Policepardfaut"/>
    <w:uiPriority w:val="99"/>
    <w:semiHidden/>
    <w:rsid w:val="00E55379"/>
    <w:rPr>
      <w:rFonts w:ascii="Arial" w:eastAsia="Arial" w:hAnsi="Arial" w:cs="Arial"/>
      <w:sz w:val="20"/>
      <w:szCs w:val="20"/>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600</Words>
  <Characters>3305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2024-07-10T13:29:00Z</dcterms:created>
  <dcterms:modified xsi:type="dcterms:W3CDTF">2024-07-10T13:32:00Z</dcterms:modified>
</cp:coreProperties>
</file>