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61D99" w14:textId="77777777" w:rsidR="00D84238" w:rsidRDefault="00D84238" w:rsidP="00D84238">
      <w:p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E304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4</w:t>
      </w:r>
      <w:r w:rsidRPr="006E304D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6E304D">
        <w:rPr>
          <w:rFonts w:ascii="Times New Roman" w:hAnsi="Times New Roman" w:cs="Times New Roman"/>
          <w:sz w:val="24"/>
          <w:szCs w:val="24"/>
          <w:lang w:val="en-IN"/>
        </w:rPr>
        <w:t xml:space="preserve"> Time taken for callus formation in each subtype of fracture and total average time taken in both groups.</w:t>
      </w:r>
    </w:p>
    <w:tbl>
      <w:tblPr>
        <w:tblW w:w="105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180"/>
        <w:gridCol w:w="1065"/>
        <w:gridCol w:w="1222"/>
        <w:gridCol w:w="1071"/>
        <w:gridCol w:w="1248"/>
        <w:gridCol w:w="1054"/>
        <w:gridCol w:w="1440"/>
      </w:tblGrid>
      <w:tr w:rsidR="00D84238" w:rsidRPr="00D66DFD" w14:paraId="2CDF7BD0" w14:textId="77777777" w:rsidTr="00A731AA">
        <w:tc>
          <w:tcPr>
            <w:tcW w:w="2250" w:type="dxa"/>
            <w:shd w:val="clear" w:color="auto" w:fill="FFC000"/>
          </w:tcPr>
          <w:p w14:paraId="4CBA5D9C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6840" w:type="dxa"/>
            <w:gridSpan w:val="6"/>
            <w:shd w:val="clear" w:color="auto" w:fill="FFC000"/>
          </w:tcPr>
          <w:p w14:paraId="24A5FA26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Types of tibial fracture (AO Classification)</w:t>
            </w:r>
          </w:p>
          <w:p w14:paraId="0E7A3A6E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FFC000"/>
          </w:tcPr>
          <w:p w14:paraId="02205167" w14:textId="77777777" w:rsidR="00D84238" w:rsidRPr="00D66DFD" w:rsidRDefault="00D84238" w:rsidP="00A731AA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Average time taken for callus formation 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>in months (mean SD)</w:t>
            </w: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D84238" w:rsidRPr="00D66DFD" w14:paraId="58E325C1" w14:textId="77777777" w:rsidTr="00A731AA">
        <w:tc>
          <w:tcPr>
            <w:tcW w:w="2250" w:type="dxa"/>
            <w:shd w:val="clear" w:color="auto" w:fill="FFC000"/>
          </w:tcPr>
          <w:p w14:paraId="149DB887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C000"/>
          </w:tcPr>
          <w:p w14:paraId="01BCD4FC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065" w:type="dxa"/>
            <w:shd w:val="clear" w:color="auto" w:fill="FFC000"/>
          </w:tcPr>
          <w:p w14:paraId="44437507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222" w:type="dxa"/>
            <w:shd w:val="clear" w:color="auto" w:fill="FFC000"/>
          </w:tcPr>
          <w:p w14:paraId="6AED7133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A3</w:t>
            </w:r>
          </w:p>
        </w:tc>
        <w:tc>
          <w:tcPr>
            <w:tcW w:w="1071" w:type="dxa"/>
            <w:shd w:val="clear" w:color="auto" w:fill="FFC000"/>
          </w:tcPr>
          <w:p w14:paraId="321C9256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B1</w:t>
            </w:r>
          </w:p>
        </w:tc>
        <w:tc>
          <w:tcPr>
            <w:tcW w:w="1248" w:type="dxa"/>
            <w:shd w:val="clear" w:color="auto" w:fill="FFC000"/>
          </w:tcPr>
          <w:p w14:paraId="0D26BACC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B2</w:t>
            </w:r>
          </w:p>
        </w:tc>
        <w:tc>
          <w:tcPr>
            <w:tcW w:w="1054" w:type="dxa"/>
            <w:shd w:val="clear" w:color="auto" w:fill="FFC000"/>
          </w:tcPr>
          <w:p w14:paraId="21D8D783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B3</w:t>
            </w:r>
          </w:p>
        </w:tc>
        <w:tc>
          <w:tcPr>
            <w:tcW w:w="1440" w:type="dxa"/>
            <w:vMerge/>
            <w:shd w:val="clear" w:color="auto" w:fill="FFC000"/>
          </w:tcPr>
          <w:p w14:paraId="16D0874C" w14:textId="77777777" w:rsidR="00D84238" w:rsidRPr="00D66DFD" w:rsidRDefault="00D84238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4238" w:rsidRPr="00D66DFD" w14:paraId="3BC72CB7" w14:textId="77777777" w:rsidTr="00A731AA">
        <w:tc>
          <w:tcPr>
            <w:tcW w:w="2250" w:type="dxa"/>
          </w:tcPr>
          <w:p w14:paraId="1D2C5154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red"/>
              </w:rPr>
              <w:t>Regular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A) n= 62</w:t>
            </w:r>
          </w:p>
        </w:tc>
        <w:tc>
          <w:tcPr>
            <w:tcW w:w="1180" w:type="dxa"/>
          </w:tcPr>
          <w:p w14:paraId="4838D2CA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11</w:t>
            </w:r>
          </w:p>
        </w:tc>
        <w:tc>
          <w:tcPr>
            <w:tcW w:w="1065" w:type="dxa"/>
          </w:tcPr>
          <w:p w14:paraId="46FB6FF7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14</w:t>
            </w:r>
          </w:p>
        </w:tc>
        <w:tc>
          <w:tcPr>
            <w:tcW w:w="1222" w:type="dxa"/>
          </w:tcPr>
          <w:p w14:paraId="370335BE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09</w:t>
            </w:r>
          </w:p>
        </w:tc>
        <w:tc>
          <w:tcPr>
            <w:tcW w:w="1071" w:type="dxa"/>
          </w:tcPr>
          <w:p w14:paraId="113179CA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8                     </w:t>
            </w:r>
          </w:p>
        </w:tc>
        <w:tc>
          <w:tcPr>
            <w:tcW w:w="1248" w:type="dxa"/>
          </w:tcPr>
          <w:p w14:paraId="321A03F7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14:paraId="2B16DC72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 (3*)</w:t>
            </w:r>
          </w:p>
        </w:tc>
        <w:tc>
          <w:tcPr>
            <w:tcW w:w="1440" w:type="dxa"/>
          </w:tcPr>
          <w:p w14:paraId="2713C05B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D84238" w:rsidRPr="00D66DFD" w14:paraId="697D1A4A" w14:textId="77777777" w:rsidTr="00A731AA">
        <w:tc>
          <w:tcPr>
            <w:tcW w:w="2250" w:type="dxa"/>
          </w:tcPr>
          <w:p w14:paraId="630B3129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Time taken for callus formation in each type of fracture in months (mean SD)</w:t>
            </w:r>
          </w:p>
        </w:tc>
        <w:tc>
          <w:tcPr>
            <w:tcW w:w="1180" w:type="dxa"/>
          </w:tcPr>
          <w:p w14:paraId="3F69D314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7.5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2.8</w:t>
            </w:r>
          </w:p>
        </w:tc>
        <w:tc>
          <w:tcPr>
            <w:tcW w:w="1065" w:type="dxa"/>
          </w:tcPr>
          <w:p w14:paraId="59D3704B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7.1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2.1</w:t>
            </w:r>
          </w:p>
        </w:tc>
        <w:tc>
          <w:tcPr>
            <w:tcW w:w="1222" w:type="dxa"/>
          </w:tcPr>
          <w:p w14:paraId="1F87D8C5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7.5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4.3</w:t>
            </w:r>
          </w:p>
        </w:tc>
        <w:tc>
          <w:tcPr>
            <w:tcW w:w="1071" w:type="dxa"/>
          </w:tcPr>
          <w:p w14:paraId="3993CA25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8.2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2.4</w:t>
            </w:r>
          </w:p>
        </w:tc>
        <w:tc>
          <w:tcPr>
            <w:tcW w:w="1248" w:type="dxa"/>
          </w:tcPr>
          <w:p w14:paraId="75BEB957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6.4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3.8</w:t>
            </w:r>
          </w:p>
        </w:tc>
        <w:tc>
          <w:tcPr>
            <w:tcW w:w="1054" w:type="dxa"/>
          </w:tcPr>
          <w:p w14:paraId="30D93EE2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7.3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4.5</w:t>
            </w:r>
          </w:p>
        </w:tc>
        <w:tc>
          <w:tcPr>
            <w:tcW w:w="1440" w:type="dxa"/>
          </w:tcPr>
          <w:p w14:paraId="194E3CBF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6.3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2.5</w:t>
            </w:r>
          </w:p>
        </w:tc>
      </w:tr>
      <w:tr w:rsidR="00D84238" w:rsidRPr="00D66DFD" w14:paraId="1D6BC576" w14:textId="77777777" w:rsidTr="00A731AA">
        <w:tc>
          <w:tcPr>
            <w:tcW w:w="2250" w:type="dxa"/>
          </w:tcPr>
          <w:p w14:paraId="7F667DD8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magenta"/>
              </w:rPr>
              <w:t>Antibiotic-coated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B) n=62</w:t>
            </w:r>
          </w:p>
        </w:tc>
        <w:tc>
          <w:tcPr>
            <w:tcW w:w="1180" w:type="dxa"/>
          </w:tcPr>
          <w:p w14:paraId="19F6B611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9</w:t>
            </w:r>
          </w:p>
        </w:tc>
        <w:tc>
          <w:tcPr>
            <w:tcW w:w="1065" w:type="dxa"/>
          </w:tcPr>
          <w:p w14:paraId="28B3618D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13</w:t>
            </w:r>
          </w:p>
        </w:tc>
        <w:tc>
          <w:tcPr>
            <w:tcW w:w="1222" w:type="dxa"/>
          </w:tcPr>
          <w:p w14:paraId="04B21A9E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1071" w:type="dxa"/>
          </w:tcPr>
          <w:p w14:paraId="3FB3E24F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11(1*)                                      </w:t>
            </w:r>
          </w:p>
        </w:tc>
        <w:tc>
          <w:tcPr>
            <w:tcW w:w="1248" w:type="dxa"/>
          </w:tcPr>
          <w:p w14:paraId="72FDD267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1054" w:type="dxa"/>
          </w:tcPr>
          <w:p w14:paraId="0E7DB43B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13(1*)</w:t>
            </w:r>
          </w:p>
        </w:tc>
        <w:tc>
          <w:tcPr>
            <w:tcW w:w="1440" w:type="dxa"/>
          </w:tcPr>
          <w:p w14:paraId="0777E3D3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D84238" w:rsidRPr="00D66DFD" w14:paraId="0443FE80" w14:textId="77777777" w:rsidTr="00A731AA">
        <w:tc>
          <w:tcPr>
            <w:tcW w:w="2250" w:type="dxa"/>
          </w:tcPr>
          <w:p w14:paraId="4A82EEFF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Time taken for callus formation in each type of fracture in months (mean SD)</w:t>
            </w:r>
          </w:p>
        </w:tc>
        <w:tc>
          <w:tcPr>
            <w:tcW w:w="1180" w:type="dxa"/>
          </w:tcPr>
          <w:p w14:paraId="1C179025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3.6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2.3</w:t>
            </w:r>
          </w:p>
        </w:tc>
        <w:tc>
          <w:tcPr>
            <w:tcW w:w="1065" w:type="dxa"/>
          </w:tcPr>
          <w:p w14:paraId="4F01974F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4.7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2.1</w:t>
            </w:r>
          </w:p>
        </w:tc>
        <w:tc>
          <w:tcPr>
            <w:tcW w:w="1222" w:type="dxa"/>
          </w:tcPr>
          <w:p w14:paraId="0B169090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5.2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1.9</w:t>
            </w:r>
          </w:p>
        </w:tc>
        <w:tc>
          <w:tcPr>
            <w:tcW w:w="1071" w:type="dxa"/>
          </w:tcPr>
          <w:p w14:paraId="7BB49623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4.4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±2.4</w:t>
            </w:r>
          </w:p>
        </w:tc>
        <w:tc>
          <w:tcPr>
            <w:tcW w:w="1248" w:type="dxa"/>
          </w:tcPr>
          <w:p w14:paraId="59F0B4E6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3.2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±1.8</w:t>
            </w:r>
          </w:p>
        </w:tc>
        <w:tc>
          <w:tcPr>
            <w:tcW w:w="1054" w:type="dxa"/>
          </w:tcPr>
          <w:p w14:paraId="0258C2E3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4.1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2.4</w:t>
            </w:r>
          </w:p>
        </w:tc>
        <w:tc>
          <w:tcPr>
            <w:tcW w:w="1440" w:type="dxa"/>
          </w:tcPr>
          <w:p w14:paraId="22391E16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4.6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1.9</w:t>
            </w:r>
          </w:p>
        </w:tc>
      </w:tr>
      <w:tr w:rsidR="00D84238" w:rsidRPr="00D66DFD" w14:paraId="41DBDADC" w14:textId="77777777" w:rsidTr="00A731AA">
        <w:tc>
          <w:tcPr>
            <w:tcW w:w="2250" w:type="dxa"/>
          </w:tcPr>
          <w:p w14:paraId="3F872A13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>p-value</w:t>
            </w:r>
          </w:p>
        </w:tc>
        <w:tc>
          <w:tcPr>
            <w:tcW w:w="1180" w:type="dxa"/>
          </w:tcPr>
          <w:p w14:paraId="3F65EFDF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  <w:tc>
          <w:tcPr>
            <w:tcW w:w="1065" w:type="dxa"/>
          </w:tcPr>
          <w:p w14:paraId="44B0171A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  <w:tc>
          <w:tcPr>
            <w:tcW w:w="1222" w:type="dxa"/>
          </w:tcPr>
          <w:p w14:paraId="32731929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4991623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FF2E0D4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  <w:tc>
          <w:tcPr>
            <w:tcW w:w="1054" w:type="dxa"/>
          </w:tcPr>
          <w:p w14:paraId="23A813FD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1384D7" w14:textId="77777777" w:rsidR="00D84238" w:rsidRPr="00D66DFD" w:rsidRDefault="00D84238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0.0267</w:t>
            </w:r>
          </w:p>
        </w:tc>
      </w:tr>
    </w:tbl>
    <w:p w14:paraId="2A6810F4" w14:textId="77777777" w:rsidR="00D84238" w:rsidRPr="00D66DFD" w:rsidRDefault="00D84238" w:rsidP="00D8423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66DFD">
        <w:rPr>
          <w:rFonts w:ascii="Times New Roman" w:hAnsi="Times New Roman"/>
          <w:b/>
          <w:sz w:val="24"/>
          <w:szCs w:val="24"/>
        </w:rPr>
        <w:t xml:space="preserve">Foot note: * </w:t>
      </w:r>
      <w:r w:rsidRPr="00D66DFD">
        <w:rPr>
          <w:rFonts w:ascii="Times New Roman" w:hAnsi="Times New Roman"/>
          <w:bCs/>
          <w:sz w:val="24"/>
          <w:szCs w:val="24"/>
        </w:rPr>
        <w:t xml:space="preserve">In Regular nail group 03 patients with B3 AO type </w:t>
      </w:r>
      <w:r w:rsidRPr="00755513">
        <w:rPr>
          <w:rFonts w:ascii="Times New Roman" w:hAnsi="Times New Roman"/>
          <w:bCs/>
          <w:sz w:val="24"/>
          <w:szCs w:val="24"/>
        </w:rPr>
        <w:t xml:space="preserve">fracture lost to follow </w:t>
      </w:r>
      <w:proofErr w:type="gramStart"/>
      <w:r w:rsidRPr="00755513">
        <w:rPr>
          <w:rFonts w:ascii="Times New Roman" w:hAnsi="Times New Roman"/>
          <w:bCs/>
          <w:sz w:val="24"/>
          <w:szCs w:val="24"/>
        </w:rPr>
        <w:t>up</w:t>
      </w:r>
      <w:r w:rsidRPr="00D66DFD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D66DFD">
        <w:rPr>
          <w:rFonts w:ascii="Times New Roman" w:hAnsi="Times New Roman"/>
          <w:bCs/>
          <w:sz w:val="24"/>
          <w:szCs w:val="24"/>
        </w:rPr>
        <w:t xml:space="preserve"> In Antibiotic nail group 01 patients with B1 AO type fracture and 01 patients with B3 AO type fracture </w:t>
      </w:r>
      <w:r w:rsidRPr="00755513">
        <w:rPr>
          <w:rFonts w:ascii="Times New Roman" w:hAnsi="Times New Roman"/>
          <w:bCs/>
          <w:sz w:val="24"/>
          <w:szCs w:val="24"/>
        </w:rPr>
        <w:t>lost to follow up.</w:t>
      </w:r>
      <w:r w:rsidRPr="00D66DFD">
        <w:rPr>
          <w:rFonts w:ascii="Times New Roman" w:hAnsi="Times New Roman"/>
          <w:bCs/>
          <w:sz w:val="24"/>
          <w:szCs w:val="24"/>
        </w:rPr>
        <w:t xml:space="preserve"> </w:t>
      </w:r>
    </w:p>
    <w:p w14:paraId="755F21C0" w14:textId="77777777" w:rsidR="00D84238" w:rsidRPr="006E304D" w:rsidRDefault="00D84238" w:rsidP="00D842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8D0A53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0304B"/>
    <w:rsid w:val="0059013B"/>
    <w:rsid w:val="00667ADC"/>
    <w:rsid w:val="00D0304B"/>
    <w:rsid w:val="00D84238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F7055E-3CB3-4E20-AB45-B269CCEC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238"/>
  </w:style>
  <w:style w:type="paragraph" w:styleId="Heading1">
    <w:name w:val="heading 1"/>
    <w:basedOn w:val="Normal"/>
    <w:next w:val="Normal"/>
    <w:link w:val="Heading1Char"/>
    <w:uiPriority w:val="9"/>
    <w:qFormat/>
    <w:rsid w:val="00D03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04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04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04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04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04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04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0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0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0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0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0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0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0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04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04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04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04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2024-08-31T07:20:00Z</dcterms:created>
  <dcterms:modified xsi:type="dcterms:W3CDTF">2024-08-31T07:20:00Z</dcterms:modified>
</cp:coreProperties>
</file>