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C44BC" w14:textId="77777777" w:rsidR="00F31893" w:rsidRPr="00D66DFD" w:rsidRDefault="00F31893" w:rsidP="00F31893">
      <w:pPr>
        <w:spacing w:line="480" w:lineRule="auto"/>
        <w:ind w:right="360"/>
        <w:rPr>
          <w:rFonts w:ascii="Times New Roman" w:hAnsi="Times New Roman"/>
          <w:color w:val="1F1F1F"/>
          <w:sz w:val="24"/>
          <w:szCs w:val="24"/>
        </w:rPr>
      </w:pPr>
      <w:bookmarkStart w:id="0" w:name="_Hlk161838866"/>
      <w:r w:rsidRPr="00C904A7">
        <w:rPr>
          <w:rStyle w:val="label"/>
          <w:rFonts w:ascii="Times New Roman" w:hAnsi="Times New Roman"/>
          <w:b/>
          <w:bCs/>
          <w:color w:val="1F1F1F"/>
          <w:sz w:val="24"/>
          <w:szCs w:val="24"/>
        </w:rPr>
        <w:t xml:space="preserve">Table </w:t>
      </w:r>
      <w:r>
        <w:rPr>
          <w:rStyle w:val="label"/>
          <w:rFonts w:ascii="Times New Roman" w:hAnsi="Times New Roman"/>
          <w:b/>
          <w:bCs/>
          <w:color w:val="1F1F1F"/>
          <w:sz w:val="24"/>
          <w:szCs w:val="24"/>
        </w:rPr>
        <w:t>8</w:t>
      </w:r>
      <w:r w:rsidRPr="00C904A7">
        <w:rPr>
          <w:rFonts w:ascii="Times New Roman" w:hAnsi="Times New Roman"/>
          <w:color w:val="1F1F1F"/>
          <w:sz w:val="24"/>
          <w:szCs w:val="24"/>
        </w:rPr>
        <w:t>. Clinical and radiographical outcomes of patients in regular and gentamycin nail groups</w:t>
      </w:r>
      <w:r w:rsidRPr="00D66DFD">
        <w:rPr>
          <w:rFonts w:ascii="Times New Roman" w:hAnsi="Times New Roman"/>
          <w:color w:val="1F1F1F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7"/>
        <w:gridCol w:w="2503"/>
        <w:gridCol w:w="1548"/>
        <w:gridCol w:w="1830"/>
        <w:gridCol w:w="1578"/>
      </w:tblGrid>
      <w:tr w:rsidR="00F31893" w:rsidRPr="00D66DFD" w14:paraId="60BFDE02" w14:textId="77777777" w:rsidTr="00F31893">
        <w:tc>
          <w:tcPr>
            <w:tcW w:w="2117" w:type="dxa"/>
          </w:tcPr>
          <w:bookmarkEnd w:id="0"/>
          <w:p w14:paraId="3315C48D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Parameters </w:t>
            </w:r>
          </w:p>
        </w:tc>
        <w:tc>
          <w:tcPr>
            <w:tcW w:w="2503" w:type="dxa"/>
          </w:tcPr>
          <w:p w14:paraId="6522308F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Outcome </w:t>
            </w:r>
          </w:p>
        </w:tc>
        <w:tc>
          <w:tcPr>
            <w:tcW w:w="1548" w:type="dxa"/>
          </w:tcPr>
          <w:p w14:paraId="6BADC7E5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  <w:t>Regular Nail</w:t>
            </w:r>
          </w:p>
        </w:tc>
        <w:tc>
          <w:tcPr>
            <w:tcW w:w="1830" w:type="dxa"/>
          </w:tcPr>
          <w:p w14:paraId="04DA9641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  <w:t>Gentamycin nail</w:t>
            </w:r>
          </w:p>
        </w:tc>
        <w:tc>
          <w:tcPr>
            <w:tcW w:w="1578" w:type="dxa"/>
          </w:tcPr>
          <w:p w14:paraId="50C2EB0B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en-GB"/>
              </w:rPr>
              <w:t>p- value</w:t>
            </w:r>
          </w:p>
        </w:tc>
      </w:tr>
      <w:tr w:rsidR="00F31893" w:rsidRPr="00D66DFD" w14:paraId="06E76973" w14:textId="77777777" w:rsidTr="00F31893">
        <w:tc>
          <w:tcPr>
            <w:tcW w:w="2117" w:type="dxa"/>
          </w:tcPr>
          <w:p w14:paraId="3BB4EAD6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Time to union in weeks</w:t>
            </w:r>
          </w:p>
        </w:tc>
        <w:tc>
          <w:tcPr>
            <w:tcW w:w="2503" w:type="dxa"/>
          </w:tcPr>
          <w:p w14:paraId="26A1F41A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8" w:type="dxa"/>
          </w:tcPr>
          <w:p w14:paraId="2E1E538D" w14:textId="77777777" w:rsidR="00F31893" w:rsidRPr="00D66DFD" w:rsidRDefault="00F31893" w:rsidP="00A731AA">
            <w:pPr>
              <w:spacing w:line="276" w:lineRule="auto"/>
              <w:ind w:right="-18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6.3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2.5</w:t>
            </w:r>
          </w:p>
        </w:tc>
        <w:tc>
          <w:tcPr>
            <w:tcW w:w="1830" w:type="dxa"/>
          </w:tcPr>
          <w:p w14:paraId="5C78145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4.6 </w:t>
            </w: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± 1.9</w:t>
            </w:r>
          </w:p>
        </w:tc>
        <w:tc>
          <w:tcPr>
            <w:tcW w:w="1578" w:type="dxa"/>
          </w:tcPr>
          <w:p w14:paraId="05B18928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  <w:t>0.0267</w:t>
            </w:r>
          </w:p>
        </w:tc>
      </w:tr>
      <w:tr w:rsidR="00F31893" w:rsidRPr="00D66DFD" w14:paraId="5136A7AB" w14:textId="77777777" w:rsidTr="00F31893">
        <w:tc>
          <w:tcPr>
            <w:tcW w:w="2117" w:type="dxa"/>
            <w:vMerge w:val="restart"/>
          </w:tcPr>
          <w:p w14:paraId="76C510CE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Impaired bony union (n, %)</w:t>
            </w:r>
          </w:p>
        </w:tc>
        <w:tc>
          <w:tcPr>
            <w:tcW w:w="2503" w:type="dxa"/>
          </w:tcPr>
          <w:p w14:paraId="0122993D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Delayed union</w:t>
            </w:r>
          </w:p>
        </w:tc>
        <w:tc>
          <w:tcPr>
            <w:tcW w:w="1548" w:type="dxa"/>
          </w:tcPr>
          <w:p w14:paraId="275D69F1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4</w:t>
            </w:r>
          </w:p>
        </w:tc>
        <w:tc>
          <w:tcPr>
            <w:tcW w:w="1830" w:type="dxa"/>
          </w:tcPr>
          <w:p w14:paraId="45B5FF8B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1578" w:type="dxa"/>
          </w:tcPr>
          <w:p w14:paraId="7219574A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-</w:t>
            </w:r>
          </w:p>
        </w:tc>
      </w:tr>
      <w:tr w:rsidR="00F31893" w:rsidRPr="00D66DFD" w14:paraId="4405F6ED" w14:textId="77777777" w:rsidTr="00F31893">
        <w:tc>
          <w:tcPr>
            <w:tcW w:w="2117" w:type="dxa"/>
            <w:vMerge/>
          </w:tcPr>
          <w:p w14:paraId="38CB39A4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676F1F58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Nonunion</w:t>
            </w:r>
          </w:p>
        </w:tc>
        <w:tc>
          <w:tcPr>
            <w:tcW w:w="1548" w:type="dxa"/>
          </w:tcPr>
          <w:p w14:paraId="2D1259D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830" w:type="dxa"/>
          </w:tcPr>
          <w:p w14:paraId="340D9C5F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1578" w:type="dxa"/>
          </w:tcPr>
          <w:p w14:paraId="0934A761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-</w:t>
            </w:r>
          </w:p>
        </w:tc>
      </w:tr>
      <w:tr w:rsidR="00F31893" w:rsidRPr="00D66DFD" w14:paraId="6DED648E" w14:textId="77777777" w:rsidTr="00F31893">
        <w:tc>
          <w:tcPr>
            <w:tcW w:w="2117" w:type="dxa"/>
            <w:vMerge/>
          </w:tcPr>
          <w:p w14:paraId="33DEAEE6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00E88E5E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Implant failure</w:t>
            </w:r>
          </w:p>
        </w:tc>
        <w:tc>
          <w:tcPr>
            <w:tcW w:w="1548" w:type="dxa"/>
          </w:tcPr>
          <w:p w14:paraId="74AA5355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830" w:type="dxa"/>
          </w:tcPr>
          <w:p w14:paraId="454BE402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0</w:t>
            </w:r>
          </w:p>
        </w:tc>
        <w:tc>
          <w:tcPr>
            <w:tcW w:w="1578" w:type="dxa"/>
          </w:tcPr>
          <w:p w14:paraId="0B76F6F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-</w:t>
            </w:r>
          </w:p>
        </w:tc>
      </w:tr>
      <w:tr w:rsidR="00F31893" w:rsidRPr="00D66DFD" w14:paraId="7735E55B" w14:textId="77777777" w:rsidTr="00F31893">
        <w:tc>
          <w:tcPr>
            <w:tcW w:w="2117" w:type="dxa"/>
            <w:vMerge/>
          </w:tcPr>
          <w:p w14:paraId="47377AF8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36755EC6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Chronic osteomyelitis</w:t>
            </w:r>
          </w:p>
        </w:tc>
        <w:tc>
          <w:tcPr>
            <w:tcW w:w="1548" w:type="dxa"/>
          </w:tcPr>
          <w:p w14:paraId="4FC1B43C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1830" w:type="dxa"/>
          </w:tcPr>
          <w:p w14:paraId="552C47A0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0</w:t>
            </w:r>
          </w:p>
        </w:tc>
        <w:tc>
          <w:tcPr>
            <w:tcW w:w="1578" w:type="dxa"/>
          </w:tcPr>
          <w:p w14:paraId="1EC49932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-</w:t>
            </w:r>
          </w:p>
        </w:tc>
      </w:tr>
      <w:tr w:rsidR="00F31893" w:rsidRPr="00D66DFD" w14:paraId="03E86D98" w14:textId="77777777" w:rsidTr="00F31893">
        <w:tc>
          <w:tcPr>
            <w:tcW w:w="2117" w:type="dxa"/>
            <w:vMerge/>
          </w:tcPr>
          <w:p w14:paraId="69ACDE3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27D62ED0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548" w:type="dxa"/>
          </w:tcPr>
          <w:p w14:paraId="5ECEAFF0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830" w:type="dxa"/>
          </w:tcPr>
          <w:p w14:paraId="3A4063E1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578" w:type="dxa"/>
          </w:tcPr>
          <w:p w14:paraId="5344727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F31893" w:rsidRPr="00D66DFD" w14:paraId="53A4C93B" w14:textId="77777777" w:rsidTr="00F31893">
        <w:tc>
          <w:tcPr>
            <w:tcW w:w="2117" w:type="dxa"/>
          </w:tcPr>
          <w:p w14:paraId="06C10756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Lower Extremity Functional Score </w:t>
            </w:r>
            <w:proofErr w:type="gramStart"/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( LEFC</w:t>
            </w:r>
            <w:proofErr w:type="gramEnd"/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)</w:t>
            </w:r>
          </w:p>
        </w:tc>
        <w:tc>
          <w:tcPr>
            <w:tcW w:w="2503" w:type="dxa"/>
          </w:tcPr>
          <w:p w14:paraId="36431AAD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548" w:type="dxa"/>
          </w:tcPr>
          <w:p w14:paraId="47632DAC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1F1F1F"/>
                <w:sz w:val="24"/>
                <w:szCs w:val="24"/>
              </w:rPr>
              <w:t>75.6 ± 2.9</w:t>
            </w:r>
          </w:p>
        </w:tc>
        <w:tc>
          <w:tcPr>
            <w:tcW w:w="1830" w:type="dxa"/>
          </w:tcPr>
          <w:p w14:paraId="42DBFC9F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1F1F1F"/>
                <w:sz w:val="24"/>
                <w:szCs w:val="24"/>
              </w:rPr>
              <w:t>74.7 ± 3.1</w:t>
            </w:r>
          </w:p>
        </w:tc>
        <w:tc>
          <w:tcPr>
            <w:tcW w:w="1578" w:type="dxa"/>
          </w:tcPr>
          <w:p w14:paraId="0C773123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0.871</w:t>
            </w:r>
          </w:p>
        </w:tc>
      </w:tr>
      <w:tr w:rsidR="00F31893" w:rsidRPr="00D66DFD" w14:paraId="3A29F000" w14:textId="77777777" w:rsidTr="00F31893">
        <w:tc>
          <w:tcPr>
            <w:tcW w:w="2117" w:type="dxa"/>
          </w:tcPr>
          <w:p w14:paraId="73C8BB24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b/>
                <w:bCs/>
                <w:color w:val="1F1F1F"/>
                <w:sz w:val="24"/>
                <w:szCs w:val="24"/>
              </w:rPr>
              <w:t>Complications (n, %)</w:t>
            </w:r>
          </w:p>
        </w:tc>
        <w:tc>
          <w:tcPr>
            <w:tcW w:w="2503" w:type="dxa"/>
          </w:tcPr>
          <w:p w14:paraId="76C044B1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548" w:type="dxa"/>
          </w:tcPr>
          <w:p w14:paraId="49183ACD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830" w:type="dxa"/>
          </w:tcPr>
          <w:p w14:paraId="4194B818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1578" w:type="dxa"/>
            <w:vMerge w:val="restart"/>
          </w:tcPr>
          <w:p w14:paraId="0167409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0.173</w:t>
            </w:r>
          </w:p>
          <w:p w14:paraId="7125D2D2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  <w:p w14:paraId="5315A6B1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  <w:p w14:paraId="00A8C8F8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  <w:p w14:paraId="66327E73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F31893" w:rsidRPr="00D66DFD" w14:paraId="6F32AD47" w14:textId="77777777" w:rsidTr="00F31893">
        <w:tc>
          <w:tcPr>
            <w:tcW w:w="2117" w:type="dxa"/>
          </w:tcPr>
          <w:p w14:paraId="75E8F65B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2503" w:type="dxa"/>
          </w:tcPr>
          <w:p w14:paraId="053FF068" w14:textId="77777777" w:rsidR="00F31893" w:rsidRPr="00D66DFD" w:rsidRDefault="00F31893" w:rsidP="00A731AA">
            <w:pPr>
              <w:spacing w:line="276" w:lineRule="auto"/>
              <w:ind w:right="-20"/>
              <w:rPr>
                <w:rFonts w:ascii="Times New Roman" w:hAnsi="Times New Roman"/>
                <w:color w:val="1F1F1F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1F1F1F"/>
                <w:sz w:val="24"/>
                <w:szCs w:val="24"/>
              </w:rPr>
              <w:t> Chronic Infection(osteomyelitis)</w:t>
            </w:r>
          </w:p>
        </w:tc>
        <w:tc>
          <w:tcPr>
            <w:tcW w:w="1548" w:type="dxa"/>
          </w:tcPr>
          <w:p w14:paraId="00F67644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1830" w:type="dxa"/>
          </w:tcPr>
          <w:p w14:paraId="0A23AFD3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0</w:t>
            </w:r>
          </w:p>
        </w:tc>
        <w:tc>
          <w:tcPr>
            <w:tcW w:w="1578" w:type="dxa"/>
            <w:vMerge/>
          </w:tcPr>
          <w:p w14:paraId="161CF012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F31893" w:rsidRPr="00D66DFD" w14:paraId="145741A7" w14:textId="77777777" w:rsidTr="00F31893">
        <w:tc>
          <w:tcPr>
            <w:tcW w:w="2117" w:type="dxa"/>
          </w:tcPr>
          <w:p w14:paraId="062E70F9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3EB0B92E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Axial malalignment</w:t>
            </w:r>
          </w:p>
        </w:tc>
        <w:tc>
          <w:tcPr>
            <w:tcW w:w="1548" w:type="dxa"/>
          </w:tcPr>
          <w:p w14:paraId="1CBCE072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2</w:t>
            </w:r>
          </w:p>
        </w:tc>
        <w:tc>
          <w:tcPr>
            <w:tcW w:w="1830" w:type="dxa"/>
          </w:tcPr>
          <w:p w14:paraId="14FB3AE0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578" w:type="dxa"/>
            <w:vMerge/>
          </w:tcPr>
          <w:p w14:paraId="050E6577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F31893" w:rsidRPr="00D66DFD" w14:paraId="266E0564" w14:textId="77777777" w:rsidTr="00F31893">
        <w:tc>
          <w:tcPr>
            <w:tcW w:w="2117" w:type="dxa"/>
          </w:tcPr>
          <w:p w14:paraId="727E58B7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741E5565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1F1F1F"/>
                <w:sz w:val="24"/>
                <w:szCs w:val="24"/>
              </w:rPr>
              <w:t>Rotational malalignment</w:t>
            </w:r>
          </w:p>
        </w:tc>
        <w:tc>
          <w:tcPr>
            <w:tcW w:w="1548" w:type="dxa"/>
          </w:tcPr>
          <w:p w14:paraId="4ABEF9B4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830" w:type="dxa"/>
          </w:tcPr>
          <w:p w14:paraId="1B7E4B87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578" w:type="dxa"/>
            <w:vMerge/>
          </w:tcPr>
          <w:p w14:paraId="57244B6A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F31893" w:rsidRPr="00D66DFD" w14:paraId="36E278A3" w14:textId="77777777" w:rsidTr="00F31893">
        <w:tc>
          <w:tcPr>
            <w:tcW w:w="2117" w:type="dxa"/>
          </w:tcPr>
          <w:p w14:paraId="65D185AC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  <w:tc>
          <w:tcPr>
            <w:tcW w:w="2503" w:type="dxa"/>
          </w:tcPr>
          <w:p w14:paraId="3202081A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1F1F1F"/>
                <w:sz w:val="24"/>
                <w:szCs w:val="24"/>
              </w:rPr>
              <w:t>Implant failure</w:t>
            </w:r>
          </w:p>
        </w:tc>
        <w:tc>
          <w:tcPr>
            <w:tcW w:w="1548" w:type="dxa"/>
          </w:tcPr>
          <w:p w14:paraId="12FDA783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1</w:t>
            </w:r>
          </w:p>
        </w:tc>
        <w:tc>
          <w:tcPr>
            <w:tcW w:w="1830" w:type="dxa"/>
          </w:tcPr>
          <w:p w14:paraId="28100CCE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>0</w:t>
            </w:r>
          </w:p>
        </w:tc>
        <w:tc>
          <w:tcPr>
            <w:tcW w:w="1578" w:type="dxa"/>
            <w:vMerge/>
          </w:tcPr>
          <w:p w14:paraId="0AC807DE" w14:textId="77777777" w:rsidR="00F31893" w:rsidRPr="00D66DFD" w:rsidRDefault="00F31893" w:rsidP="00A731AA">
            <w:pPr>
              <w:spacing w:line="276" w:lineRule="auto"/>
              <w:ind w:right="3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</w:tbl>
    <w:p w14:paraId="6CA371D4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265D5"/>
    <w:rsid w:val="005265D5"/>
    <w:rsid w:val="0059013B"/>
    <w:rsid w:val="00667ADC"/>
    <w:rsid w:val="00F31893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6B75E-5342-4F0B-9422-17B79BB4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893"/>
  </w:style>
  <w:style w:type="paragraph" w:styleId="Heading1">
    <w:name w:val="heading 1"/>
    <w:basedOn w:val="Normal"/>
    <w:next w:val="Normal"/>
    <w:link w:val="Heading1Char"/>
    <w:uiPriority w:val="9"/>
    <w:qFormat/>
    <w:rsid w:val="00526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6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65D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5D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6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6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6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6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5D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65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65D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65D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5D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65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65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65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65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6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6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65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6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65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65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65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65D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65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65D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65D5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F3189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rsid w:val="00F31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2024-08-31T07:53:00Z</dcterms:created>
  <dcterms:modified xsi:type="dcterms:W3CDTF">2024-08-31T07:53:00Z</dcterms:modified>
</cp:coreProperties>
</file>