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5B42A" w14:textId="77777777" w:rsidR="00012855" w:rsidRDefault="00012855" w:rsidP="00012855">
      <w:p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bookmarkStart w:id="0" w:name="_Hlk174967882"/>
      <w:r w:rsidRPr="00C65DF8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9</w:t>
      </w:r>
      <w:r w:rsidRPr="00C65DF8">
        <w:rPr>
          <w:rFonts w:ascii="Times New Roman" w:hAnsi="Times New Roman" w:cs="Times New Roman"/>
          <w:b/>
          <w:bCs/>
          <w:sz w:val="24"/>
          <w:szCs w:val="24"/>
          <w:lang w:val="en-IN"/>
        </w:rPr>
        <w:t>:</w:t>
      </w:r>
      <w:r w:rsidRPr="00C65DF8">
        <w:rPr>
          <w:rFonts w:ascii="Times New Roman" w:hAnsi="Times New Roman" w:cs="Times New Roman"/>
          <w:sz w:val="24"/>
          <w:szCs w:val="24"/>
          <w:lang w:val="en-IN"/>
        </w:rPr>
        <w:t xml:space="preserve"> Comparative analysis of previous and present studies in relation to infection.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4683"/>
        <w:gridCol w:w="3113"/>
      </w:tblGrid>
      <w:tr w:rsidR="00012855" w:rsidRPr="00D66DFD" w14:paraId="05F7D4F6" w14:textId="77777777" w:rsidTr="00230179">
        <w:tc>
          <w:tcPr>
            <w:tcW w:w="1560" w:type="dxa"/>
            <w:shd w:val="clear" w:color="auto" w:fill="FFC000"/>
          </w:tcPr>
          <w:p w14:paraId="317D832E" w14:textId="77777777" w:rsidR="00012855" w:rsidRPr="00D66DFD" w:rsidRDefault="00012855" w:rsidP="002301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 xml:space="preserve">Study </w:t>
            </w:r>
          </w:p>
        </w:tc>
        <w:tc>
          <w:tcPr>
            <w:tcW w:w="1417" w:type="dxa"/>
            <w:shd w:val="clear" w:color="auto" w:fill="FFC000"/>
          </w:tcPr>
          <w:p w14:paraId="371E3FF9" w14:textId="77777777" w:rsidR="00012855" w:rsidRPr="00D66DFD" w:rsidRDefault="00012855" w:rsidP="002301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 xml:space="preserve">Number of patients </w:t>
            </w:r>
          </w:p>
        </w:tc>
        <w:tc>
          <w:tcPr>
            <w:tcW w:w="4683" w:type="dxa"/>
            <w:shd w:val="clear" w:color="auto" w:fill="FFC000"/>
          </w:tcPr>
          <w:p w14:paraId="1E88F925" w14:textId="77777777" w:rsidR="00012855" w:rsidRPr="00D66DFD" w:rsidRDefault="00012855" w:rsidP="002301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 xml:space="preserve">Procedure </w:t>
            </w:r>
          </w:p>
        </w:tc>
        <w:tc>
          <w:tcPr>
            <w:tcW w:w="3113" w:type="dxa"/>
            <w:shd w:val="clear" w:color="auto" w:fill="FFC000"/>
          </w:tcPr>
          <w:p w14:paraId="07CAB113" w14:textId="77777777" w:rsidR="00012855" w:rsidRPr="00D66DFD" w:rsidRDefault="00012855" w:rsidP="0023017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 xml:space="preserve">Rate of infection </w:t>
            </w:r>
          </w:p>
        </w:tc>
      </w:tr>
      <w:tr w:rsidR="00012855" w:rsidRPr="00D66DFD" w14:paraId="18D00454" w14:textId="77777777" w:rsidTr="00230179">
        <w:tc>
          <w:tcPr>
            <w:tcW w:w="1560" w:type="dxa"/>
          </w:tcPr>
          <w:p w14:paraId="0FB1978B" w14:textId="77777777" w:rsidR="00012855" w:rsidRPr="00D66DFD" w:rsidRDefault="00012855" w:rsidP="00230179">
            <w:pPr>
              <w:spacing w:after="0"/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Fuchs T [7]</w:t>
            </w:r>
          </w:p>
        </w:tc>
        <w:tc>
          <w:tcPr>
            <w:tcW w:w="1417" w:type="dxa"/>
          </w:tcPr>
          <w:p w14:paraId="2B0F6F7D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83" w:type="dxa"/>
          </w:tcPr>
          <w:p w14:paraId="0A34C689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21 patients underwent nailing in closed or open tibial fractures, using gentamicin-coated intramedullary nail.</w:t>
            </w:r>
          </w:p>
        </w:tc>
        <w:tc>
          <w:tcPr>
            <w:tcW w:w="3113" w:type="dxa"/>
          </w:tcPr>
          <w:p w14:paraId="25B12B1F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Pr="00D66DFD">
              <w:rPr>
                <w:rFonts w:ascii="Times New Roman" w:hAnsi="Times New Roman"/>
                <w:sz w:val="24"/>
                <w:szCs w:val="24"/>
              </w:rPr>
              <w:t xml:space="preserve">infections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was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noted.</w:t>
            </w:r>
          </w:p>
        </w:tc>
      </w:tr>
      <w:tr w:rsidR="00012855" w:rsidRPr="00D66DFD" w14:paraId="2B874ADC" w14:textId="77777777" w:rsidTr="00230179">
        <w:tc>
          <w:tcPr>
            <w:tcW w:w="1560" w:type="dxa"/>
          </w:tcPr>
          <w:p w14:paraId="7F42C99A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Yokoyama et al</w:t>
            </w:r>
            <w:r w:rsidRPr="00D66DF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</w:t>
            </w:r>
            <w:r w:rsidRPr="00D66DFD">
              <w:rPr>
                <w:rFonts w:ascii="Times New Roman" w:hAnsi="Times New Roman"/>
                <w:sz w:val="24"/>
                <w:szCs w:val="24"/>
              </w:rPr>
              <w:t>[41]</w:t>
            </w:r>
          </w:p>
          <w:p w14:paraId="403D16E6" w14:textId="77777777" w:rsidR="00012855" w:rsidRPr="00D66DFD" w:rsidRDefault="00012855" w:rsidP="0023017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A45C6F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83" w:type="dxa"/>
          </w:tcPr>
          <w:p w14:paraId="767AD0DC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D66DFD">
              <w:rPr>
                <w:rFonts w:ascii="Times New Roman" w:hAnsi="Times New Roman"/>
                <w:sz w:val="24"/>
                <w:szCs w:val="24"/>
              </w:rPr>
              <w:t xml:space="preserve">pen tibial fractures were treated with IMN after </w:t>
            </w:r>
            <w:r>
              <w:rPr>
                <w:rFonts w:ascii="Times New Roman" w:hAnsi="Times New Roman"/>
                <w:sz w:val="24"/>
                <w:szCs w:val="24"/>
              </w:rPr>
              <w:t>external fixation.</w:t>
            </w:r>
          </w:p>
        </w:tc>
        <w:tc>
          <w:tcPr>
            <w:tcW w:w="3113" w:type="dxa"/>
          </w:tcPr>
          <w:p w14:paraId="60AB6D27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Infection noted in 7</w:t>
            </w:r>
            <w:r w:rsidRPr="00D66DFD">
              <w:rPr>
                <w:rFonts w:ascii="Times New Roman" w:hAnsi="Times New Roman"/>
                <w:sz w:val="24"/>
                <w:szCs w:val="24"/>
              </w:rPr>
              <w:t xml:space="preserve"> (16.7%) of the 42 </w:t>
            </w:r>
            <w:r>
              <w:rPr>
                <w:rFonts w:ascii="Times New Roman" w:hAnsi="Times New Roman"/>
                <w:sz w:val="24"/>
                <w:szCs w:val="24"/>
              </w:rPr>
              <w:t>patients.</w:t>
            </w:r>
          </w:p>
        </w:tc>
      </w:tr>
      <w:tr w:rsidR="00012855" w:rsidRPr="00D66DFD" w14:paraId="19E104F4" w14:textId="77777777" w:rsidTr="00230179">
        <w:tc>
          <w:tcPr>
            <w:tcW w:w="1560" w:type="dxa"/>
          </w:tcPr>
          <w:p w14:paraId="004F9DA9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Kaftandziev</w:t>
            </w:r>
            <w:proofErr w:type="spellEnd"/>
            <w:r w:rsidRPr="00D66DFD">
              <w:rPr>
                <w:rFonts w:ascii="Times New Roman" w:hAnsi="Times New Roman"/>
                <w:sz w:val="24"/>
                <w:szCs w:val="24"/>
              </w:rPr>
              <w:t xml:space="preserve"> et al</w:t>
            </w:r>
            <w:r w:rsidRPr="00D66DFD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. </w:t>
            </w:r>
            <w:r w:rsidRPr="00D66DFD">
              <w:rPr>
                <w:rFonts w:ascii="Times New Roman" w:hAnsi="Times New Roman"/>
                <w:sz w:val="24"/>
                <w:szCs w:val="24"/>
              </w:rPr>
              <w:t>[42]</w:t>
            </w:r>
          </w:p>
          <w:p w14:paraId="096017AB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78A23C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83" w:type="dxa"/>
          </w:tcPr>
          <w:p w14:paraId="1CF4B8F9" w14:textId="77777777" w:rsidR="00012855" w:rsidRPr="00D66DFD" w:rsidRDefault="00012855" w:rsidP="002301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48 patients with open fractures of the tibial diaphysis, group A (30 pts.) were treated with an external fixator and group B (18 pts.) with unreamed intramedullary nails.</w:t>
            </w:r>
          </w:p>
        </w:tc>
        <w:tc>
          <w:tcPr>
            <w:tcW w:w="3113" w:type="dxa"/>
          </w:tcPr>
          <w:p w14:paraId="7368E333" w14:textId="77777777" w:rsidR="00012855" w:rsidRPr="00380D45" w:rsidRDefault="00012855" w:rsidP="00230179">
            <w:pPr>
              <w:rPr>
                <w:rFonts w:ascii="Times New Roman" w:hAnsi="Times New Roman"/>
                <w:b/>
                <w:sz w:val="24"/>
                <w:szCs w:val="24"/>
                <w:lang w:val="en-IN"/>
              </w:rPr>
            </w:pP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In group A, a superficial infection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noted </w:t>
            </w: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in 23.3% of the patients, while a deep infection in 20% of the patients. In group B, a superficial infection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noted </w:t>
            </w: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in 22.2% of the patients, while a deep infection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seen in </w:t>
            </w: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>11.1% of the patients.</w:t>
            </w:r>
          </w:p>
        </w:tc>
      </w:tr>
      <w:tr w:rsidR="00012855" w:rsidRPr="00D66DFD" w14:paraId="046B58F1" w14:textId="77777777" w:rsidTr="00230179">
        <w:tc>
          <w:tcPr>
            <w:tcW w:w="1560" w:type="dxa"/>
          </w:tcPr>
          <w:p w14:paraId="6887CDFE" w14:textId="77777777" w:rsidR="00012855" w:rsidRPr="00D66DFD" w:rsidRDefault="00012855" w:rsidP="00230179">
            <w:pPr>
              <w:tabs>
                <w:tab w:val="right" w:pos="2181"/>
              </w:tabs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Inan et al [43]</w:t>
            </w:r>
            <w:r w:rsidRPr="00D66DF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14:paraId="3CF682CF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83" w:type="dxa"/>
          </w:tcPr>
          <w:p w14:paraId="58050A80" w14:textId="77777777" w:rsidR="00012855" w:rsidRPr="00380D45" w:rsidRDefault="00012855" w:rsidP="00230179">
            <w:pPr>
              <w:rPr>
                <w:rFonts w:ascii="Times New Roman" w:hAnsi="Times New Roman"/>
                <w:b/>
                <w:sz w:val="24"/>
                <w:szCs w:val="24"/>
                <w:lang w:val="en-IN"/>
              </w:rPr>
            </w:pP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 xml:space="preserve">A total of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>61</w:t>
            </w: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>with open type IIIA tibial shaft fractures underwent using either an intramedullary external fixator (IEF) in 32 cases or an unreamed tibial nail (UTN) in 29 cases.</w:t>
            </w:r>
          </w:p>
        </w:tc>
        <w:tc>
          <w:tcPr>
            <w:tcW w:w="3113" w:type="dxa"/>
          </w:tcPr>
          <w:p w14:paraId="5470BF65" w14:textId="77777777" w:rsidR="00012855" w:rsidRPr="00380D45" w:rsidRDefault="00012855" w:rsidP="00230179">
            <w:pPr>
              <w:rPr>
                <w:rFonts w:ascii="Times New Roman" w:hAnsi="Times New Roman"/>
                <w:b/>
                <w:sz w:val="24"/>
                <w:szCs w:val="24"/>
                <w:lang w:val="en-IN"/>
              </w:rPr>
            </w:pPr>
            <w:r w:rsidRPr="00D66D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80D4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IN"/>
              </w:rPr>
              <w:t>Two patients in the IEF group and three patients in the UTN group experienced posttraumatic osteomyelitis.</w:t>
            </w:r>
          </w:p>
        </w:tc>
      </w:tr>
      <w:tr w:rsidR="00012855" w:rsidRPr="00D66DFD" w14:paraId="62344624" w14:textId="77777777" w:rsidTr="00230179">
        <w:tc>
          <w:tcPr>
            <w:tcW w:w="1560" w:type="dxa"/>
          </w:tcPr>
          <w:p w14:paraId="253FC176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Pinto D [44]</w:t>
            </w:r>
          </w:p>
        </w:tc>
        <w:tc>
          <w:tcPr>
            <w:tcW w:w="1417" w:type="dxa"/>
          </w:tcPr>
          <w:p w14:paraId="19ED9048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83" w:type="dxa"/>
          </w:tcPr>
          <w:p w14:paraId="49C4C76A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Gentamicin coated nailing in type I and II open fracture Tibia.</w:t>
            </w:r>
          </w:p>
        </w:tc>
        <w:tc>
          <w:tcPr>
            <w:tcW w:w="3113" w:type="dxa"/>
          </w:tcPr>
          <w:p w14:paraId="1D22FC43" w14:textId="77777777" w:rsidR="00012855" w:rsidRPr="00D66DFD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04 cases developed infection in regular nail and nil in Gentamicin nail group.</w:t>
            </w:r>
          </w:p>
        </w:tc>
      </w:tr>
      <w:tr w:rsidR="00012855" w:rsidRPr="00D66DFD" w14:paraId="0F74F915" w14:textId="77777777" w:rsidTr="00230179">
        <w:tc>
          <w:tcPr>
            <w:tcW w:w="1560" w:type="dxa"/>
          </w:tcPr>
          <w:p w14:paraId="0A73CEF0" w14:textId="77777777" w:rsidR="00012855" w:rsidRPr="00C904A7" w:rsidRDefault="00012855" w:rsidP="00230179">
            <w:pPr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</w:pPr>
            <w:proofErr w:type="spellStart"/>
            <w:r w:rsidRPr="00C904A7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>Perisano</w:t>
            </w:r>
            <w:proofErr w:type="spellEnd"/>
            <w:r w:rsidRPr="00C904A7">
              <w:rPr>
                <w:rFonts w:ascii="Times New Roman" w:hAnsi="Times New Roman"/>
                <w:color w:val="303030"/>
                <w:sz w:val="24"/>
                <w:szCs w:val="24"/>
                <w:shd w:val="clear" w:color="auto" w:fill="FFFFFF"/>
              </w:rPr>
              <w:t xml:space="preserve"> et al [45]</w:t>
            </w:r>
          </w:p>
        </w:tc>
        <w:tc>
          <w:tcPr>
            <w:tcW w:w="1417" w:type="dxa"/>
          </w:tcPr>
          <w:p w14:paraId="17D68A55" w14:textId="77777777" w:rsidR="00012855" w:rsidRPr="00C904A7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C904A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83" w:type="dxa"/>
          </w:tcPr>
          <w:p w14:paraId="1C859AC0" w14:textId="77777777" w:rsidR="00012855" w:rsidRPr="00C904A7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C904A7">
              <w:rPr>
                <w:rFonts w:ascii="Times New Roman" w:hAnsi="Times New Roman"/>
                <w:sz w:val="24"/>
                <w:szCs w:val="24"/>
              </w:rPr>
              <w:t xml:space="preserve">Antibiotic-coated nail (ETN </w:t>
            </w:r>
            <w:proofErr w:type="spellStart"/>
            <w:r w:rsidRPr="00C904A7">
              <w:rPr>
                <w:rFonts w:ascii="Times New Roman" w:hAnsi="Times New Roman"/>
                <w:sz w:val="24"/>
                <w:szCs w:val="24"/>
              </w:rPr>
              <w:t>PROtectTM</w:t>
            </w:r>
            <w:proofErr w:type="spellEnd"/>
            <w:r w:rsidRPr="00C904A7">
              <w:rPr>
                <w:rFonts w:ascii="Times New Roman" w:hAnsi="Times New Roman"/>
                <w:sz w:val="24"/>
                <w:szCs w:val="24"/>
              </w:rPr>
              <w:t>, DePuy Synthes was used in open fracture tibia</w:t>
            </w:r>
          </w:p>
        </w:tc>
        <w:tc>
          <w:tcPr>
            <w:tcW w:w="3113" w:type="dxa"/>
          </w:tcPr>
          <w:p w14:paraId="4C8E703F" w14:textId="77777777" w:rsidR="00012855" w:rsidRPr="00C904A7" w:rsidRDefault="00012855" w:rsidP="00230179">
            <w:pPr>
              <w:rPr>
                <w:rFonts w:ascii="Times New Roman" w:hAnsi="Times New Roman"/>
                <w:sz w:val="24"/>
                <w:szCs w:val="24"/>
              </w:rPr>
            </w:pPr>
            <w:r w:rsidRPr="00C904A7">
              <w:rPr>
                <w:rFonts w:ascii="Times New Roman" w:hAnsi="Times New Roman"/>
                <w:sz w:val="24"/>
                <w:szCs w:val="24"/>
              </w:rPr>
              <w:t>34 patients out of 38 patients achieved bone union and 2 patients developed septic non-union.</w:t>
            </w:r>
          </w:p>
        </w:tc>
      </w:tr>
      <w:tr w:rsidR="00012855" w:rsidRPr="00D66DFD" w14:paraId="20D02104" w14:textId="77777777" w:rsidTr="00230179">
        <w:tc>
          <w:tcPr>
            <w:tcW w:w="1560" w:type="dxa"/>
          </w:tcPr>
          <w:p w14:paraId="15844617" w14:textId="77777777" w:rsidR="00012855" w:rsidRPr="00D66DFD" w:rsidRDefault="00012855" w:rsidP="002301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 xml:space="preserve">Present study </w:t>
            </w:r>
          </w:p>
        </w:tc>
        <w:tc>
          <w:tcPr>
            <w:tcW w:w="1417" w:type="dxa"/>
          </w:tcPr>
          <w:p w14:paraId="0E81A152" w14:textId="77777777" w:rsidR="00012855" w:rsidRPr="00D66DFD" w:rsidRDefault="00012855" w:rsidP="002301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>62 patients in regular nail group,</w:t>
            </w:r>
          </w:p>
          <w:p w14:paraId="1E168CC6" w14:textId="77777777" w:rsidR="00012855" w:rsidRPr="00D66DFD" w:rsidRDefault="00012855" w:rsidP="002301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 xml:space="preserve">62 patients </w:t>
            </w:r>
            <w:r w:rsidRPr="00D66D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in Antibiotic nail group</w:t>
            </w:r>
          </w:p>
        </w:tc>
        <w:tc>
          <w:tcPr>
            <w:tcW w:w="4683" w:type="dxa"/>
          </w:tcPr>
          <w:p w14:paraId="6223546E" w14:textId="77777777" w:rsidR="00012855" w:rsidRPr="00D66DFD" w:rsidRDefault="00012855" w:rsidP="002301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Gentamicin coated nailing in type I and II open fracture Tibia.</w:t>
            </w:r>
          </w:p>
        </w:tc>
        <w:tc>
          <w:tcPr>
            <w:tcW w:w="3113" w:type="dxa"/>
          </w:tcPr>
          <w:p w14:paraId="006AEB43" w14:textId="77777777" w:rsidR="00012855" w:rsidRPr="00D66DFD" w:rsidRDefault="00012855" w:rsidP="0023017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</w:rPr>
              <w:t>06 cases developed infection in regular nail and 2 in Gentamicin nail group.</w:t>
            </w:r>
          </w:p>
        </w:tc>
      </w:tr>
    </w:tbl>
    <w:p w14:paraId="6B8F485B" w14:textId="77777777" w:rsidR="00012855" w:rsidRDefault="00012855" w:rsidP="000128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3DEAD5D6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0EBE"/>
    <w:rsid w:val="00012855"/>
    <w:rsid w:val="00190EBE"/>
    <w:rsid w:val="0059013B"/>
    <w:rsid w:val="00EE3E84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846A4-50F9-473F-8921-987EB3F5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855"/>
  </w:style>
  <w:style w:type="paragraph" w:styleId="Heading1">
    <w:name w:val="heading 1"/>
    <w:basedOn w:val="Normal"/>
    <w:next w:val="Normal"/>
    <w:link w:val="Heading1Char"/>
    <w:uiPriority w:val="9"/>
    <w:qFormat/>
    <w:rsid w:val="00190E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E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E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E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E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E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E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E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E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E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E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E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E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E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E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E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E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E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E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E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E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2024-09-01T06:28:00Z</dcterms:created>
  <dcterms:modified xsi:type="dcterms:W3CDTF">2024-09-01T06:28:00Z</dcterms:modified>
</cp:coreProperties>
</file>