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AF811" w14:textId="56E7F9B2" w:rsidR="00022AEB" w:rsidRDefault="0077699E" w:rsidP="0077699E">
      <w:pPr>
        <w:spacing w:line="480" w:lineRule="auto"/>
        <w:rPr>
          <w:rFonts w:ascii="Times New Roman" w:hAnsi="Times New Roman" w:cs="Times New Roman"/>
        </w:rPr>
      </w:pPr>
      <w:r>
        <w:rPr>
          <w:rFonts w:ascii="Times New Roman" w:hAnsi="Times New Roman" w:cs="Times New Roman"/>
          <w:noProof/>
        </w:rPr>
        <w:drawing>
          <wp:inline distT="0" distB="0" distL="0" distR="0" wp14:anchorId="23E2469C" wp14:editId="4BFD3E1B">
            <wp:extent cx="4419600" cy="2781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19600" cy="2781300"/>
                    </a:xfrm>
                    <a:prstGeom prst="rect">
                      <a:avLst/>
                    </a:prstGeom>
                  </pic:spPr>
                </pic:pic>
              </a:graphicData>
            </a:graphic>
          </wp:inline>
        </w:drawing>
      </w:r>
    </w:p>
    <w:p w14:paraId="1C631488" w14:textId="5D7C90D8" w:rsidR="0077699E" w:rsidRDefault="0077699E" w:rsidP="0077699E">
      <w:pPr>
        <w:spacing w:line="480" w:lineRule="auto"/>
        <w:rPr>
          <w:rFonts w:ascii="Times New Roman" w:hAnsi="Times New Roman" w:cs="Times New Roman"/>
        </w:rPr>
      </w:pPr>
    </w:p>
    <w:p w14:paraId="0ECD8743" w14:textId="19511EA8" w:rsidR="0077699E" w:rsidRDefault="0077699E" w:rsidP="0077699E">
      <w:pPr>
        <w:spacing w:line="480" w:lineRule="auto"/>
        <w:rPr>
          <w:rFonts w:ascii="Times New Roman" w:hAnsi="Times New Roman" w:cs="Times New Roman"/>
          <w:b/>
          <w:bCs/>
        </w:rPr>
      </w:pPr>
      <w:r>
        <w:rPr>
          <w:rFonts w:ascii="Times New Roman" w:hAnsi="Times New Roman" w:cs="Times New Roman"/>
          <w:b/>
          <w:bCs/>
        </w:rPr>
        <w:t xml:space="preserve">AF1. </w:t>
      </w:r>
      <w:r w:rsidR="0013001C">
        <w:rPr>
          <w:rFonts w:ascii="Times New Roman" w:hAnsi="Times New Roman" w:cs="Times New Roman"/>
          <w:b/>
          <w:bCs/>
        </w:rPr>
        <w:t>Distribution of mouse weight across Set 1 and Set 2.</w:t>
      </w:r>
    </w:p>
    <w:p w14:paraId="790289FE" w14:textId="57C93FE5" w:rsidR="0077699E" w:rsidRDefault="0077699E" w:rsidP="0077699E">
      <w:pPr>
        <w:spacing w:line="480" w:lineRule="auto"/>
        <w:rPr>
          <w:rFonts w:ascii="Times New Roman" w:hAnsi="Times New Roman" w:cs="Times New Roman"/>
          <w:b/>
          <w:bCs/>
        </w:rPr>
      </w:pPr>
    </w:p>
    <w:p w14:paraId="5EA51D9D" w14:textId="7809C7AC" w:rsidR="0077699E" w:rsidRDefault="0077699E" w:rsidP="0077699E">
      <w:pPr>
        <w:spacing w:line="480" w:lineRule="auto"/>
        <w:rPr>
          <w:rFonts w:ascii="Times New Roman" w:hAnsi="Times New Roman" w:cs="Times New Roman"/>
          <w:b/>
          <w:bCs/>
        </w:rPr>
      </w:pPr>
      <w:r>
        <w:rPr>
          <w:rFonts w:ascii="Times New Roman" w:hAnsi="Times New Roman" w:cs="Times New Roman"/>
          <w:b/>
          <w:bCs/>
          <w:noProof/>
        </w:rPr>
        <w:drawing>
          <wp:inline distT="0" distB="0" distL="0" distR="0" wp14:anchorId="5C2C236F" wp14:editId="1A72EA73">
            <wp:extent cx="5943600" cy="24447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444750"/>
                    </a:xfrm>
                    <a:prstGeom prst="rect">
                      <a:avLst/>
                    </a:prstGeom>
                  </pic:spPr>
                </pic:pic>
              </a:graphicData>
            </a:graphic>
          </wp:inline>
        </w:drawing>
      </w:r>
    </w:p>
    <w:p w14:paraId="2A3E1715" w14:textId="1B46A3AB" w:rsidR="0077699E" w:rsidRDefault="0077699E" w:rsidP="0077699E">
      <w:pPr>
        <w:spacing w:line="480" w:lineRule="auto"/>
        <w:rPr>
          <w:rFonts w:ascii="Times New Roman" w:hAnsi="Times New Roman" w:cs="Times New Roman"/>
          <w:b/>
          <w:bCs/>
        </w:rPr>
      </w:pPr>
    </w:p>
    <w:p w14:paraId="00018A00" w14:textId="40986B25" w:rsidR="0077699E" w:rsidRDefault="0077699E" w:rsidP="0077699E">
      <w:pPr>
        <w:spacing w:line="480" w:lineRule="auto"/>
        <w:rPr>
          <w:rFonts w:ascii="Times New Roman" w:hAnsi="Times New Roman" w:cs="Times New Roman"/>
          <w:b/>
          <w:bCs/>
        </w:rPr>
      </w:pPr>
      <w:r>
        <w:rPr>
          <w:rFonts w:ascii="Times New Roman" w:hAnsi="Times New Roman" w:cs="Times New Roman"/>
          <w:b/>
          <w:bCs/>
        </w:rPr>
        <w:t xml:space="preserve">AF2a. </w:t>
      </w:r>
      <w:r>
        <w:rPr>
          <w:rFonts w:ascii="Times" w:hAnsi="Times" w:cs="Times"/>
          <w:b/>
          <w:bCs/>
        </w:rPr>
        <w:t xml:space="preserve">Representative thermal images of a male WT and a male KO mouse before (a) and after (b) BAT activation. </w:t>
      </w:r>
      <w:r>
        <w:rPr>
          <w:rFonts w:ascii="Times" w:hAnsi="Times" w:cs="Times"/>
        </w:rPr>
        <w:t xml:space="preserve">WT mouse is shown on the right of the two images, while KO mouse is shown on the left of the two images. Thermal images were taken over the course of 40 minutes while the animals were kept in an environment regulated to 34°C. Here we are showing images </w:t>
      </w:r>
      <w:r>
        <w:rPr>
          <w:rFonts w:ascii="Times" w:hAnsi="Times" w:cs="Times"/>
        </w:rPr>
        <w:lastRenderedPageBreak/>
        <w:t>from baseline (a) and 40 minutes after injection (b). Regions above suprascapular BAT, as well as non-BAT areas, show an overall increase in body temperature in both mice after NE injection. However, no differences were measured in the magnitude of the increase in BAT temperature between WT and KO mice (p=0.</w:t>
      </w:r>
      <w:r>
        <w:rPr>
          <w:rFonts w:ascii="Times" w:hAnsi="Times" w:cs="Times"/>
        </w:rPr>
        <w:t>3</w:t>
      </w:r>
      <w:r>
        <w:rPr>
          <w:rFonts w:ascii="Times" w:hAnsi="Times" w:cs="Times"/>
        </w:rPr>
        <w:t>).</w:t>
      </w:r>
    </w:p>
    <w:p w14:paraId="4359E50A" w14:textId="7BCE23AF" w:rsidR="0077699E" w:rsidRDefault="0077699E" w:rsidP="0077699E">
      <w:pPr>
        <w:spacing w:line="480" w:lineRule="auto"/>
        <w:rPr>
          <w:rFonts w:ascii="Times New Roman" w:hAnsi="Times New Roman" w:cs="Times New Roman"/>
          <w:b/>
          <w:bCs/>
        </w:rPr>
      </w:pPr>
    </w:p>
    <w:p w14:paraId="2E3BE996" w14:textId="1D24A77E" w:rsidR="0077699E" w:rsidRDefault="0077699E" w:rsidP="0077699E">
      <w:pPr>
        <w:spacing w:line="480" w:lineRule="auto"/>
        <w:rPr>
          <w:rFonts w:ascii="Times New Roman" w:hAnsi="Times New Roman" w:cs="Times New Roman"/>
          <w:b/>
          <w:bCs/>
        </w:rPr>
      </w:pPr>
      <w:r>
        <w:rPr>
          <w:rFonts w:ascii="Times New Roman" w:hAnsi="Times New Roman" w:cs="Times New Roman"/>
          <w:b/>
          <w:bCs/>
          <w:noProof/>
        </w:rPr>
        <w:drawing>
          <wp:inline distT="0" distB="0" distL="0" distR="0" wp14:anchorId="4657D60E" wp14:editId="62F882DE">
            <wp:extent cx="4610100" cy="6159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10100" cy="6159500"/>
                    </a:xfrm>
                    <a:prstGeom prst="rect">
                      <a:avLst/>
                    </a:prstGeom>
                  </pic:spPr>
                </pic:pic>
              </a:graphicData>
            </a:graphic>
          </wp:inline>
        </w:drawing>
      </w:r>
    </w:p>
    <w:p w14:paraId="223A3C21" w14:textId="47820600" w:rsidR="0077699E" w:rsidRDefault="0077699E" w:rsidP="0077699E">
      <w:pPr>
        <w:spacing w:line="480" w:lineRule="auto"/>
        <w:rPr>
          <w:rFonts w:ascii="Times New Roman" w:hAnsi="Times New Roman" w:cs="Times New Roman"/>
          <w:b/>
          <w:bCs/>
        </w:rPr>
      </w:pPr>
    </w:p>
    <w:p w14:paraId="622D0BE2" w14:textId="01EF87BF" w:rsidR="0077699E" w:rsidRPr="0077699E" w:rsidRDefault="009E617B" w:rsidP="009E617B">
      <w:pPr>
        <w:spacing w:line="480" w:lineRule="auto"/>
        <w:rPr>
          <w:rFonts w:ascii="Times New Roman" w:hAnsi="Times New Roman" w:cs="Times New Roman"/>
          <w:b/>
          <w:bCs/>
        </w:rPr>
      </w:pPr>
      <w:r>
        <w:rPr>
          <w:rFonts w:ascii="Times" w:hAnsi="Times" w:cs="Times"/>
          <w:b/>
          <w:bCs/>
        </w:rPr>
        <w:t xml:space="preserve">AF 2b. Change in surface temperature 40 minutes after NE injection. </w:t>
      </w:r>
      <w:r>
        <w:rPr>
          <w:rFonts w:ascii="Times" w:hAnsi="Times" w:cs="Times"/>
        </w:rPr>
        <w:t>Plots showing the change in mouse surface temperature, as measured by infrared thermography, in regions above interscapular BAT (top row) and regions above non-BAT (bottom row). The increase in body temperature was statistically significant for both WT (left column) and KO (right column) mice in both regions. However, a matched-pairs t-test showed that there was no a significant difference in BAT temperature increase between WT and KO mice (p=0.</w:t>
      </w:r>
      <w:r>
        <w:rPr>
          <w:rFonts w:ascii="Times" w:hAnsi="Times" w:cs="Times"/>
        </w:rPr>
        <w:t>3</w:t>
      </w:r>
      <w:r>
        <w:rPr>
          <w:rFonts w:ascii="Times" w:hAnsi="Times" w:cs="Times"/>
        </w:rPr>
        <w:t xml:space="preserve"> above BAT and p=0.</w:t>
      </w:r>
      <w:r>
        <w:rPr>
          <w:rFonts w:ascii="Times" w:hAnsi="Times" w:cs="Times"/>
        </w:rPr>
        <w:t xml:space="preserve">1 </w:t>
      </w:r>
      <w:r>
        <w:rPr>
          <w:rFonts w:ascii="Times" w:hAnsi="Times" w:cs="Times"/>
        </w:rPr>
        <w:t>above non-BAT).</w:t>
      </w:r>
    </w:p>
    <w:sectPr w:rsidR="0077699E" w:rsidRPr="0077699E" w:rsidSect="004661E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9E"/>
    <w:rsid w:val="00022AEB"/>
    <w:rsid w:val="0013001C"/>
    <w:rsid w:val="004661E2"/>
    <w:rsid w:val="005A5C5F"/>
    <w:rsid w:val="0077699E"/>
    <w:rsid w:val="009E617B"/>
    <w:rsid w:val="00FA5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F5AA4D"/>
  <w15:chartTrackingRefBased/>
  <w15:docId w15:val="{BFD0E073-8D18-874A-B753-8B5875838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76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McHugh, Christian</dc:creator>
  <cp:keywords/>
  <dc:description/>
  <cp:lastModifiedBy>McHugh, Christian</cp:lastModifiedBy>
  <cp:revision>4</cp:revision>
  <dcterms:created xsi:type="dcterms:W3CDTF">2020-08-03T15:57:00Z</dcterms:created>
  <dcterms:modified xsi:type="dcterms:W3CDTF">2020-08-03T16:04:00Z</dcterms:modified>
</cp:coreProperties>
</file>