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7EF288" w14:textId="77777777" w:rsidR="0091686F" w:rsidRPr="00715995" w:rsidRDefault="0091686F" w:rsidP="0091686F">
      <w:pPr>
        <w:pStyle w:val="Heading1"/>
        <w:spacing w:line="360" w:lineRule="auto"/>
        <w:jc w:val="both"/>
        <w:rPr>
          <w:u w:val="single"/>
        </w:rPr>
      </w:pPr>
      <w:r>
        <w:rPr>
          <w:u w:val="single"/>
        </w:rPr>
        <w:t>Online m</w:t>
      </w:r>
      <w:r w:rsidRPr="00715995">
        <w:rPr>
          <w:u w:val="single"/>
        </w:rPr>
        <w:t>ethods</w:t>
      </w:r>
    </w:p>
    <w:p w14:paraId="7B2B0061" w14:textId="77777777" w:rsidR="0091686F" w:rsidRPr="004B743C" w:rsidRDefault="0091686F" w:rsidP="0091686F">
      <w:pPr>
        <w:spacing w:line="360" w:lineRule="auto"/>
        <w:jc w:val="both"/>
        <w:rPr>
          <w:rFonts w:ascii="Arial" w:hAnsi="Arial" w:cs="Arial"/>
        </w:rPr>
      </w:pPr>
      <w:r w:rsidRPr="004B743C">
        <w:rPr>
          <w:rFonts w:ascii="Arial" w:hAnsi="Arial" w:cs="Arial"/>
        </w:rPr>
        <w:t>Treatment regimens were evaluated in f</w:t>
      </w:r>
      <w:r>
        <w:rPr>
          <w:rFonts w:ascii="Arial" w:hAnsi="Arial" w:cs="Arial"/>
        </w:rPr>
        <w:t>ive</w:t>
      </w:r>
      <w:r w:rsidRPr="004B743C">
        <w:rPr>
          <w:rFonts w:ascii="Arial" w:hAnsi="Arial" w:cs="Arial"/>
        </w:rPr>
        <w:t xml:space="preserve"> studies (Studies A–E), in a relapsing mouse infection model</w:t>
      </w:r>
      <w:r>
        <w:rPr>
          <w:rFonts w:ascii="Arial" w:hAnsi="Arial" w:cs="Arial"/>
        </w:rPr>
        <w:t xml:space="preserve"> of TB treatment</w:t>
      </w:r>
      <w:r>
        <w:rPr>
          <w:rFonts w:ascii="Arial" w:hAnsi="Arial" w:cs="Arial"/>
        </w:rPr>
        <w:fldChar w:fldCharType="begin">
          <w:fldData xml:space="preserve">PEVuZE5vdGU+PENpdGU+PEF1dGhvcj5MaTwvQXV0aG9yPjxZZWFyPjIwMTU8L1llYXI+PFJlY051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PEVuZE5vdGU+PENpdGU+PEF1dGhvcj5MaTwvQXV0aG9yPjxZZWFyPjIwMTU8L1llYXI+PFJlY051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BD6311">
        <w:rPr>
          <w:rFonts w:ascii="Arial" w:hAnsi="Arial" w:cs="Arial"/>
          <w:noProof/>
          <w:vertAlign w:val="superscript"/>
        </w:rPr>
        <w:t>17</w:t>
      </w:r>
      <w:r>
        <w:rPr>
          <w:rFonts w:ascii="Arial" w:hAnsi="Arial" w:cs="Arial"/>
        </w:rPr>
        <w:fldChar w:fldCharType="end"/>
      </w:r>
      <w:r w:rsidRPr="004B743C">
        <w:rPr>
          <w:rFonts w:ascii="Arial" w:hAnsi="Arial" w:cs="Arial"/>
        </w:rPr>
        <w:t>. Animal studies were performed at Evotec France SAS Toulouse (Studies A and B), Sorbonne University (Study C)</w:t>
      </w:r>
      <w:r>
        <w:rPr>
          <w:rFonts w:ascii="Arial" w:hAnsi="Arial" w:cs="Arial"/>
        </w:rPr>
        <w:fldChar w:fldCharType="begin">
          <w:fldData xml:space="preserve">PEVuZE5vdGU+PENpdGU+PEF1dGhvcj5Lb3J0PC9BdXRob3I+PFllYXI+MjAyMDwvWWVhcj48UmVj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</w:fldData>
        </w:fldChar>
      </w:r>
      <w:r>
        <w:rPr>
          <w:rFonts w:ascii="Arial" w:hAnsi="Arial" w:cs="Arial"/>
        </w:rPr>
        <w:instrText xml:space="preserve"> ADDIN EN.CITE </w:instrText>
      </w:r>
      <w:r>
        <w:rPr>
          <w:rFonts w:ascii="Arial" w:hAnsi="Arial" w:cs="Arial"/>
        </w:rPr>
        <w:fldChar w:fldCharType="begin">
          <w:fldData xml:space="preserve">PEVuZE5vdGU+PENpdGU+PEF1dGhvcj5Lb3J0PC9BdXRob3I+PFllYXI+MjAyMDwvWWVhcj48UmVj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BD6311">
        <w:rPr>
          <w:rFonts w:ascii="Arial" w:hAnsi="Arial" w:cs="Arial"/>
          <w:noProof/>
          <w:vertAlign w:val="superscript"/>
        </w:rPr>
        <w:t>18</w:t>
      </w:r>
      <w:r>
        <w:rPr>
          <w:rFonts w:ascii="Arial" w:hAnsi="Arial" w:cs="Arial"/>
        </w:rPr>
        <w:fldChar w:fldCharType="end"/>
      </w:r>
      <w:r w:rsidRPr="004B743C">
        <w:rPr>
          <w:rFonts w:ascii="Arial" w:hAnsi="Arial" w:cs="Arial"/>
        </w:rPr>
        <w:t>, Johns Hopkins University (Study D) and Colorado State University (Study E), in accredited facilities. An additional study (Study F) in an acute mouse infection model was performed at London School of Hygiene &amp; Tropical Medicine</w:t>
      </w:r>
      <w:r>
        <w:rPr>
          <w:rFonts w:ascii="Arial" w:hAnsi="Arial" w:cs="Arial"/>
        </w:rPr>
        <w:fldChar w:fldCharType="begin">
          <w:fldData xml:space="preserve">PEVuZE5vdGU+PENpdGU+PEF1dGhvcj5Ba2VzdGVyPC9BdXRob3I+PFllYXI+MjAyMDwvWWVhcj48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</w:fldData>
        </w:fldChar>
      </w:r>
      <w:r>
        <w:rPr>
          <w:rFonts w:ascii="Arial" w:hAnsi="Arial" w:cs="Arial"/>
        </w:rPr>
        <w:instrText xml:space="preserve"> ADDIN EN.CITE </w:instrText>
      </w:r>
      <w:r>
        <w:rPr>
          <w:rFonts w:ascii="Arial" w:hAnsi="Arial" w:cs="Arial"/>
        </w:rPr>
        <w:fldChar w:fldCharType="begin">
          <w:fldData xml:space="preserve">PEVuZE5vdGU+PENpdGU+PEF1dGhvcj5Ba2VzdGVyPC9BdXRob3I+PFllYXI+MjAyMDwvWWVhcj48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BD6311">
        <w:rPr>
          <w:rFonts w:ascii="Arial" w:hAnsi="Arial" w:cs="Arial"/>
          <w:noProof/>
          <w:vertAlign w:val="superscript"/>
        </w:rPr>
        <w:t>19,20</w:t>
      </w:r>
      <w:r>
        <w:rPr>
          <w:rFonts w:ascii="Arial" w:hAnsi="Arial" w:cs="Arial"/>
        </w:rPr>
        <w:fldChar w:fldCharType="end"/>
      </w:r>
      <w:r w:rsidRPr="004B743C">
        <w:rPr>
          <w:rFonts w:ascii="Arial" w:hAnsi="Arial" w:cs="Arial"/>
        </w:rPr>
        <w:t>.</w:t>
      </w:r>
    </w:p>
    <w:p w14:paraId="3BBA7330" w14:textId="77777777" w:rsidR="0091686F" w:rsidRPr="004B743C" w:rsidRDefault="0091686F" w:rsidP="0091686F">
      <w:pPr>
        <w:pStyle w:val="Heading1"/>
        <w:spacing w:line="360" w:lineRule="auto"/>
        <w:jc w:val="both"/>
      </w:pPr>
      <w:r w:rsidRPr="004B743C">
        <w:t>Ethical statement</w:t>
      </w:r>
    </w:p>
    <w:p w14:paraId="7AE1CC47" w14:textId="77777777" w:rsidR="0091686F" w:rsidRPr="004B743C" w:rsidRDefault="0091686F" w:rsidP="0091686F">
      <w:pPr>
        <w:spacing w:line="360" w:lineRule="auto"/>
        <w:jc w:val="both"/>
        <w:rPr>
          <w:rFonts w:ascii="Arial" w:hAnsi="Arial" w:cs="Arial"/>
          <w:shd w:val="clear" w:color="auto" w:fill="FFFFFF"/>
        </w:rPr>
      </w:pPr>
      <w:bookmarkStart w:id="0" w:name="_bookmark4"/>
      <w:bookmarkStart w:id="1" w:name="_bookmark3"/>
      <w:bookmarkStart w:id="2" w:name="_bookmark2"/>
      <w:bookmarkStart w:id="3" w:name="_bookmark0"/>
      <w:bookmarkStart w:id="4" w:name="_bookmark1"/>
      <w:bookmarkEnd w:id="0"/>
      <w:bookmarkEnd w:id="1"/>
      <w:bookmarkEnd w:id="2"/>
      <w:bookmarkEnd w:id="3"/>
      <w:bookmarkEnd w:id="4"/>
      <w:r w:rsidRPr="29A93490">
        <w:rPr>
          <w:rFonts w:ascii="Arial" w:hAnsi="Arial" w:cs="Arial"/>
        </w:rPr>
        <w:t xml:space="preserve">In Studies A and B, animal experiments were performed under the European Union Directive and with local ethical committee clearance. The study procedures were reviewed by the Evotec France Ethical Committee and authorised by the French Ministry of Education Advanced Studies and Research. </w:t>
      </w:r>
      <w:r w:rsidRPr="004B743C">
        <w:rPr>
          <w:rFonts w:ascii="Arial" w:hAnsi="Arial" w:cs="Arial"/>
          <w:shd w:val="clear" w:color="auto" w:fill="FFFFFF"/>
        </w:rPr>
        <w:t xml:space="preserve">For </w:t>
      </w:r>
      <w:r>
        <w:rPr>
          <w:rFonts w:ascii="Arial" w:hAnsi="Arial" w:cs="Arial"/>
          <w:shd w:val="clear" w:color="auto" w:fill="FFFFFF"/>
        </w:rPr>
        <w:t>S</w:t>
      </w:r>
      <w:r w:rsidRPr="004B743C">
        <w:rPr>
          <w:rFonts w:ascii="Arial" w:hAnsi="Arial" w:cs="Arial"/>
          <w:shd w:val="clear" w:color="auto" w:fill="FFFFFF"/>
        </w:rPr>
        <w:t>tudy C, the experimental project was favourably evaluated by the ethics committee n°005 Charles Darwin locali</w:t>
      </w:r>
      <w:r>
        <w:rPr>
          <w:rFonts w:ascii="Arial" w:hAnsi="Arial" w:cs="Arial"/>
          <w:shd w:val="clear" w:color="auto" w:fill="FFFFFF"/>
        </w:rPr>
        <w:t>s</w:t>
      </w:r>
      <w:r w:rsidRPr="004B743C">
        <w:rPr>
          <w:rFonts w:ascii="Arial" w:hAnsi="Arial" w:cs="Arial"/>
          <w:shd w:val="clear" w:color="auto" w:fill="FFFFFF"/>
        </w:rPr>
        <w:t>ed at the Pitié-Salpêtrière Hospital and clearance was given by the French Ministry of Education and Research under the number APAFIS#12380-2017112809414820 v3. The animal facility received the authori</w:t>
      </w:r>
      <w:r>
        <w:rPr>
          <w:rFonts w:ascii="Arial" w:hAnsi="Arial" w:cs="Arial"/>
          <w:shd w:val="clear" w:color="auto" w:fill="FFFFFF"/>
        </w:rPr>
        <w:t>s</w:t>
      </w:r>
      <w:r w:rsidRPr="004B743C">
        <w:rPr>
          <w:rFonts w:ascii="Arial" w:hAnsi="Arial" w:cs="Arial"/>
          <w:shd w:val="clear" w:color="auto" w:fill="FFFFFF"/>
        </w:rPr>
        <w:t xml:space="preserve">ation to carry out animal experiments (license number C-75-13-08). </w:t>
      </w:r>
      <w:r w:rsidRPr="29A93490">
        <w:rPr>
          <w:rFonts w:ascii="Arial" w:hAnsi="Arial" w:cs="Arial"/>
        </w:rPr>
        <w:t xml:space="preserve">For Study D, ethics oversight was provided by the Johns Hopkins University Animal Care and Use Committee, which is PHS assured, USDA registered, and AAALAC accredited. </w:t>
      </w:r>
      <w:r w:rsidRPr="004B743C">
        <w:rPr>
          <w:rFonts w:ascii="Arial" w:hAnsi="Arial" w:cs="Arial"/>
        </w:rPr>
        <w:t xml:space="preserve">For </w:t>
      </w:r>
      <w:r>
        <w:rPr>
          <w:rFonts w:ascii="Arial" w:hAnsi="Arial" w:cs="Arial"/>
        </w:rPr>
        <w:t>S</w:t>
      </w:r>
      <w:r w:rsidRPr="004B743C">
        <w:rPr>
          <w:rFonts w:ascii="Arial" w:hAnsi="Arial" w:cs="Arial"/>
        </w:rPr>
        <w:t xml:space="preserve">tudy E, </w:t>
      </w:r>
      <w:r w:rsidRPr="004B743C">
        <w:rPr>
          <w:rFonts w:ascii="Arial" w:hAnsi="Arial" w:cs="Arial"/>
          <w:shd w:val="clear" w:color="auto" w:fill="FFFFFF"/>
        </w:rPr>
        <w:t xml:space="preserve">ethics oversight was provided by the Colorado State University Animal Care and Use Programme </w:t>
      </w:r>
      <w:r w:rsidRPr="00602196">
        <w:rPr>
          <w:rFonts w:ascii="Arial" w:hAnsi="Arial" w:cs="Arial"/>
          <w:shd w:val="clear" w:color="auto" w:fill="FFFFFF"/>
        </w:rPr>
        <w:t xml:space="preserve">(reference number, KP 5172) </w:t>
      </w:r>
      <w:r w:rsidRPr="004B743C">
        <w:rPr>
          <w:rFonts w:ascii="Arial" w:hAnsi="Arial" w:cs="Arial"/>
          <w:shd w:val="clear" w:color="auto" w:fill="FFFFFF"/>
        </w:rPr>
        <w:t xml:space="preserve">which is PHS </w:t>
      </w:r>
      <w:r>
        <w:rPr>
          <w:rFonts w:ascii="Arial" w:hAnsi="Arial" w:cs="Arial"/>
          <w:shd w:val="clear" w:color="auto" w:fill="FFFFFF"/>
        </w:rPr>
        <w:t>a</w:t>
      </w:r>
      <w:r w:rsidRPr="004B743C">
        <w:rPr>
          <w:rFonts w:ascii="Arial" w:hAnsi="Arial" w:cs="Arial"/>
          <w:shd w:val="clear" w:color="auto" w:fill="FFFFFF"/>
        </w:rPr>
        <w:t xml:space="preserve">ssured, USDA </w:t>
      </w:r>
      <w:r>
        <w:rPr>
          <w:rFonts w:ascii="Arial" w:hAnsi="Arial" w:cs="Arial"/>
          <w:shd w:val="clear" w:color="auto" w:fill="FFFFFF"/>
        </w:rPr>
        <w:t>r</w:t>
      </w:r>
      <w:r w:rsidRPr="004B743C">
        <w:rPr>
          <w:rFonts w:ascii="Arial" w:hAnsi="Arial" w:cs="Arial"/>
          <w:shd w:val="clear" w:color="auto" w:fill="FFFFFF"/>
        </w:rPr>
        <w:t xml:space="preserve">egistered, and AAALAC accredited. For </w:t>
      </w:r>
      <w:r>
        <w:rPr>
          <w:rFonts w:ascii="Arial" w:hAnsi="Arial" w:cs="Arial"/>
          <w:shd w:val="clear" w:color="auto" w:fill="FFFFFF"/>
        </w:rPr>
        <w:t>S</w:t>
      </w:r>
      <w:r w:rsidRPr="004B743C">
        <w:rPr>
          <w:rFonts w:ascii="Arial" w:hAnsi="Arial" w:cs="Arial"/>
          <w:shd w:val="clear" w:color="auto" w:fill="FFFFFF"/>
        </w:rPr>
        <w:t>tudy F, animal procedures were performed under UK Home Office project license P6CA9EB8D and approved by the London School of Hygiene &amp; Tropical Medicine Animal Welfare Ethical Review Board. All work was conducted in accordance with the UK Animal Scientific Procedure Act (ASPA) 1986.</w:t>
      </w:r>
    </w:p>
    <w:p w14:paraId="4366C9D0" w14:textId="77777777" w:rsidR="0091686F" w:rsidRPr="004B743C" w:rsidRDefault="0091686F" w:rsidP="0091686F">
      <w:pPr>
        <w:spacing w:line="360" w:lineRule="auto"/>
        <w:jc w:val="both"/>
        <w:rPr>
          <w:rFonts w:ascii="Arial" w:hAnsi="Arial" w:cs="Arial"/>
          <w:shd w:val="clear" w:color="auto" w:fill="FFFFFF"/>
        </w:rPr>
      </w:pPr>
    </w:p>
    <w:p w14:paraId="5958FA84" w14:textId="77777777" w:rsidR="0091686F" w:rsidRPr="004B743C" w:rsidRDefault="0091686F" w:rsidP="0091686F">
      <w:pPr>
        <w:spacing w:line="360" w:lineRule="auto"/>
        <w:jc w:val="both"/>
        <w:rPr>
          <w:rFonts w:ascii="Arial" w:hAnsi="Arial" w:cs="Arial"/>
          <w:b/>
          <w:bCs/>
        </w:rPr>
      </w:pPr>
      <w:r w:rsidRPr="004B743C">
        <w:rPr>
          <w:rFonts w:ascii="Arial" w:hAnsi="Arial" w:cs="Arial"/>
          <w:b/>
          <w:bCs/>
        </w:rPr>
        <w:t>Animal housing</w:t>
      </w:r>
    </w:p>
    <w:p w14:paraId="458F7E82" w14:textId="77777777" w:rsidR="0091686F" w:rsidRPr="004B743C" w:rsidRDefault="0091686F" w:rsidP="0091686F">
      <w:pPr>
        <w:spacing w:line="360" w:lineRule="auto"/>
        <w:jc w:val="both"/>
        <w:rPr>
          <w:rFonts w:ascii="Arial" w:hAnsi="Arial" w:cs="Arial"/>
        </w:rPr>
      </w:pPr>
      <w:r w:rsidRPr="004B743C">
        <w:rPr>
          <w:rFonts w:ascii="Arial" w:hAnsi="Arial" w:cs="Arial"/>
        </w:rPr>
        <w:t>Female BALB/cJRj mice (studies A, B, D, E, and F) and female Swiss mice (</w:t>
      </w:r>
      <w:r>
        <w:rPr>
          <w:rFonts w:ascii="Arial" w:hAnsi="Arial" w:cs="Arial"/>
        </w:rPr>
        <w:t>S</w:t>
      </w:r>
      <w:r w:rsidRPr="004B743C">
        <w:rPr>
          <w:rFonts w:ascii="Arial" w:hAnsi="Arial" w:cs="Arial"/>
        </w:rPr>
        <w:t>tudy C) were housed socially in bio</w:t>
      </w:r>
      <w:r>
        <w:rPr>
          <w:rFonts w:ascii="Arial" w:hAnsi="Arial" w:cs="Arial"/>
        </w:rPr>
        <w:t>-</w:t>
      </w:r>
      <w:r w:rsidRPr="004B743C">
        <w:rPr>
          <w:rFonts w:ascii="Arial" w:hAnsi="Arial" w:cs="Arial"/>
        </w:rPr>
        <w:t xml:space="preserve">confined BSL3 cages (up to </w:t>
      </w:r>
      <w:r>
        <w:rPr>
          <w:rFonts w:ascii="Arial" w:hAnsi="Arial" w:cs="Arial"/>
        </w:rPr>
        <w:t>5</w:t>
      </w:r>
      <w:r w:rsidRPr="004B743C">
        <w:rPr>
          <w:rFonts w:ascii="Arial" w:hAnsi="Arial" w:cs="Arial"/>
        </w:rPr>
        <w:t xml:space="preserve"> animals/cage) under a 12-hour light: 12-h dark with access to filtered water and a standard rodent diet ad libitum. An ambient temperature of 22</w:t>
      </w:r>
      <w:r>
        <w:rPr>
          <w:rFonts w:ascii="Arial" w:hAnsi="Arial" w:cs="Arial"/>
        </w:rPr>
        <w:t xml:space="preserve"> </w:t>
      </w:r>
      <w:r w:rsidRPr="004B743C">
        <w:rPr>
          <w:rFonts w:ascii="Arial" w:hAnsi="Arial" w:cs="Arial"/>
        </w:rPr>
        <w:t>±</w:t>
      </w:r>
      <w:r>
        <w:rPr>
          <w:rFonts w:ascii="Arial" w:hAnsi="Arial" w:cs="Arial"/>
        </w:rPr>
        <w:t xml:space="preserve"> </w:t>
      </w:r>
      <w:r w:rsidRPr="004B743C">
        <w:rPr>
          <w:rFonts w:ascii="Arial" w:hAnsi="Arial" w:cs="Arial"/>
        </w:rPr>
        <w:t>2°C, a relative humidity of 55</w:t>
      </w:r>
      <w:r>
        <w:rPr>
          <w:rFonts w:ascii="Arial" w:hAnsi="Arial" w:cs="Arial"/>
        </w:rPr>
        <w:t xml:space="preserve"> </w:t>
      </w:r>
      <w:r w:rsidRPr="004B743C">
        <w:rPr>
          <w:rFonts w:ascii="Arial" w:hAnsi="Arial" w:cs="Arial"/>
        </w:rPr>
        <w:t>±</w:t>
      </w:r>
      <w:r>
        <w:rPr>
          <w:rFonts w:ascii="Arial" w:hAnsi="Arial" w:cs="Arial"/>
        </w:rPr>
        <w:t xml:space="preserve"> </w:t>
      </w:r>
      <w:r w:rsidRPr="004B743C">
        <w:rPr>
          <w:rFonts w:ascii="Arial" w:hAnsi="Arial" w:cs="Arial"/>
        </w:rPr>
        <w:t xml:space="preserve">10% and a negative pressure of -20Pa </w:t>
      </w:r>
      <w:r w:rsidRPr="004B743C">
        <w:rPr>
          <w:rFonts w:ascii="Arial" w:hAnsi="Arial" w:cs="Arial"/>
        </w:rPr>
        <w:lastRenderedPageBreak/>
        <w:t>were maintained. All mice were allowed to acclimati</w:t>
      </w:r>
      <w:r>
        <w:rPr>
          <w:rFonts w:ascii="Arial" w:hAnsi="Arial" w:cs="Arial"/>
        </w:rPr>
        <w:t>s</w:t>
      </w:r>
      <w:r w:rsidRPr="004B743C">
        <w:rPr>
          <w:rFonts w:ascii="Arial" w:hAnsi="Arial" w:cs="Arial"/>
        </w:rPr>
        <w:t>e to their new environment for at least 5 days after identification. Mice were observed daily.</w:t>
      </w:r>
    </w:p>
    <w:p w14:paraId="2CF511ED" w14:textId="77777777" w:rsidR="0091686F" w:rsidRPr="004B743C" w:rsidRDefault="0091686F" w:rsidP="0091686F">
      <w:pPr>
        <w:spacing w:line="360" w:lineRule="auto"/>
        <w:jc w:val="both"/>
        <w:rPr>
          <w:rFonts w:ascii="Arial" w:hAnsi="Arial" w:cs="Arial"/>
          <w:b/>
          <w:bCs/>
        </w:rPr>
      </w:pPr>
      <w:r w:rsidRPr="004B743C">
        <w:rPr>
          <w:rFonts w:ascii="Arial" w:hAnsi="Arial" w:cs="Arial"/>
          <w:b/>
          <w:bCs/>
        </w:rPr>
        <w:t>Study design</w:t>
      </w:r>
    </w:p>
    <w:p w14:paraId="50BD7CA0" w14:textId="77777777" w:rsidR="0091686F" w:rsidRPr="004B743C" w:rsidRDefault="0091686F" w:rsidP="0091686F">
      <w:pPr>
        <w:spacing w:line="360" w:lineRule="auto"/>
        <w:jc w:val="both"/>
        <w:rPr>
          <w:rFonts w:ascii="Arial" w:hAnsi="Arial" w:cs="Arial"/>
        </w:rPr>
      </w:pPr>
      <w:r w:rsidRPr="004B743C">
        <w:rPr>
          <w:rFonts w:ascii="Arial" w:hAnsi="Arial" w:cs="Arial"/>
        </w:rPr>
        <w:t xml:space="preserve">In Studies A and B, mice were infected by intranasal inoculation of 50 µL of </w:t>
      </w:r>
      <w:r w:rsidRPr="004B743C">
        <w:rPr>
          <w:rFonts w:ascii="Arial" w:hAnsi="Arial" w:cs="Arial"/>
          <w:i/>
          <w:iCs/>
        </w:rPr>
        <w:t xml:space="preserve">M. tuberculosis </w:t>
      </w:r>
      <w:r w:rsidRPr="004B743C">
        <w:rPr>
          <w:rFonts w:ascii="Arial" w:hAnsi="Arial" w:cs="Arial"/>
        </w:rPr>
        <w:t xml:space="preserve">H37Rv at inoculum level of </w:t>
      </w:r>
      <w:r w:rsidRPr="004B743C">
        <w:rPr>
          <w:rFonts w:ascii="Arial" w:hAnsi="Arial" w:cs="Arial"/>
          <w:position w:val="1"/>
        </w:rPr>
        <w:t>4.5 log</w:t>
      </w:r>
      <w:r w:rsidRPr="004B743C">
        <w:rPr>
          <w:rFonts w:ascii="Arial" w:hAnsi="Arial" w:cs="Arial"/>
          <w:vertAlign w:val="subscript"/>
        </w:rPr>
        <w:t>10</w:t>
      </w:r>
      <w:r w:rsidRPr="004B743C">
        <w:rPr>
          <w:rFonts w:ascii="Arial" w:hAnsi="Arial" w:cs="Arial"/>
        </w:rPr>
        <w:t xml:space="preserve"> </w:t>
      </w:r>
      <w:r w:rsidRPr="004B743C">
        <w:rPr>
          <w:rFonts w:ascii="Arial" w:hAnsi="Arial" w:cs="Arial"/>
          <w:position w:val="1"/>
        </w:rPr>
        <w:t>CFU</w:t>
      </w:r>
      <w:r>
        <w:rPr>
          <w:rFonts w:ascii="Arial" w:hAnsi="Arial" w:cs="Arial"/>
          <w:position w:val="1"/>
        </w:rPr>
        <w:t xml:space="preserve"> </w:t>
      </w:r>
      <w:r w:rsidRPr="004B743C">
        <w:rPr>
          <w:rFonts w:ascii="Arial" w:hAnsi="Arial" w:cs="Arial"/>
          <w:position w:val="1"/>
        </w:rPr>
        <w:t>mouse</w:t>
      </w:r>
      <w:r w:rsidRPr="0080085C">
        <w:rPr>
          <w:rFonts w:ascii="Arial" w:hAnsi="Arial" w:cs="Arial"/>
          <w:vertAlign w:val="superscript"/>
        </w:rPr>
        <w:t>-1</w:t>
      </w:r>
      <w:r w:rsidRPr="004B743C">
        <w:rPr>
          <w:rFonts w:ascii="Arial" w:hAnsi="Arial" w:cs="Arial"/>
        </w:rPr>
        <w:t xml:space="preserve">. Treatment was initiated 2 weeks </w:t>
      </w:r>
      <w:r>
        <w:rPr>
          <w:rFonts w:ascii="Arial" w:hAnsi="Arial" w:cs="Arial"/>
        </w:rPr>
        <w:t>post-infection</w:t>
      </w:r>
      <w:r w:rsidRPr="004B743C">
        <w:rPr>
          <w:rFonts w:ascii="Arial" w:hAnsi="Arial" w:cs="Arial"/>
        </w:rPr>
        <w:t xml:space="preserve">, when the bacterial burden in the lungs was </w:t>
      </w:r>
      <w:r w:rsidRPr="004B743C">
        <w:rPr>
          <w:rFonts w:ascii="Arial" w:eastAsia="Calibri" w:hAnsi="Arial" w:cs="Arial"/>
          <w:snapToGrid w:val="0"/>
        </w:rPr>
        <w:t>&gt;7.19 log</w:t>
      </w:r>
      <w:r w:rsidRPr="004B743C">
        <w:rPr>
          <w:rFonts w:ascii="Arial" w:eastAsia="Calibri" w:hAnsi="Arial" w:cs="Arial"/>
          <w:snapToGrid w:val="0"/>
          <w:vertAlign w:val="subscript"/>
        </w:rPr>
        <w:t>10</w:t>
      </w:r>
      <w:r w:rsidRPr="004B743C">
        <w:rPr>
          <w:rFonts w:ascii="Arial" w:eastAsia="Calibri" w:hAnsi="Arial" w:cs="Arial"/>
          <w:snapToGrid w:val="0"/>
        </w:rPr>
        <w:t xml:space="preserve"> CFU</w:t>
      </w:r>
      <w:r w:rsidRPr="004B743C">
        <w:rPr>
          <w:rFonts w:ascii="Arial" w:hAnsi="Arial" w:cs="Arial"/>
        </w:rPr>
        <w:t xml:space="preserve">. The mice were treated </w:t>
      </w:r>
      <w:r>
        <w:rPr>
          <w:rFonts w:ascii="Arial" w:hAnsi="Arial" w:cs="Arial"/>
        </w:rPr>
        <w:t>5</w:t>
      </w:r>
      <w:r w:rsidRPr="004B743C">
        <w:rPr>
          <w:rFonts w:ascii="Arial" w:hAnsi="Arial" w:cs="Arial"/>
        </w:rPr>
        <w:t xml:space="preserve"> days per week by oral gavage (at 10 mL</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for 4, 8, and 12 weeks and received different treatment combinations (</w:t>
      </w:r>
      <w:r w:rsidRPr="00BB0D0E">
        <w:rPr>
          <w:rFonts w:ascii="Arial" w:hAnsi="Arial" w:cs="Arial"/>
          <w:b/>
          <w:bCs/>
        </w:rPr>
        <w:t>Supplementary</w:t>
      </w:r>
      <w:r>
        <w:rPr>
          <w:rFonts w:ascii="Arial" w:hAnsi="Arial" w:cs="Arial"/>
        </w:rPr>
        <w:t xml:space="preserve"> </w:t>
      </w:r>
      <w:r w:rsidRPr="004B743C">
        <w:rPr>
          <w:rFonts w:ascii="Arial" w:hAnsi="Arial" w:cs="Arial"/>
          <w:b/>
          <w:bCs/>
        </w:rPr>
        <w:t xml:space="preserve">Table </w:t>
      </w:r>
      <w:r>
        <w:rPr>
          <w:rFonts w:ascii="Arial" w:hAnsi="Arial" w:cs="Arial"/>
          <w:b/>
          <w:bCs/>
        </w:rPr>
        <w:t>S4</w:t>
      </w:r>
      <w:r w:rsidRPr="004B743C">
        <w:rPr>
          <w:rFonts w:ascii="Arial" w:hAnsi="Arial" w:cs="Arial"/>
        </w:rPr>
        <w:t>) containing bedaquiline (25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pretomanid (40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linezolid (100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clofazimine (20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and JNJ-2901 (5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For all groups, the first two drugs were administered in the morning and the last two drugs in the afternoon, with around 2 hours between the administration of each drug. The bacterial load in lungs (CFU</w:t>
      </w:r>
      <w:r>
        <w:rPr>
          <w:rFonts w:ascii="Arial" w:hAnsi="Arial" w:cs="Arial"/>
        </w:rPr>
        <w:t xml:space="preserve"> </w:t>
      </w:r>
      <w:r w:rsidRPr="004B743C">
        <w:rPr>
          <w:rFonts w:ascii="Arial" w:hAnsi="Arial" w:cs="Arial"/>
        </w:rPr>
        <w:t>lung</w:t>
      </w:r>
      <w:r w:rsidRPr="004F52BB">
        <w:rPr>
          <w:rFonts w:ascii="Arial" w:eastAsia="Times New Roman" w:hAnsi="Arial" w:cs="Arial"/>
          <w:color w:val="000000" w:themeColor="text1"/>
          <w:szCs w:val="24"/>
          <w:vertAlign w:val="superscript"/>
        </w:rPr>
        <w:t>-1</w:t>
      </w:r>
      <w:r w:rsidRPr="004B743C">
        <w:rPr>
          <w:rFonts w:ascii="Arial" w:hAnsi="Arial" w:cs="Arial"/>
        </w:rPr>
        <w:t xml:space="preserve">) was assessed at the end of each treatment, after a standard washout period of 3 days, in </w:t>
      </w:r>
      <w:r>
        <w:rPr>
          <w:rFonts w:ascii="Arial" w:hAnsi="Arial" w:cs="Arial"/>
        </w:rPr>
        <w:t>5</w:t>
      </w:r>
      <w:r w:rsidRPr="004B743C">
        <w:rPr>
          <w:rFonts w:ascii="Arial" w:hAnsi="Arial" w:cs="Arial"/>
        </w:rPr>
        <w:t xml:space="preserve"> animals/group. An untreated control group consisted of 10 mice (</w:t>
      </w:r>
      <w:r>
        <w:rPr>
          <w:rFonts w:ascii="Arial" w:hAnsi="Arial" w:cs="Arial"/>
        </w:rPr>
        <w:t>5</w:t>
      </w:r>
      <w:r w:rsidRPr="004B743C">
        <w:rPr>
          <w:rFonts w:ascii="Arial" w:hAnsi="Arial" w:cs="Arial"/>
        </w:rPr>
        <w:t xml:space="preserve"> at D-13 to act as infection control and </w:t>
      </w:r>
      <w:r>
        <w:rPr>
          <w:rFonts w:ascii="Arial" w:hAnsi="Arial" w:cs="Arial"/>
        </w:rPr>
        <w:t>5</w:t>
      </w:r>
      <w:r w:rsidRPr="004B743C">
        <w:rPr>
          <w:rFonts w:ascii="Arial" w:hAnsi="Arial" w:cs="Arial"/>
        </w:rPr>
        <w:t xml:space="preserve"> at D0 to determine the infection level at treatment start). At the end of 8 or 12 weeks of treatment, 15 animals per group were held without treatment for 12 weeks to determine the proportion of mice with relapse. The total number of mice was 160 in Study A and 255 in Study B. Other study endpoints included animal weights weekly prior to treatment and post treatment during the relapse period and 3 times weekly during treatment phase, lung weight </w:t>
      </w:r>
      <w:r>
        <w:rPr>
          <w:rFonts w:ascii="Arial" w:hAnsi="Arial" w:cs="Arial"/>
        </w:rPr>
        <w:t>1</w:t>
      </w:r>
      <w:r w:rsidRPr="004B743C">
        <w:rPr>
          <w:rFonts w:ascii="Arial" w:hAnsi="Arial" w:cs="Arial"/>
        </w:rPr>
        <w:t xml:space="preserve"> day and 14 days pi and at the end of each period of treatment and relapse period, and observation of treatment-emergent adverse effects.</w:t>
      </w:r>
    </w:p>
    <w:p w14:paraId="1062E390" w14:textId="77777777" w:rsidR="0091686F" w:rsidRPr="004B743C" w:rsidRDefault="0091686F" w:rsidP="0091686F">
      <w:pPr>
        <w:spacing w:line="360" w:lineRule="auto"/>
        <w:jc w:val="both"/>
        <w:rPr>
          <w:rFonts w:ascii="Arial" w:hAnsi="Arial" w:cs="Arial"/>
        </w:rPr>
      </w:pPr>
      <w:r w:rsidRPr="29A93490">
        <w:rPr>
          <w:rFonts w:ascii="Arial" w:hAnsi="Arial" w:cs="Arial"/>
        </w:rPr>
        <w:t xml:space="preserve">For </w:t>
      </w:r>
      <w:r>
        <w:rPr>
          <w:rFonts w:ascii="Arial" w:hAnsi="Arial" w:cs="Arial"/>
        </w:rPr>
        <w:t>S</w:t>
      </w:r>
      <w:r w:rsidRPr="29A93490">
        <w:rPr>
          <w:rFonts w:ascii="Arial" w:hAnsi="Arial" w:cs="Arial"/>
        </w:rPr>
        <w:t>tudy C (</w:t>
      </w:r>
      <w:r w:rsidRPr="29A93490">
        <w:rPr>
          <w:rFonts w:ascii="Arial" w:hAnsi="Arial" w:cs="Arial"/>
          <w:b/>
          <w:bCs/>
        </w:rPr>
        <w:t>Supplementary Table S8</w:t>
      </w:r>
      <w:r w:rsidRPr="29A93490">
        <w:rPr>
          <w:rFonts w:ascii="Arial" w:hAnsi="Arial" w:cs="Arial"/>
        </w:rPr>
        <w:t xml:space="preserve">), the </w:t>
      </w:r>
      <w:r w:rsidRPr="29A93490">
        <w:rPr>
          <w:rFonts w:ascii="Arial" w:hAnsi="Arial" w:cs="Arial"/>
          <w:i/>
          <w:iCs/>
        </w:rPr>
        <w:t>M. tuberculosis</w:t>
      </w:r>
      <w:r w:rsidRPr="29A93490">
        <w:rPr>
          <w:rFonts w:ascii="Arial" w:hAnsi="Arial" w:cs="Arial"/>
        </w:rPr>
        <w:t xml:space="preserve"> reference strain H37Rv maintained for animal infection was grown on Löwenstein-Jensen medium for 3 weeks. Colonies were subcultured in 7H9 medium supplemented with 10% OADC for 7 days at 37°C. 112 six-week-old female Swiss mice were purchased from Janvier breeding centre. Mice were infected intravenously with 0.5 mL of the bacterial suspension of 6.1 log10 CFUs. Mice were treated orally 5 days per week for 3 months with the following drugs (dosing in mg/kg/day): bedaquiline (B, 25 mg kg</w:t>
      </w:r>
      <w:r w:rsidRPr="29A93490">
        <w:rPr>
          <w:rFonts w:ascii="Arial" w:hAnsi="Arial" w:cs="Arial"/>
          <w:vertAlign w:val="superscript"/>
        </w:rPr>
        <w:t>-1</w:t>
      </w:r>
      <w:r w:rsidRPr="29A93490">
        <w:rPr>
          <w:rFonts w:ascii="Arial" w:hAnsi="Arial" w:cs="Arial"/>
        </w:rPr>
        <w:t>), JNJ-2901 (J, 10 mg kg</w:t>
      </w:r>
      <w:r w:rsidRPr="29A93490">
        <w:rPr>
          <w:rFonts w:ascii="Arial" w:hAnsi="Arial" w:cs="Arial"/>
          <w:vertAlign w:val="superscript"/>
        </w:rPr>
        <w:t>-1</w:t>
      </w:r>
      <w:r w:rsidRPr="29A93490">
        <w:rPr>
          <w:rFonts w:ascii="Arial" w:hAnsi="Arial" w:cs="Arial"/>
        </w:rPr>
        <w:t>), moxifloxacin (M, 100 mg kg</w:t>
      </w:r>
      <w:r w:rsidRPr="29A93490">
        <w:rPr>
          <w:rFonts w:ascii="Arial" w:hAnsi="Arial" w:cs="Arial"/>
          <w:vertAlign w:val="superscript"/>
        </w:rPr>
        <w:t>-1</w:t>
      </w:r>
      <w:r w:rsidRPr="29A93490">
        <w:rPr>
          <w:rFonts w:ascii="Arial" w:hAnsi="Arial" w:cs="Arial"/>
        </w:rPr>
        <w:t>), pretomanid (Pa, 40 mg kg</w:t>
      </w:r>
      <w:r w:rsidRPr="29A93490">
        <w:rPr>
          <w:rFonts w:ascii="Arial" w:hAnsi="Arial" w:cs="Arial"/>
          <w:vertAlign w:val="superscript"/>
        </w:rPr>
        <w:t>-1</w:t>
      </w:r>
      <w:r w:rsidRPr="29A93490">
        <w:rPr>
          <w:rFonts w:ascii="Arial" w:hAnsi="Arial" w:cs="Arial"/>
        </w:rPr>
        <w:t>), linezolid (L, 100 mg kg</w:t>
      </w:r>
      <w:r w:rsidRPr="29A93490">
        <w:rPr>
          <w:rFonts w:ascii="Arial" w:hAnsi="Arial" w:cs="Arial"/>
          <w:vertAlign w:val="superscript"/>
        </w:rPr>
        <w:t>-1</w:t>
      </w:r>
      <w:r w:rsidRPr="29A93490">
        <w:rPr>
          <w:rFonts w:ascii="Arial" w:hAnsi="Arial" w:cs="Arial"/>
        </w:rPr>
        <w:t>), rifampi</w:t>
      </w:r>
      <w:r>
        <w:rPr>
          <w:rFonts w:ascii="Arial" w:hAnsi="Arial" w:cs="Arial"/>
        </w:rPr>
        <w:t>ci</w:t>
      </w:r>
      <w:r w:rsidRPr="29A93490">
        <w:rPr>
          <w:rFonts w:ascii="Arial" w:hAnsi="Arial" w:cs="Arial"/>
        </w:rPr>
        <w:t>n (R, 10 mg kg</w:t>
      </w:r>
      <w:r w:rsidRPr="29A93490">
        <w:rPr>
          <w:rFonts w:ascii="Arial" w:hAnsi="Arial" w:cs="Arial"/>
          <w:vertAlign w:val="superscript"/>
        </w:rPr>
        <w:t>-1</w:t>
      </w:r>
      <w:r w:rsidRPr="29A93490">
        <w:rPr>
          <w:rFonts w:ascii="Arial" w:hAnsi="Arial" w:cs="Arial"/>
        </w:rPr>
        <w:t>), isoniazid (H, 25 mg kg</w:t>
      </w:r>
      <w:r w:rsidRPr="29A93490">
        <w:rPr>
          <w:rFonts w:ascii="Arial" w:hAnsi="Arial" w:cs="Arial"/>
          <w:vertAlign w:val="superscript"/>
        </w:rPr>
        <w:t>-1</w:t>
      </w:r>
      <w:r w:rsidRPr="29A93490">
        <w:rPr>
          <w:rFonts w:ascii="Arial" w:hAnsi="Arial" w:cs="Arial"/>
        </w:rPr>
        <w:t>) and pyrazinamide (Z, 150 mg kg</w:t>
      </w:r>
      <w:r w:rsidRPr="29A93490">
        <w:rPr>
          <w:rFonts w:ascii="Arial" w:hAnsi="Arial" w:cs="Arial"/>
          <w:vertAlign w:val="superscript"/>
        </w:rPr>
        <w:t>-1</w:t>
      </w:r>
      <w:r w:rsidRPr="29A93490">
        <w:rPr>
          <w:rFonts w:ascii="Arial" w:hAnsi="Arial" w:cs="Arial"/>
        </w:rPr>
        <w:t>). Six untreated mice were sacrificed the day after infection (D-13), the day of treatment initiation (D0); 20 mice were allocated in each arm and were euthanized after 16 weeks of treatment and 12 weeks off treatment for relapse rate assessment.</w:t>
      </w:r>
    </w:p>
    <w:p w14:paraId="3CC0D232" w14:textId="77777777" w:rsidR="0091686F" w:rsidRPr="004B743C" w:rsidRDefault="0091686F" w:rsidP="0091686F">
      <w:pPr>
        <w:spacing w:line="360" w:lineRule="auto"/>
        <w:jc w:val="both"/>
        <w:rPr>
          <w:rFonts w:ascii="Arial" w:hAnsi="Arial" w:cs="Arial"/>
        </w:rPr>
      </w:pPr>
      <w:r w:rsidRPr="29A93490">
        <w:rPr>
          <w:rFonts w:ascii="Arial" w:hAnsi="Arial" w:cs="Arial"/>
        </w:rPr>
        <w:t xml:space="preserve">In Study D, 4–6 weeks old mice were infected by high-dose aerosol with </w:t>
      </w:r>
      <w:r w:rsidRPr="29A93490">
        <w:rPr>
          <w:rFonts w:ascii="Arial" w:hAnsi="Arial" w:cs="Arial"/>
          <w:i/>
          <w:iCs/>
        </w:rPr>
        <w:t xml:space="preserve">M. tuberculosis </w:t>
      </w:r>
      <w:r w:rsidRPr="29A93490">
        <w:rPr>
          <w:rFonts w:ascii="Arial" w:hAnsi="Arial" w:cs="Arial"/>
        </w:rPr>
        <w:t>H37Rv (~4 log</w:t>
      </w:r>
      <w:r w:rsidRPr="29A93490">
        <w:rPr>
          <w:rFonts w:ascii="Arial" w:hAnsi="Arial" w:cs="Arial"/>
          <w:vertAlign w:val="subscript"/>
        </w:rPr>
        <w:t>10</w:t>
      </w:r>
      <w:r w:rsidRPr="29A93490">
        <w:rPr>
          <w:rFonts w:ascii="Arial" w:hAnsi="Arial" w:cs="Arial"/>
        </w:rPr>
        <w:t xml:space="preserve"> CFU mL</w:t>
      </w:r>
      <w:r w:rsidRPr="29A93490">
        <w:rPr>
          <w:rFonts w:ascii="Arial" w:hAnsi="Arial" w:cs="Arial"/>
          <w:vertAlign w:val="superscript"/>
        </w:rPr>
        <w:t>-1</w:t>
      </w:r>
      <w:r w:rsidRPr="29A93490">
        <w:rPr>
          <w:rFonts w:ascii="Arial" w:hAnsi="Arial" w:cs="Arial"/>
        </w:rPr>
        <w:t>), using a Glas-Col Inhalation exposure system. Treatment started at 2 weeks pi (when the bacterial burden was &gt;7 log</w:t>
      </w:r>
      <w:r w:rsidRPr="29A93490">
        <w:rPr>
          <w:rFonts w:ascii="Arial" w:hAnsi="Arial" w:cs="Arial"/>
          <w:vertAlign w:val="subscript"/>
        </w:rPr>
        <w:t>10</w:t>
      </w:r>
      <w:r w:rsidRPr="29A93490">
        <w:rPr>
          <w:rFonts w:ascii="Arial" w:hAnsi="Arial" w:cs="Arial"/>
        </w:rPr>
        <w:t xml:space="preserve"> CFU) and was administered by oral gavage, </w:t>
      </w:r>
      <w:r w:rsidRPr="29A93490">
        <w:rPr>
          <w:rFonts w:ascii="Arial" w:hAnsi="Arial" w:cs="Arial"/>
        </w:rPr>
        <w:lastRenderedPageBreak/>
        <w:t xml:space="preserve">once daily, </w:t>
      </w:r>
      <w:r>
        <w:rPr>
          <w:rFonts w:ascii="Arial" w:hAnsi="Arial" w:cs="Arial"/>
        </w:rPr>
        <w:t>5</w:t>
      </w:r>
      <w:r w:rsidRPr="29A93490">
        <w:rPr>
          <w:rFonts w:ascii="Arial" w:hAnsi="Arial" w:cs="Arial"/>
        </w:rPr>
        <w:t xml:space="preserve"> days per week. Mice received different treatment combinations (two or three drugs; </w:t>
      </w:r>
      <w:r w:rsidRPr="29A93490">
        <w:rPr>
          <w:rFonts w:ascii="Arial" w:hAnsi="Arial" w:cs="Arial"/>
          <w:b/>
          <w:bCs/>
        </w:rPr>
        <w:t>Supplementary Table S11</w:t>
      </w:r>
      <w:r w:rsidRPr="29A93490">
        <w:rPr>
          <w:rFonts w:ascii="Arial" w:hAnsi="Arial" w:cs="Arial"/>
        </w:rPr>
        <w:t>) containing bedaquiline (25 mg kg</w:t>
      </w:r>
      <w:r w:rsidRPr="29A93490">
        <w:rPr>
          <w:rFonts w:ascii="Arial" w:hAnsi="Arial" w:cs="Arial"/>
          <w:vertAlign w:val="superscript"/>
        </w:rPr>
        <w:t>-1</w:t>
      </w:r>
      <w:r w:rsidRPr="29A93490">
        <w:rPr>
          <w:rFonts w:ascii="Arial" w:hAnsi="Arial" w:cs="Arial"/>
        </w:rPr>
        <w:t>), pretomanid (100 mg kg</w:t>
      </w:r>
      <w:r w:rsidRPr="29A93490">
        <w:rPr>
          <w:rFonts w:ascii="Arial" w:hAnsi="Arial" w:cs="Arial"/>
          <w:vertAlign w:val="superscript"/>
        </w:rPr>
        <w:t>-1</w:t>
      </w:r>
      <w:r w:rsidRPr="29A93490">
        <w:rPr>
          <w:rFonts w:ascii="Arial" w:hAnsi="Arial" w:cs="Arial"/>
        </w:rPr>
        <w:t>), linezolid (100 mg kg</w:t>
      </w:r>
      <w:r w:rsidRPr="29A93490">
        <w:rPr>
          <w:rFonts w:ascii="Arial" w:hAnsi="Arial" w:cs="Arial"/>
          <w:vertAlign w:val="superscript"/>
        </w:rPr>
        <w:t>-1</w:t>
      </w:r>
      <w:r w:rsidRPr="29A93490">
        <w:rPr>
          <w:rFonts w:ascii="Arial" w:hAnsi="Arial" w:cs="Arial"/>
        </w:rPr>
        <w:t>) and JNJ-2901 (5 mg kg</w:t>
      </w:r>
      <w:r w:rsidRPr="29A93490">
        <w:rPr>
          <w:rFonts w:ascii="Arial" w:hAnsi="Arial" w:cs="Arial"/>
          <w:vertAlign w:val="superscript"/>
        </w:rPr>
        <w:t>-1</w:t>
      </w:r>
      <w:r w:rsidRPr="29A93490">
        <w:rPr>
          <w:rFonts w:ascii="Arial" w:hAnsi="Arial" w:cs="Arial"/>
        </w:rPr>
        <w:t xml:space="preserve">). All treatment groups received BPaL for an initial 8-week intensive phase, then received treatment with B alone or in combination with either Pa or J, or no treatment, for an 8-week continuation phase. The untreated control group consisted of 26 mice (eight at D-13, eight at D0, and </w:t>
      </w:r>
      <w:r>
        <w:rPr>
          <w:rFonts w:ascii="Arial" w:hAnsi="Arial" w:cs="Arial"/>
        </w:rPr>
        <w:t>5</w:t>
      </w:r>
      <w:r w:rsidRPr="29A93490">
        <w:rPr>
          <w:rFonts w:ascii="Arial" w:hAnsi="Arial" w:cs="Arial"/>
        </w:rPr>
        <w:t xml:space="preserve"> at each 2- and 4-weeks </w:t>
      </w:r>
      <w:r>
        <w:rPr>
          <w:rFonts w:ascii="Arial" w:hAnsi="Arial" w:cs="Arial"/>
        </w:rPr>
        <w:t xml:space="preserve">after the start of </w:t>
      </w:r>
      <w:r w:rsidRPr="7D08B5CE">
        <w:rPr>
          <w:rFonts w:ascii="Arial" w:hAnsi="Arial" w:cs="Arial"/>
        </w:rPr>
        <w:t>treatment).</w:t>
      </w:r>
      <w:r w:rsidRPr="29A93490">
        <w:rPr>
          <w:rFonts w:ascii="Arial" w:hAnsi="Arial" w:cs="Arial"/>
        </w:rPr>
        <w:t xml:space="preserve"> Lung CFU was assessed after 8, 12 and 16 weeks of treatment (5 mice/group), as well as at the end of the relapse period (15 mice/group). </w:t>
      </w:r>
    </w:p>
    <w:p w14:paraId="4C4C9B8F" w14:textId="77777777" w:rsidR="0091686F" w:rsidRPr="004B743C" w:rsidRDefault="0091686F" w:rsidP="0091686F">
      <w:pPr>
        <w:spacing w:line="360" w:lineRule="auto"/>
        <w:jc w:val="both"/>
        <w:rPr>
          <w:rFonts w:ascii="Arial" w:hAnsi="Arial" w:cs="Arial"/>
        </w:rPr>
      </w:pPr>
      <w:r w:rsidRPr="29A93490">
        <w:rPr>
          <w:rFonts w:ascii="Arial" w:hAnsi="Arial" w:cs="Arial"/>
        </w:rPr>
        <w:t xml:space="preserve">In Study E, 6–8 weeks old mice were infected by high-dose aerosol with </w:t>
      </w:r>
      <w:r w:rsidRPr="29A93490">
        <w:rPr>
          <w:rFonts w:ascii="Arial" w:hAnsi="Arial" w:cs="Arial"/>
          <w:i/>
          <w:iCs/>
        </w:rPr>
        <w:t>M. tuberculosis</w:t>
      </w:r>
      <w:r w:rsidRPr="29A93490">
        <w:rPr>
          <w:rFonts w:ascii="Arial" w:hAnsi="Arial" w:cs="Arial"/>
        </w:rPr>
        <w:t xml:space="preserve"> Erdman, using a Glas-Col Inhalation exposure system. Treatment was initiated at 11 days pi and was administered </w:t>
      </w:r>
      <w:r>
        <w:rPr>
          <w:rFonts w:ascii="Arial" w:hAnsi="Arial" w:cs="Arial"/>
        </w:rPr>
        <w:t>5</w:t>
      </w:r>
      <w:r w:rsidRPr="29A93490">
        <w:rPr>
          <w:rFonts w:ascii="Arial" w:hAnsi="Arial" w:cs="Arial"/>
        </w:rPr>
        <w:t xml:space="preserve"> days per week, via oral gavage at 200 µL/mouse, ensuring at least 1 hour between the administration of regimen components. Mice received different treatment combinations (2–4 drugs; </w:t>
      </w:r>
      <w:r w:rsidRPr="29A93490">
        <w:rPr>
          <w:rFonts w:ascii="Arial" w:hAnsi="Arial" w:cs="Arial"/>
          <w:b/>
          <w:bCs/>
        </w:rPr>
        <w:t>Supplementary Table S12</w:t>
      </w:r>
      <w:r w:rsidRPr="29A93490">
        <w:rPr>
          <w:rFonts w:ascii="Arial" w:hAnsi="Arial" w:cs="Arial"/>
        </w:rPr>
        <w:t>) containing bedaquiline (25 mg kg</w:t>
      </w:r>
      <w:r w:rsidRPr="29A93490">
        <w:rPr>
          <w:rFonts w:ascii="Arial" w:hAnsi="Arial" w:cs="Arial"/>
          <w:vertAlign w:val="superscript"/>
        </w:rPr>
        <w:t>-1</w:t>
      </w:r>
      <w:r w:rsidRPr="29A93490">
        <w:rPr>
          <w:rFonts w:ascii="Arial" w:hAnsi="Arial" w:cs="Arial"/>
        </w:rPr>
        <w:t>), clofazimine (20 mg kg</w:t>
      </w:r>
      <w:r w:rsidRPr="29A93490">
        <w:rPr>
          <w:rFonts w:ascii="Arial" w:hAnsi="Arial" w:cs="Arial"/>
          <w:vertAlign w:val="superscript"/>
        </w:rPr>
        <w:t>-1</w:t>
      </w:r>
      <w:r w:rsidRPr="29A93490">
        <w:rPr>
          <w:rFonts w:ascii="Arial" w:hAnsi="Arial" w:cs="Arial"/>
        </w:rPr>
        <w:t>), pyrazinamide (150 mg kg</w:t>
      </w:r>
      <w:r w:rsidRPr="29A93490">
        <w:rPr>
          <w:rFonts w:ascii="Arial" w:hAnsi="Arial" w:cs="Arial"/>
          <w:vertAlign w:val="superscript"/>
        </w:rPr>
        <w:t>-1</w:t>
      </w:r>
      <w:r w:rsidRPr="29A93490">
        <w:rPr>
          <w:rFonts w:ascii="Arial" w:hAnsi="Arial" w:cs="Arial"/>
        </w:rPr>
        <w:t xml:space="preserve">), </w:t>
      </w:r>
      <w:r w:rsidRPr="5DEA5227">
        <w:rPr>
          <w:rFonts w:ascii="Arial" w:hAnsi="Arial" w:cs="Arial"/>
        </w:rPr>
        <w:t>telacebec</w:t>
      </w:r>
      <w:r w:rsidRPr="29A93490">
        <w:rPr>
          <w:rFonts w:ascii="Arial" w:hAnsi="Arial" w:cs="Arial"/>
        </w:rPr>
        <w:t xml:space="preserve"> (10 mg kg</w:t>
      </w:r>
      <w:r w:rsidRPr="29A93490">
        <w:rPr>
          <w:rFonts w:ascii="Arial" w:hAnsi="Arial" w:cs="Arial"/>
          <w:vertAlign w:val="superscript"/>
        </w:rPr>
        <w:t>-1</w:t>
      </w:r>
      <w:r w:rsidRPr="29A93490">
        <w:rPr>
          <w:rFonts w:ascii="Arial" w:hAnsi="Arial" w:cs="Arial"/>
        </w:rPr>
        <w:t>), isoniazid (10 mg kg</w:t>
      </w:r>
      <w:r w:rsidRPr="29A93490">
        <w:rPr>
          <w:rFonts w:ascii="Arial" w:hAnsi="Arial" w:cs="Arial"/>
          <w:vertAlign w:val="superscript"/>
        </w:rPr>
        <w:t>-1</w:t>
      </w:r>
      <w:r w:rsidRPr="29A93490">
        <w:rPr>
          <w:rFonts w:ascii="Arial" w:hAnsi="Arial" w:cs="Arial"/>
        </w:rPr>
        <w:t>), rifampi</w:t>
      </w:r>
      <w:r>
        <w:rPr>
          <w:rFonts w:ascii="Arial" w:hAnsi="Arial" w:cs="Arial"/>
        </w:rPr>
        <w:t>ci</w:t>
      </w:r>
      <w:r w:rsidRPr="29A93490">
        <w:rPr>
          <w:rFonts w:ascii="Arial" w:hAnsi="Arial" w:cs="Arial"/>
        </w:rPr>
        <w:t>n (10 mg kg</w:t>
      </w:r>
      <w:r w:rsidRPr="29A93490">
        <w:rPr>
          <w:rFonts w:ascii="Arial" w:hAnsi="Arial" w:cs="Arial"/>
          <w:vertAlign w:val="superscript"/>
        </w:rPr>
        <w:t>-1</w:t>
      </w:r>
      <w:r w:rsidRPr="29A93490">
        <w:rPr>
          <w:rFonts w:ascii="Arial" w:hAnsi="Arial" w:cs="Arial"/>
        </w:rPr>
        <w:t>), and ethambutol (100 mg kg</w:t>
      </w:r>
      <w:r w:rsidRPr="29A93490">
        <w:rPr>
          <w:rFonts w:ascii="Arial" w:hAnsi="Arial" w:cs="Arial"/>
          <w:vertAlign w:val="superscript"/>
        </w:rPr>
        <w:t>-1</w:t>
      </w:r>
      <w:r w:rsidRPr="29A93490">
        <w:rPr>
          <w:rFonts w:ascii="Arial" w:hAnsi="Arial" w:cs="Arial"/>
        </w:rPr>
        <w:t>) for 4, 6, 8, 12, 16, and 20 weeks. The untreated control group consisted of 1</w:t>
      </w:r>
      <w:r>
        <w:rPr>
          <w:rFonts w:ascii="Arial" w:hAnsi="Arial" w:cs="Arial"/>
        </w:rPr>
        <w:t>1</w:t>
      </w:r>
      <w:r w:rsidRPr="29A93490">
        <w:rPr>
          <w:rFonts w:ascii="Arial" w:hAnsi="Arial" w:cs="Arial"/>
        </w:rPr>
        <w:t xml:space="preserve"> mice (six sacrificed at D-11 and </w:t>
      </w:r>
      <w:r>
        <w:rPr>
          <w:rFonts w:ascii="Arial" w:hAnsi="Arial" w:cs="Arial"/>
        </w:rPr>
        <w:t>5 at the start of treatment on</w:t>
      </w:r>
      <w:r w:rsidRPr="29A93490">
        <w:rPr>
          <w:rFonts w:ascii="Arial" w:hAnsi="Arial" w:cs="Arial"/>
        </w:rPr>
        <w:t xml:space="preserve"> D0). Lung CFU was assessed at the end of the treatment period in </w:t>
      </w:r>
      <w:r>
        <w:rPr>
          <w:rFonts w:ascii="Arial" w:hAnsi="Arial" w:cs="Arial"/>
        </w:rPr>
        <w:t>5</w:t>
      </w:r>
      <w:r w:rsidRPr="29A93490">
        <w:rPr>
          <w:rFonts w:ascii="Arial" w:hAnsi="Arial" w:cs="Arial"/>
        </w:rPr>
        <w:t xml:space="preserve"> mice/group after a washout period of 5 days. Relapse groups were kept without treatment for 12 weeks; 15 mice/group were allocated for each arm. Mice were euthanised at the sampling timepoints indicated in </w:t>
      </w:r>
      <w:r w:rsidRPr="29A93490">
        <w:rPr>
          <w:rFonts w:ascii="Arial" w:hAnsi="Arial" w:cs="Arial"/>
          <w:b/>
          <w:bCs/>
        </w:rPr>
        <w:t>Supplementary Table S12</w:t>
      </w:r>
      <w:r w:rsidRPr="29A93490">
        <w:rPr>
          <w:rFonts w:ascii="Arial" w:hAnsi="Arial" w:cs="Arial"/>
        </w:rPr>
        <w:t>.</w:t>
      </w:r>
    </w:p>
    <w:p w14:paraId="31F89D29" w14:textId="77777777" w:rsidR="0091686F" w:rsidRDefault="0091686F" w:rsidP="0091686F">
      <w:pPr>
        <w:spacing w:line="360" w:lineRule="auto"/>
        <w:jc w:val="both"/>
        <w:rPr>
          <w:rFonts w:ascii="Arial" w:hAnsi="Arial" w:cs="Arial"/>
        </w:rPr>
      </w:pPr>
      <w:r w:rsidRPr="004B743C">
        <w:rPr>
          <w:rFonts w:ascii="Arial" w:hAnsi="Arial" w:cs="Arial"/>
        </w:rPr>
        <w:t xml:space="preserve">In </w:t>
      </w:r>
      <w:r>
        <w:rPr>
          <w:rFonts w:ascii="Arial" w:hAnsi="Arial" w:cs="Arial"/>
        </w:rPr>
        <w:t>S</w:t>
      </w:r>
      <w:r w:rsidRPr="004B743C">
        <w:rPr>
          <w:rFonts w:ascii="Arial" w:hAnsi="Arial" w:cs="Arial"/>
        </w:rPr>
        <w:t>tudy F, 6</w:t>
      </w:r>
      <w:r w:rsidRPr="5DEA5227">
        <w:rPr>
          <w:rFonts w:ascii="Arial" w:hAnsi="Arial" w:cs="Arial"/>
        </w:rPr>
        <w:t>–</w:t>
      </w:r>
      <w:r w:rsidRPr="004B743C">
        <w:rPr>
          <w:rFonts w:ascii="Arial" w:hAnsi="Arial" w:cs="Arial"/>
        </w:rPr>
        <w:t>8</w:t>
      </w:r>
      <w:r w:rsidRPr="5DEA5227">
        <w:rPr>
          <w:rFonts w:ascii="Arial" w:hAnsi="Arial" w:cs="Arial"/>
        </w:rPr>
        <w:t>-</w:t>
      </w:r>
      <w:r w:rsidRPr="004B743C">
        <w:rPr>
          <w:rFonts w:ascii="Arial" w:hAnsi="Arial" w:cs="Arial"/>
        </w:rPr>
        <w:t>week</w:t>
      </w:r>
      <w:r w:rsidRPr="5DEA5227">
        <w:rPr>
          <w:rFonts w:ascii="Arial" w:hAnsi="Arial" w:cs="Arial"/>
        </w:rPr>
        <w:t>-</w:t>
      </w:r>
      <w:r w:rsidRPr="004B743C">
        <w:rPr>
          <w:rFonts w:ascii="Arial" w:hAnsi="Arial" w:cs="Arial"/>
        </w:rPr>
        <w:t xml:space="preserve">old BALB/c mice (Charles River UK)​ were infected by high-dose aerosol with 300 CFU of either </w:t>
      </w:r>
      <w:r w:rsidRPr="004B743C">
        <w:rPr>
          <w:rFonts w:ascii="Arial" w:hAnsi="Arial" w:cs="Arial"/>
          <w:i/>
          <w:iCs/>
        </w:rPr>
        <w:t>M. tuberculosis</w:t>
      </w:r>
      <w:r w:rsidRPr="004B743C">
        <w:rPr>
          <w:rFonts w:ascii="Arial" w:hAnsi="Arial" w:cs="Arial"/>
        </w:rPr>
        <w:t xml:space="preserve"> H37Rv mouse passaged or a clinical isolate, N1283. After 7 days, treatment was initiated with once-daily JNJ-4052 (50 mg</w:t>
      </w:r>
      <w:r>
        <w:rPr>
          <w:rFonts w:ascii="Arial" w:hAnsi="Arial" w:cs="Arial"/>
        </w:rPr>
        <w:t xml:space="preserve"> </w:t>
      </w:r>
      <w:r w:rsidRPr="004B743C">
        <w:rPr>
          <w:rFonts w:ascii="Arial" w:hAnsi="Arial" w:cs="Arial"/>
        </w:rPr>
        <w:t>kg</w:t>
      </w:r>
      <w:r w:rsidRPr="0080085C">
        <w:rPr>
          <w:rFonts w:ascii="Arial" w:hAnsi="Arial" w:cs="Arial"/>
          <w:vertAlign w:val="superscript"/>
        </w:rPr>
        <w:t>-1</w:t>
      </w:r>
      <w:r w:rsidRPr="004B743C">
        <w:rPr>
          <w:rFonts w:ascii="Arial" w:hAnsi="Arial" w:cs="Arial"/>
        </w:rPr>
        <w:t xml:space="preserve">; PO) for 2 weeks. Lung CFU was assessed at the start of treatment (day 7) and after treatment (day 21) (3 mice/group). </w:t>
      </w:r>
    </w:p>
    <w:p w14:paraId="29B1EA10" w14:textId="77777777" w:rsidR="0091686F" w:rsidRPr="00BF3E38" w:rsidRDefault="0091686F" w:rsidP="0091686F">
      <w:pPr>
        <w:spacing w:line="360" w:lineRule="auto"/>
        <w:jc w:val="both"/>
        <w:rPr>
          <w:rFonts w:ascii="Arial" w:hAnsi="Arial" w:cs="Arial"/>
          <w:b/>
          <w:bCs/>
        </w:rPr>
      </w:pPr>
      <w:r w:rsidRPr="00BF3E38">
        <w:rPr>
          <w:rFonts w:ascii="Arial" w:hAnsi="Arial" w:cs="Arial"/>
          <w:b/>
          <w:bCs/>
        </w:rPr>
        <w:t>Drug formulation</w:t>
      </w:r>
    </w:p>
    <w:p w14:paraId="296D3C2F" w14:textId="77777777" w:rsidR="0091686F" w:rsidRPr="004B743C" w:rsidRDefault="0091686F" w:rsidP="0091686F">
      <w:pPr>
        <w:spacing w:line="360" w:lineRule="auto"/>
        <w:jc w:val="both"/>
        <w:rPr>
          <w:rFonts w:ascii="Arial" w:hAnsi="Arial" w:cs="Arial"/>
        </w:rPr>
      </w:pPr>
      <w:r w:rsidRPr="29A93490">
        <w:rPr>
          <w:rFonts w:ascii="Arial" w:hAnsi="Arial" w:cs="Arial"/>
        </w:rPr>
        <w:t>Bedaquiline (salt-base ratio 1.21; studies A and B: LTK Laboratories, B165121. Study C, D and E provided by Janssen Pharmaceutica) was prepared weekly. It was dissolved in 20%2-hydroxypropyl-β-cyclodextrin (Aldrich 332593) at pH 3 (adjusted with 1N HCL), vortexed for 10 min and stirred overnight at 4</w:t>
      </w:r>
      <w:r w:rsidRPr="29A93490">
        <w:rPr>
          <w:rFonts w:ascii="Calibri" w:hAnsi="Calibri" w:cs="Calibri"/>
        </w:rPr>
        <w:t>°</w:t>
      </w:r>
      <w:r w:rsidRPr="29A93490">
        <w:rPr>
          <w:rFonts w:ascii="Arial" w:hAnsi="Arial" w:cs="Arial"/>
        </w:rPr>
        <w:t xml:space="preserve">C, protected from light. Pretomanid (Chemshuttle 140130), made fresh every week, was dissolved in 10% </w:t>
      </w:r>
      <w:r w:rsidRPr="29A93490">
        <w:rPr>
          <w:rFonts w:ascii="Arial" w:eastAsia="Times New Roman" w:hAnsi="Arial" w:cs="Arial"/>
          <w:lang w:eastAsia="de-DE"/>
        </w:rPr>
        <w:t xml:space="preserve">2-hydroxypropyl-β-cyclodextrin (Aldrich 332593) 2% soy lecithin. Vortexed for 10 min and stirred overnight at 4°C. </w:t>
      </w:r>
      <w:r w:rsidRPr="29A93490">
        <w:rPr>
          <w:rFonts w:ascii="Arial" w:hAnsi="Arial" w:cs="Arial"/>
        </w:rPr>
        <w:t xml:space="preserve">Moxifloxacin (LTK Laboratories M5794), made fresh every day, was dissolved in water by vortexing for 1 min. Stirred at room temperature until complete dissolution. Clofazimine (LTK Laboratories C458567), made fresh each week, was weighted and transferred to a mortar. The powder was ground with a </w:t>
      </w:r>
      <w:r w:rsidRPr="29A93490">
        <w:rPr>
          <w:rFonts w:ascii="Arial" w:eastAsia="Times New Roman" w:hAnsi="Arial" w:cs="Arial"/>
          <w:lang w:eastAsia="de-DE"/>
        </w:rPr>
        <w:t xml:space="preserve">small </w:t>
      </w:r>
      <w:r w:rsidRPr="29A93490">
        <w:rPr>
          <w:rFonts w:ascii="Arial" w:eastAsia="Times New Roman" w:hAnsi="Arial" w:cs="Arial"/>
          <w:lang w:eastAsia="de-DE"/>
        </w:rPr>
        <w:lastRenderedPageBreak/>
        <w:t>volume of 20% 2-hydroxypropyl-β-cyclodextrin (Aldrich 332593), then mixed with 20% 2-hydroxypropyl-β-cyclodextrin. Compound was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 xml:space="preserve">C and protected from light. Linezolid (LTK Laboratories L3453), made freshly each week, was </w:t>
      </w:r>
      <w:r w:rsidRPr="29A93490">
        <w:rPr>
          <w:rFonts w:ascii="Arial" w:hAnsi="Arial" w:cs="Arial"/>
        </w:rPr>
        <w:t xml:space="preserve">weighted and transfer to a mortar. The powder was ground with a small amount of PEG-200 (5% of the total liquid volume; Sigma P3015). Transferred to a conical tube and vortexed. 0.5%methylcellulose (95% of the total liquid volume; Sigma M0430) was added and placed in a tube with slow rotation overnight. </w:t>
      </w:r>
      <w:r w:rsidRPr="29A93490">
        <w:rPr>
          <w:rFonts w:ascii="Arial" w:eastAsia="Times New Roman" w:hAnsi="Arial" w:cs="Arial"/>
          <w:lang w:eastAsia="de-DE"/>
        </w:rPr>
        <w:t>Compound was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C and protected from light. Pyrazinamide (ACROS 157641000), made fresh each week, was dissolved in sterile ddH</w:t>
      </w:r>
      <w:r w:rsidRPr="29A93490">
        <w:rPr>
          <w:rFonts w:ascii="Arial" w:eastAsia="Times New Roman" w:hAnsi="Arial" w:cs="Arial"/>
          <w:vertAlign w:val="subscript"/>
          <w:lang w:eastAsia="de-DE"/>
        </w:rPr>
        <w:t>2</w:t>
      </w:r>
      <w:r w:rsidRPr="29A93490">
        <w:rPr>
          <w:rFonts w:ascii="Arial" w:eastAsia="Times New Roman" w:hAnsi="Arial" w:cs="Arial"/>
          <w:lang w:eastAsia="de-DE"/>
        </w:rPr>
        <w:t>O. The solution was heated to 60</w:t>
      </w:r>
      <w:r w:rsidRPr="29A93490">
        <w:rPr>
          <w:rFonts w:ascii="Calibri" w:eastAsia="Times New Roman" w:hAnsi="Calibri" w:cs="Calibri"/>
          <w:lang w:eastAsia="de-DE"/>
        </w:rPr>
        <w:t>°</w:t>
      </w:r>
      <w:r w:rsidRPr="29A93490">
        <w:rPr>
          <w:rFonts w:ascii="Arial" w:eastAsia="Times New Roman" w:hAnsi="Arial" w:cs="Arial"/>
          <w:lang w:eastAsia="de-DE"/>
        </w:rPr>
        <w:t>C until crystals dissolved. Compound was then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C and protected from light. Rifampicin (Sigma R3501), made fresh each week, was ground in a small amount of sterile water. Water was added in small increments while grinding until final volume/concentration was achieved. Compound was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C and protected from light. Ethambutol (Sigma E4630-25G), made fresh weekly, was dissolved in water then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C. Isoniazid (Sigma I3377-50G), was made fresh each week by dissolving in water then kept at 4</w:t>
      </w:r>
      <w:r w:rsidRPr="29A93490">
        <w:rPr>
          <w:rFonts w:ascii="Arial" w:eastAsia="Times New Roman" w:hAnsi="Arial" w:cs="Arial"/>
          <w:vertAlign w:val="superscript"/>
          <w:lang w:eastAsia="de-DE"/>
        </w:rPr>
        <w:t>o</w:t>
      </w:r>
      <w:r w:rsidRPr="29A93490">
        <w:rPr>
          <w:rFonts w:ascii="Arial" w:eastAsia="Times New Roman" w:hAnsi="Arial" w:cs="Arial"/>
          <w:lang w:eastAsia="de-DE"/>
        </w:rPr>
        <w:t>C. JNJ-2901 and JNJ-4052 (provided by Janssen Pharmaceutica), were made fresh each week, by dissolving in PEG400 (Aldrich P3265). Compounds were stirred until full dissolution and kept at room temperature. Telacebec (provided by Janssen Pharmaceutica) was made fresh each week by dissolving in PEG400 (Aldrich P3265). 12N HCl was added (0.36µL 12N HCl per mL solution of 2 mg mL</w:t>
      </w:r>
      <w:r w:rsidRPr="29A93490">
        <w:rPr>
          <w:rFonts w:ascii="Arial" w:eastAsia="Times New Roman" w:hAnsi="Arial" w:cs="Arial"/>
          <w:vertAlign w:val="superscript"/>
          <w:lang w:eastAsia="de-DE"/>
        </w:rPr>
        <w:t>-1</w:t>
      </w:r>
      <w:r w:rsidRPr="29A93490">
        <w:rPr>
          <w:rFonts w:ascii="Arial" w:eastAsia="Times New Roman" w:hAnsi="Arial" w:cs="Arial"/>
          <w:lang w:eastAsia="de-DE"/>
        </w:rPr>
        <w:t xml:space="preserve"> </w:t>
      </w:r>
      <w:r w:rsidRPr="5DEA5227">
        <w:rPr>
          <w:rFonts w:ascii="Arial" w:hAnsi="Arial" w:cs="Arial"/>
        </w:rPr>
        <w:t>t</w:t>
      </w:r>
      <w:r w:rsidRPr="29A93490">
        <w:rPr>
          <w:rFonts w:ascii="Arial" w:eastAsia="Times New Roman" w:hAnsi="Arial" w:cs="Arial"/>
          <w:lang w:eastAsia="de-DE"/>
        </w:rPr>
        <w:t xml:space="preserve">elacebec). Compound was stirred overnight and kept at room temperature. </w:t>
      </w:r>
      <w:r w:rsidRPr="29A93490">
        <w:rPr>
          <w:rFonts w:ascii="Arial" w:hAnsi="Arial" w:cs="Arial"/>
        </w:rPr>
        <w:t xml:space="preserve">In studies A, B, C and D, drugs were administered individually with at least 2 hours between dosages. </w:t>
      </w:r>
      <w:r>
        <w:rPr>
          <w:rStyle w:val="normaltextrun"/>
          <w:rFonts w:ascii="Arial" w:hAnsi="Arial" w:cs="Arial"/>
          <w:color w:val="000000"/>
          <w:shd w:val="clear" w:color="auto" w:fill="FFFFFF"/>
        </w:rPr>
        <w:t xml:space="preserve">In Study </w:t>
      </w:r>
      <w:r w:rsidRPr="00446C96">
        <w:rPr>
          <w:rStyle w:val="normaltextrun"/>
          <w:rFonts w:ascii="Arial" w:hAnsi="Arial" w:cs="Arial"/>
          <w:shd w:val="clear" w:color="auto" w:fill="FFFFFF"/>
        </w:rPr>
        <w:t>E, individual drugs were made as 2-3x concentrated stocks and combined and dosed together in a 0.2 mL volume at the time of dosing. Specifically: clofazimine and pyrazinamide were made separately at 2 times final concentration at half volume and combined at the time of dosing. Bedaquiline and clofazimine made separately at 2 times final concentration at half volume and combined at the time of dosing. Bedaquiline, clofazimine and pyrazinamide were made separately at 3 times final concentration at one-third volume and combined at the time of dosing. Isoniazid, ethambutol and pyrazinamide were made separately at 3 times final concentration at one-third volume and combined at the time of dosing.</w:t>
      </w:r>
      <w:r w:rsidRPr="00446C96">
        <w:rPr>
          <w:rStyle w:val="eop"/>
          <w:rFonts w:ascii="Arial" w:hAnsi="Arial" w:cs="Arial"/>
          <w:shd w:val="clear" w:color="auto" w:fill="FFFFFF"/>
        </w:rPr>
        <w:t> </w:t>
      </w:r>
    </w:p>
    <w:p w14:paraId="5EAA9EC7" w14:textId="77777777" w:rsidR="0091686F" w:rsidRPr="00456A93" w:rsidRDefault="0091686F" w:rsidP="0091686F">
      <w:pPr>
        <w:spacing w:line="360" w:lineRule="auto"/>
        <w:jc w:val="both"/>
        <w:rPr>
          <w:rFonts w:ascii="Arial" w:hAnsi="Arial" w:cs="Arial"/>
        </w:rPr>
      </w:pPr>
      <w:r w:rsidRPr="00AD308A">
        <w:rPr>
          <w:rFonts w:ascii="Arial" w:hAnsi="Arial" w:cs="Arial"/>
          <w:b/>
          <w:bCs/>
        </w:rPr>
        <w:t>Pharmacokinetics</w:t>
      </w:r>
      <w:r w:rsidRPr="00456A93">
        <w:rPr>
          <w:rFonts w:ascii="Arial" w:hAnsi="Arial" w:cs="Arial"/>
          <w:b/>
          <w:bCs/>
        </w:rPr>
        <w:t xml:space="preserve"> </w:t>
      </w:r>
      <w:r>
        <w:rPr>
          <w:rFonts w:ascii="Arial" w:hAnsi="Arial" w:cs="Arial"/>
          <w:b/>
          <w:bCs/>
        </w:rPr>
        <w:t>(</w:t>
      </w:r>
      <w:r w:rsidRPr="00456A93">
        <w:rPr>
          <w:rFonts w:ascii="Arial" w:hAnsi="Arial" w:cs="Arial"/>
          <w:b/>
          <w:bCs/>
        </w:rPr>
        <w:t>PK</w:t>
      </w:r>
      <w:r>
        <w:rPr>
          <w:rFonts w:ascii="Arial" w:hAnsi="Arial" w:cs="Arial"/>
          <w:b/>
          <w:bCs/>
        </w:rPr>
        <w:t>)</w:t>
      </w:r>
      <w:r w:rsidRPr="00456A93">
        <w:rPr>
          <w:rFonts w:ascii="Arial" w:hAnsi="Arial" w:cs="Arial"/>
          <w:b/>
          <w:bCs/>
        </w:rPr>
        <w:t xml:space="preserve"> and tolerability in mouse</w:t>
      </w:r>
      <w:r w:rsidRPr="00456A93">
        <w:rPr>
          <w:rFonts w:ascii="Arial" w:hAnsi="Arial" w:cs="Arial"/>
        </w:rPr>
        <w:t> </w:t>
      </w:r>
    </w:p>
    <w:p w14:paraId="529A31FA" w14:textId="77777777" w:rsidR="0091686F" w:rsidRPr="00456A93" w:rsidRDefault="0091686F" w:rsidP="0091686F">
      <w:pPr>
        <w:spacing w:line="360" w:lineRule="auto"/>
        <w:jc w:val="both"/>
        <w:rPr>
          <w:rFonts w:ascii="Arial" w:hAnsi="Arial" w:cs="Arial"/>
        </w:rPr>
      </w:pPr>
      <w:r w:rsidRPr="00456A93">
        <w:rPr>
          <w:rFonts w:ascii="Arial" w:hAnsi="Arial" w:cs="Arial"/>
        </w:rPr>
        <w:t>The PK of JNJ-2901 and JNJ-4052 was investigated in female Balb-c mice dosed as solution or a suspension at 5 mg kg</w:t>
      </w:r>
      <w:r w:rsidRPr="00456A93">
        <w:rPr>
          <w:rFonts w:ascii="Arial" w:hAnsi="Arial" w:cs="Arial"/>
          <w:vertAlign w:val="superscript"/>
        </w:rPr>
        <w:t>-1</w:t>
      </w:r>
      <w:r w:rsidRPr="00456A93">
        <w:rPr>
          <w:rFonts w:ascii="Arial" w:hAnsi="Arial" w:cs="Arial"/>
        </w:rPr>
        <w:t xml:space="preserve"> PO. Three animals were used. Animals had free access to food and water through each study. Blood samples were taken at multiple timepoints up to 24 hours after PO dosing. Plasma samples were prepared by protein precipitation with acetonitrile, and the supernatant was analysed for concentrations of compound using a qualified LC-MS/MS method. Individual plasma concentration-time profiles were subjected to a non-compartmental pharmacokinetic analysis (NCA) using Phoenix.  </w:t>
      </w:r>
    </w:p>
    <w:p w14:paraId="007C1D10" w14:textId="77777777" w:rsidR="0091686F" w:rsidRPr="00456A93" w:rsidRDefault="0091686F" w:rsidP="0091686F">
      <w:pPr>
        <w:spacing w:line="360" w:lineRule="auto"/>
        <w:jc w:val="both"/>
        <w:rPr>
          <w:rFonts w:ascii="Arial" w:hAnsi="Arial" w:cs="Arial"/>
        </w:rPr>
      </w:pPr>
      <w:r w:rsidRPr="00456A93">
        <w:rPr>
          <w:rFonts w:ascii="Arial" w:hAnsi="Arial" w:cs="Arial"/>
        </w:rPr>
        <w:lastRenderedPageBreak/>
        <w:t>The PK of JNJ-2901 was investigated in female CD-1 mice dosed as solution or a suspension at 5 mg kg</w:t>
      </w:r>
      <w:r w:rsidRPr="00456A93">
        <w:rPr>
          <w:rFonts w:ascii="Arial" w:hAnsi="Arial" w:cs="Arial"/>
          <w:vertAlign w:val="superscript"/>
        </w:rPr>
        <w:t>-1</w:t>
      </w:r>
      <w:r w:rsidRPr="00456A93">
        <w:rPr>
          <w:rFonts w:ascii="Arial" w:hAnsi="Arial" w:cs="Arial"/>
        </w:rPr>
        <w:t xml:space="preserve"> PO and JNJ-4052 investigated in male CD-1 mice dosed as solution at 5 mg kg</w:t>
      </w:r>
      <w:r w:rsidRPr="00456A93">
        <w:rPr>
          <w:rFonts w:ascii="Arial" w:hAnsi="Arial" w:cs="Arial"/>
          <w:vertAlign w:val="superscript"/>
        </w:rPr>
        <w:t>-1</w:t>
      </w:r>
      <w:r w:rsidRPr="00456A93">
        <w:rPr>
          <w:rFonts w:ascii="Arial" w:hAnsi="Arial" w:cs="Arial"/>
        </w:rPr>
        <w:t xml:space="preserve"> PO. Three animals were used. Animals had free access to food and water through each study. Blood samples were taken at multiple timepoints up to 24 hours after PO dosing. Plasma samples were prepared by protein precipitation with acetonitrile, and the supernatant was analysed for concentrations of compound using a qualified LC-MS/MS method. Individual plasma concentration-time profiles were subjected to a non-compartmental pharmacokinetic analysis (NCA) using Phoenix.  </w:t>
      </w:r>
    </w:p>
    <w:p w14:paraId="3473AF1A" w14:textId="77777777" w:rsidR="0091686F" w:rsidRDefault="0091686F" w:rsidP="0091686F">
      <w:pPr>
        <w:spacing w:line="360" w:lineRule="auto"/>
        <w:jc w:val="both"/>
        <w:rPr>
          <w:rFonts w:ascii="Arial" w:hAnsi="Arial" w:cs="Arial"/>
          <w:b/>
          <w:bCs/>
        </w:rPr>
      </w:pPr>
      <w:r>
        <w:rPr>
          <w:rFonts w:ascii="Arial" w:hAnsi="Arial" w:cs="Arial"/>
          <w:b/>
          <w:bCs/>
        </w:rPr>
        <w:t xml:space="preserve">ADME </w:t>
      </w:r>
      <w:r w:rsidRPr="00F74855">
        <w:rPr>
          <w:rFonts w:ascii="Arial" w:hAnsi="Arial" w:cs="Arial"/>
          <w:b/>
          <w:bCs/>
        </w:rPr>
        <w:t>assays</w:t>
      </w:r>
    </w:p>
    <w:p w14:paraId="55114C71" w14:textId="77777777" w:rsidR="0091686F" w:rsidRDefault="0091686F" w:rsidP="0091686F">
      <w:pPr>
        <w:spacing w:line="360" w:lineRule="auto"/>
        <w:jc w:val="both"/>
        <w:rPr>
          <w:rFonts w:ascii="Arial" w:hAnsi="Arial" w:cs="Arial"/>
        </w:rPr>
      </w:pPr>
      <w:r>
        <w:rPr>
          <w:rFonts w:ascii="Arial" w:hAnsi="Arial" w:cs="Arial"/>
        </w:rPr>
        <w:t>Details of the metabolic stability in liver microsomes and hepatocytes together with CYP inhibition in human liver microsomes and plasma protein binding have been published previously</w:t>
      </w:r>
      <w:r>
        <w:rPr>
          <w:rFonts w:ascii="Arial" w:hAnsi="Arial" w:cs="Arial"/>
        </w:rPr>
        <w:fldChar w:fldCharType="begin"/>
      </w:r>
      <w:r>
        <w:rPr>
          <w:rFonts w:ascii="Arial" w:hAnsi="Arial" w:cs="Arial"/>
        </w:rPr>
        <w:instrText xml:space="preserve"> ADDIN EN.CITE &lt;EndNote&gt;&lt;Cite&gt;&lt;Author&gt;Lamprecht&lt;/Author&gt;&lt;Year&gt;2024&lt;/Year&gt;&lt;RecNum&gt;35&lt;/RecNum&gt;&lt;DisplayText&gt;&lt;style face="superscript"&gt;21&lt;/style&gt;&lt;/DisplayText&gt;&lt;record&gt;&lt;rec-number&gt;35&lt;/rec-number&gt;&lt;foreign-keys&gt;&lt;key app="EN" db-id="5wvwpwzzsdpwfuesd09pff5v9x5tdtpavefz" timestamp="1727965815"&gt;35&lt;/key&gt;&lt;/foreign-keys&gt;&lt;ref-type name="Journal Article"&gt;17&lt;/ref-type&gt;&lt;contributors&gt;&lt;authors&gt;&lt;author&gt;Lamprecht, D; Wall, Richard; et al.&lt;/author&gt;&lt;/authors&gt;&lt;/contributors&gt;&lt;titles&gt;&lt;title&gt;Targeting de novo purine biosynthesis for tuberculosis treatment&lt;/title&gt;&lt;secondary-title&gt;Pre-print (under review at Nature)&lt;/secondary-title&gt;&lt;/titles&gt;&lt;periodical&gt;&lt;full-title&gt;Pre-print (under review at Nature)&lt;/full-title&gt;&lt;/periodical&gt;&lt;dates&gt;&lt;year&gt;2024&lt;/year&gt;&lt;/dates&gt;&lt;urls&gt;&lt;/urls&gt;&lt;electronic-resource-num&gt;10.21203/rs.3.rs-4913610/v1&lt;/electronic-resource-num&gt;&lt;/record&gt;&lt;/Cite&gt;&lt;/EndNote&gt;</w:instrText>
      </w:r>
      <w:r>
        <w:rPr>
          <w:rFonts w:ascii="Arial" w:hAnsi="Arial" w:cs="Arial"/>
        </w:rPr>
        <w:fldChar w:fldCharType="separate"/>
      </w:r>
      <w:r w:rsidRPr="00BD6311">
        <w:rPr>
          <w:rFonts w:ascii="Arial" w:hAnsi="Arial" w:cs="Arial"/>
          <w:noProof/>
          <w:vertAlign w:val="superscript"/>
        </w:rPr>
        <w:t>21</w:t>
      </w:r>
      <w:r>
        <w:rPr>
          <w:rFonts w:ascii="Arial" w:hAnsi="Arial" w:cs="Arial"/>
        </w:rPr>
        <w:fldChar w:fldCharType="end"/>
      </w:r>
      <w:r>
        <w:rPr>
          <w:rFonts w:ascii="Arial" w:hAnsi="Arial" w:cs="Arial"/>
        </w:rPr>
        <w:t xml:space="preserve">. </w:t>
      </w:r>
      <w:r w:rsidRPr="000B597F">
        <w:rPr>
          <w:rFonts w:ascii="Arial" w:hAnsi="Arial" w:cs="Arial"/>
        </w:rPr>
        <w:t xml:space="preserve">The </w:t>
      </w:r>
      <w:r>
        <w:rPr>
          <w:rFonts w:ascii="Arial" w:hAnsi="Arial" w:cs="Arial"/>
        </w:rPr>
        <w:t xml:space="preserve">CYP induction </w:t>
      </w:r>
      <w:r w:rsidRPr="000B597F">
        <w:rPr>
          <w:rFonts w:ascii="Arial" w:hAnsi="Arial" w:cs="Arial"/>
        </w:rPr>
        <w:t xml:space="preserve">assay </w:t>
      </w:r>
      <w:r>
        <w:rPr>
          <w:rFonts w:ascii="Arial" w:hAnsi="Arial" w:cs="Arial"/>
        </w:rPr>
        <w:t>wa</w:t>
      </w:r>
      <w:r w:rsidRPr="000B597F">
        <w:rPr>
          <w:rFonts w:ascii="Arial" w:hAnsi="Arial" w:cs="Arial"/>
        </w:rPr>
        <w:t xml:space="preserve">s conducted by Puracyp Inc (www.puracyp.com). Studies </w:t>
      </w:r>
      <w:r>
        <w:rPr>
          <w:rFonts w:ascii="Arial" w:hAnsi="Arial" w:cs="Arial"/>
        </w:rPr>
        <w:t>we</w:t>
      </w:r>
      <w:r w:rsidRPr="000B597F">
        <w:rPr>
          <w:rFonts w:ascii="Arial" w:hAnsi="Arial" w:cs="Arial"/>
        </w:rPr>
        <w:t xml:space="preserve">re designed to evaluate the effect of compounds on the activation of human PXR (hPXR). The DPX2TM cells harbour the human PXR gene (NR1I2) and a luciferase reporter gene linked to two promoters identified in the human CYP3A4 gene, namely XREM and PXRE.  These cells </w:t>
      </w:r>
      <w:r>
        <w:rPr>
          <w:rFonts w:ascii="Arial" w:hAnsi="Arial" w:cs="Arial"/>
        </w:rPr>
        <w:t>we</w:t>
      </w:r>
      <w:r w:rsidRPr="000B597F">
        <w:rPr>
          <w:rFonts w:ascii="Arial" w:hAnsi="Arial" w:cs="Arial"/>
        </w:rPr>
        <w:t xml:space="preserve">re seeded in a 96-well plate. Twenty-four hours after seeding, the cells </w:t>
      </w:r>
      <w:r>
        <w:rPr>
          <w:rFonts w:ascii="Arial" w:hAnsi="Arial" w:cs="Arial"/>
        </w:rPr>
        <w:t>we</w:t>
      </w:r>
      <w:r w:rsidRPr="000B597F">
        <w:rPr>
          <w:rFonts w:ascii="Arial" w:hAnsi="Arial" w:cs="Arial"/>
        </w:rPr>
        <w:t xml:space="preserve">re treated with various concentrations of compounds </w:t>
      </w:r>
      <w:r>
        <w:rPr>
          <w:rFonts w:ascii="Arial" w:hAnsi="Arial" w:cs="Arial"/>
        </w:rPr>
        <w:t>then</w:t>
      </w:r>
      <w:r w:rsidRPr="000B597F">
        <w:rPr>
          <w:rFonts w:ascii="Arial" w:hAnsi="Arial" w:cs="Arial"/>
        </w:rPr>
        <w:t xml:space="preserve"> incubat</w:t>
      </w:r>
      <w:r>
        <w:rPr>
          <w:rFonts w:ascii="Arial" w:hAnsi="Arial" w:cs="Arial"/>
        </w:rPr>
        <w:t>ed</w:t>
      </w:r>
      <w:r w:rsidRPr="000B597F">
        <w:rPr>
          <w:rFonts w:ascii="Arial" w:hAnsi="Arial" w:cs="Arial"/>
        </w:rPr>
        <w:t xml:space="preserve"> for an additional 24 h</w:t>
      </w:r>
      <w:r>
        <w:rPr>
          <w:rFonts w:ascii="Arial" w:hAnsi="Arial" w:cs="Arial"/>
        </w:rPr>
        <w:t>ou</w:t>
      </w:r>
      <w:r w:rsidRPr="000B597F">
        <w:rPr>
          <w:rFonts w:ascii="Arial" w:hAnsi="Arial" w:cs="Arial"/>
        </w:rPr>
        <w:t>r</w:t>
      </w:r>
      <w:r>
        <w:rPr>
          <w:rFonts w:ascii="Arial" w:hAnsi="Arial" w:cs="Arial"/>
        </w:rPr>
        <w:t>s</w:t>
      </w:r>
      <w:r w:rsidRPr="000B597F">
        <w:rPr>
          <w:rFonts w:ascii="Arial" w:hAnsi="Arial" w:cs="Arial"/>
        </w:rPr>
        <w:t xml:space="preserve">. </w:t>
      </w:r>
      <w:r>
        <w:rPr>
          <w:rFonts w:ascii="Arial" w:hAnsi="Arial" w:cs="Arial"/>
        </w:rPr>
        <w:t>Following this</w:t>
      </w:r>
      <w:r w:rsidRPr="000B597F">
        <w:rPr>
          <w:rFonts w:ascii="Arial" w:hAnsi="Arial" w:cs="Arial"/>
        </w:rPr>
        <w:t xml:space="preserve">, the number of viable cells per well </w:t>
      </w:r>
      <w:r>
        <w:rPr>
          <w:rFonts w:ascii="Arial" w:hAnsi="Arial" w:cs="Arial"/>
        </w:rPr>
        <w:t>we</w:t>
      </w:r>
      <w:r w:rsidRPr="000B597F">
        <w:rPr>
          <w:rFonts w:ascii="Arial" w:hAnsi="Arial" w:cs="Arial"/>
        </w:rPr>
        <w:t xml:space="preserve">re determined using Promega’s CellTiter Fluor Cytotoxicity Assay. </w:t>
      </w:r>
      <w:r>
        <w:rPr>
          <w:rFonts w:ascii="Arial" w:hAnsi="Arial" w:cs="Arial"/>
        </w:rPr>
        <w:t>Briefly</w:t>
      </w:r>
      <w:r w:rsidRPr="000B597F">
        <w:rPr>
          <w:rFonts w:ascii="Arial" w:hAnsi="Arial" w:cs="Arial"/>
        </w:rPr>
        <w:t xml:space="preserve">, One-Glo </w:t>
      </w:r>
      <w:r>
        <w:rPr>
          <w:rFonts w:ascii="Arial" w:hAnsi="Arial" w:cs="Arial"/>
        </w:rPr>
        <w:t>wa</w:t>
      </w:r>
      <w:r w:rsidRPr="000B597F">
        <w:rPr>
          <w:rFonts w:ascii="Arial" w:hAnsi="Arial" w:cs="Arial"/>
        </w:rPr>
        <w:t xml:space="preserve">s added to the same wells and reporter gene activity </w:t>
      </w:r>
      <w:r>
        <w:rPr>
          <w:rFonts w:ascii="Arial" w:hAnsi="Arial" w:cs="Arial"/>
        </w:rPr>
        <w:t>wa</w:t>
      </w:r>
      <w:r w:rsidRPr="000B597F">
        <w:rPr>
          <w:rFonts w:ascii="Arial" w:hAnsi="Arial" w:cs="Arial"/>
        </w:rPr>
        <w:t xml:space="preserve">s assessed. The luminescence light intensity </w:t>
      </w:r>
      <w:r>
        <w:rPr>
          <w:rFonts w:ascii="Arial" w:hAnsi="Arial" w:cs="Arial"/>
        </w:rPr>
        <w:t>wa</w:t>
      </w:r>
      <w:r w:rsidRPr="000B597F">
        <w:rPr>
          <w:rFonts w:ascii="Arial" w:hAnsi="Arial" w:cs="Arial"/>
        </w:rPr>
        <w:t>s directly proportional to the extent of PXR activation and accompanying gene transcription in the DPX2TM cells.</w:t>
      </w:r>
    </w:p>
    <w:p w14:paraId="13AE61C9" w14:textId="77777777" w:rsidR="0091686F" w:rsidRPr="006C33EC" w:rsidRDefault="0091686F" w:rsidP="0091686F">
      <w:pPr>
        <w:spacing w:line="360" w:lineRule="auto"/>
        <w:jc w:val="both"/>
        <w:rPr>
          <w:rFonts w:ascii="Arial" w:hAnsi="Arial" w:cs="Arial"/>
        </w:rPr>
      </w:pPr>
      <w:r w:rsidRPr="006C33EC">
        <w:rPr>
          <w:rFonts w:ascii="Arial" w:hAnsi="Arial" w:cs="Arial"/>
          <w:b/>
          <w:bCs/>
          <w:lang w:val="en-US"/>
        </w:rPr>
        <w:t>HepG2 Cytotoxicity Assay</w:t>
      </w:r>
      <w:r w:rsidRPr="006C33EC">
        <w:rPr>
          <w:rFonts w:ascii="Arial" w:hAnsi="Arial" w:cs="Arial"/>
        </w:rPr>
        <w:t> </w:t>
      </w:r>
    </w:p>
    <w:p w14:paraId="23EA05D5" w14:textId="77777777" w:rsidR="0091686F" w:rsidRPr="006C33EC" w:rsidRDefault="0091686F" w:rsidP="0091686F">
      <w:pPr>
        <w:spacing w:line="360" w:lineRule="auto"/>
        <w:jc w:val="both"/>
        <w:rPr>
          <w:rFonts w:ascii="Arial" w:hAnsi="Arial" w:cs="Arial"/>
        </w:rPr>
      </w:pPr>
      <w:r w:rsidRPr="006C33EC">
        <w:rPr>
          <w:rFonts w:ascii="Arial" w:hAnsi="Arial" w:cs="Arial"/>
          <w:lang w:val="en-US"/>
        </w:rPr>
        <w:t>To assess the cytotoxicity potential of compounds, cellular ATP content was determined, as an indicator of metabolically active cells. Briefly, HepG2 cells, grown in EMEM media, were seeded at 1000 cells/well in 384-well plates (Corning Inc., New York) and allowed to adhere for 24 h</w:t>
      </w:r>
      <w:r>
        <w:rPr>
          <w:rFonts w:ascii="Arial" w:hAnsi="Arial" w:cs="Arial"/>
          <w:lang w:val="en-US"/>
        </w:rPr>
        <w:t>ours</w:t>
      </w:r>
      <w:r w:rsidRPr="006C33EC">
        <w:rPr>
          <w:rFonts w:ascii="Arial" w:hAnsi="Arial" w:cs="Arial"/>
          <w:lang w:val="en-US"/>
        </w:rPr>
        <w:t xml:space="preserve">. The HepG2 cell line (human hepatocellular carcinoma cells) was originally obtained from ATCC (HB-8065). The cells were grown, expanded and frozen (mother bank) according to the provider’s instructions. Compounds were prepared as 100× concentrated stock solutions in dimethyl sulfoxide (DMSO), and the final DMSO concentration was 1%. Cells were exposed to the compounds (concentration range: 0.2–100 </w:t>
      </w:r>
      <w:r w:rsidRPr="006C33EC">
        <w:rPr>
          <w:rFonts w:ascii="Arial" w:hAnsi="Arial" w:cs="Arial"/>
          <w:lang w:val="nl-BE"/>
        </w:rPr>
        <w:t>μ</w:t>
      </w:r>
      <w:r w:rsidRPr="006C33EC">
        <w:rPr>
          <w:rFonts w:ascii="Arial" w:hAnsi="Arial" w:cs="Arial"/>
          <w:lang w:val="en-US"/>
        </w:rPr>
        <w:t>M, dilution factor 2) for 72 h</w:t>
      </w:r>
      <w:r>
        <w:rPr>
          <w:rFonts w:ascii="Arial" w:hAnsi="Arial" w:cs="Arial"/>
          <w:lang w:val="en-US"/>
        </w:rPr>
        <w:t>ours</w:t>
      </w:r>
      <w:r w:rsidRPr="006C33EC">
        <w:rPr>
          <w:rFonts w:ascii="Arial" w:hAnsi="Arial" w:cs="Arial"/>
          <w:lang w:val="en-US"/>
        </w:rPr>
        <w:t xml:space="preserve"> before cellular ATP content was measured. Cellular ATP concentrations were assessed by using the CellTiter-Glo 2.0 Assay (Promega, Madison, WI), and the readout was performed by detecting luminescence on an EnVision 2105 Multilabel Reader (PerkinElmer, Waltham, MA). Results were imported in Genedata Screener software (Genedata, Basel, Switzerland) to create dose–response curves and calculate the IC</w:t>
      </w:r>
      <w:r w:rsidRPr="006C33EC">
        <w:rPr>
          <w:rFonts w:ascii="Arial" w:hAnsi="Arial" w:cs="Arial"/>
          <w:vertAlign w:val="subscript"/>
          <w:lang w:val="en-US"/>
        </w:rPr>
        <w:t>20</w:t>
      </w:r>
      <w:r w:rsidRPr="006C33EC">
        <w:rPr>
          <w:rFonts w:ascii="Arial" w:hAnsi="Arial" w:cs="Arial"/>
          <w:lang w:val="en-US"/>
        </w:rPr>
        <w:t xml:space="preserve"> values of each compound. Test items </w:t>
      </w:r>
      <w:r w:rsidRPr="006C33EC">
        <w:rPr>
          <w:rFonts w:ascii="Arial" w:hAnsi="Arial" w:cs="Arial"/>
          <w:lang w:val="en-US"/>
        </w:rPr>
        <w:lastRenderedPageBreak/>
        <w:t>are strongly cytotoxic with IC</w:t>
      </w:r>
      <w:r w:rsidRPr="006C33EC">
        <w:rPr>
          <w:rFonts w:ascii="Arial" w:hAnsi="Arial" w:cs="Arial"/>
          <w:vertAlign w:val="subscript"/>
          <w:lang w:val="en-US"/>
        </w:rPr>
        <w:t>20</w:t>
      </w:r>
      <w:r w:rsidRPr="006C33EC">
        <w:rPr>
          <w:rFonts w:ascii="Arial" w:hAnsi="Arial" w:cs="Arial"/>
          <w:lang w:val="en-US"/>
        </w:rPr>
        <w:t xml:space="preserve"> value &lt;10 </w:t>
      </w:r>
      <w:r w:rsidRPr="006C33EC">
        <w:rPr>
          <w:rFonts w:ascii="Arial" w:hAnsi="Arial" w:cs="Arial"/>
          <w:lang w:val="nl-BE"/>
        </w:rPr>
        <w:t>μ</w:t>
      </w:r>
      <w:r w:rsidRPr="006C33EC">
        <w:rPr>
          <w:rFonts w:ascii="Arial" w:hAnsi="Arial" w:cs="Arial"/>
          <w:lang w:val="en-US"/>
        </w:rPr>
        <w:t>M and moderate cytotoxic with IC</w:t>
      </w:r>
      <w:r w:rsidRPr="006C33EC">
        <w:rPr>
          <w:rFonts w:ascii="Arial" w:hAnsi="Arial" w:cs="Arial"/>
          <w:vertAlign w:val="subscript"/>
          <w:lang w:val="en-US"/>
        </w:rPr>
        <w:t>20</w:t>
      </w:r>
      <w:r w:rsidRPr="006C33EC">
        <w:rPr>
          <w:rFonts w:ascii="Arial" w:hAnsi="Arial" w:cs="Arial"/>
          <w:lang w:val="en-US"/>
        </w:rPr>
        <w:t xml:space="preserve"> values between 10 and 30 </w:t>
      </w:r>
      <w:r w:rsidRPr="006C33EC">
        <w:rPr>
          <w:rFonts w:ascii="Arial" w:hAnsi="Arial" w:cs="Arial"/>
          <w:lang w:val="nl-BE"/>
        </w:rPr>
        <w:t>μ</w:t>
      </w:r>
      <w:r w:rsidRPr="006C33EC">
        <w:rPr>
          <w:rFonts w:ascii="Arial" w:hAnsi="Arial" w:cs="Arial"/>
          <w:lang w:val="en-US"/>
        </w:rPr>
        <w:t>M. </w:t>
      </w:r>
      <w:r w:rsidRPr="006C33EC">
        <w:rPr>
          <w:rFonts w:ascii="Arial" w:hAnsi="Arial" w:cs="Arial"/>
        </w:rPr>
        <w:t> </w:t>
      </w:r>
    </w:p>
    <w:p w14:paraId="63EE7D7D" w14:textId="77777777" w:rsidR="0091686F" w:rsidRPr="006C33EC" w:rsidRDefault="0091686F" w:rsidP="0091686F">
      <w:pPr>
        <w:spacing w:line="360" w:lineRule="auto"/>
        <w:jc w:val="both"/>
        <w:rPr>
          <w:rFonts w:ascii="Arial" w:hAnsi="Arial" w:cs="Arial"/>
        </w:rPr>
      </w:pPr>
      <w:r w:rsidRPr="006C33EC">
        <w:rPr>
          <w:rFonts w:ascii="Arial" w:hAnsi="Arial" w:cs="Arial"/>
          <w:b/>
          <w:bCs/>
          <w:lang w:val="en-US"/>
        </w:rPr>
        <w:t>Mitochondrial toxicity assay Glu/Gal</w:t>
      </w:r>
      <w:r w:rsidRPr="006C33EC">
        <w:rPr>
          <w:rFonts w:ascii="Arial" w:hAnsi="Arial" w:cs="Arial"/>
        </w:rPr>
        <w:t> </w:t>
      </w:r>
    </w:p>
    <w:p w14:paraId="4F511EB1" w14:textId="77777777" w:rsidR="0091686F" w:rsidRPr="006C33EC" w:rsidRDefault="0091686F" w:rsidP="0091686F">
      <w:pPr>
        <w:spacing w:line="360" w:lineRule="auto"/>
        <w:jc w:val="both"/>
        <w:rPr>
          <w:rFonts w:ascii="Arial" w:hAnsi="Arial" w:cs="Arial"/>
        </w:rPr>
      </w:pPr>
      <w:r w:rsidRPr="006C33EC">
        <w:rPr>
          <w:rFonts w:ascii="Arial" w:hAnsi="Arial" w:cs="Arial"/>
          <w:lang w:val="en-US"/>
        </w:rPr>
        <w:t>To assess the mitochondrial toxicity potential of compounds, the cytotoxicity potential (determined by ATP measurement) of the compounds was compared in glucose versus galactose culture conditions. Briefly, HepG2 cells, either grown in glucose or galactose-containing DMEM media, were seeded at 3000 cells/well in 384-well plates (Corning Inc., New York) and allowed to adhere for 24 h</w:t>
      </w:r>
      <w:r>
        <w:rPr>
          <w:rFonts w:ascii="Arial" w:hAnsi="Arial" w:cs="Arial"/>
          <w:lang w:val="en-US"/>
        </w:rPr>
        <w:t>ours</w:t>
      </w:r>
      <w:r w:rsidRPr="006C33EC">
        <w:rPr>
          <w:rFonts w:ascii="Arial" w:hAnsi="Arial" w:cs="Arial"/>
          <w:lang w:val="en-US"/>
        </w:rPr>
        <w:t xml:space="preserve">. The HepG2 cell line (human hepatocellular carcinoma cells) was originally obtained from ATCC (HB-8065). The cells were grown, expanded and frozen (mother bank) according to the provider’s instructions. Compounds were prepared as 100× concentrated stock solutions in dimethyl sulfoxide (DMSO), and the final DMSO concentration was 1%. Cells were exposed to the compounds (concentration range: 0.2–100 </w:t>
      </w:r>
      <w:r w:rsidRPr="006C33EC">
        <w:rPr>
          <w:rFonts w:ascii="Arial" w:hAnsi="Arial" w:cs="Arial"/>
          <w:lang w:val="nl-BE"/>
        </w:rPr>
        <w:t>μ</w:t>
      </w:r>
      <w:r w:rsidRPr="006C33EC">
        <w:rPr>
          <w:rFonts w:ascii="Arial" w:hAnsi="Arial" w:cs="Arial"/>
          <w:lang w:val="en-US"/>
        </w:rPr>
        <w:t>M, dilution factor 2) for 24 h</w:t>
      </w:r>
      <w:r>
        <w:rPr>
          <w:rFonts w:ascii="Arial" w:hAnsi="Arial" w:cs="Arial"/>
          <w:lang w:val="en-US"/>
        </w:rPr>
        <w:t>ours</w:t>
      </w:r>
      <w:r w:rsidRPr="006C33EC">
        <w:rPr>
          <w:rFonts w:ascii="Arial" w:hAnsi="Arial" w:cs="Arial"/>
          <w:lang w:val="en-US"/>
        </w:rPr>
        <w:t xml:space="preserve"> before cellular ATP content was measured. Cellular ATP concentrations were assessed by using the CellTiter-Glo 2.0 Assay (Promega, Madison, WI), and the readout was performed by detecting luminescence on an EnVision 2105 Multilabel Reader (PerkinElmer, Waltham, MA). Results were imported in Genedata Screener software (Genedata, Basel, Switzerland) to create dose–response curves and calculate the IC50 values of each compound. Subsequently, the ratio between Glu IC50 and Gal IC50 for each compound was calculated. Compounds with a significantly higher cytotoxicity potential in galactose-grown cells (Glu/Gal ratio ≥ 5) are determined as substances that induce mitochondrial dysfunction as the primary mode of action.</w:t>
      </w:r>
      <w:r w:rsidRPr="006C33EC">
        <w:rPr>
          <w:rFonts w:ascii="Arial" w:hAnsi="Arial" w:cs="Arial"/>
        </w:rPr>
        <w:t> </w:t>
      </w:r>
    </w:p>
    <w:p w14:paraId="761356EC" w14:textId="77777777" w:rsidR="0091686F" w:rsidRPr="006C33EC" w:rsidRDefault="0091686F" w:rsidP="0091686F">
      <w:pPr>
        <w:spacing w:line="360" w:lineRule="auto"/>
        <w:jc w:val="both"/>
        <w:rPr>
          <w:rFonts w:ascii="Arial" w:hAnsi="Arial" w:cs="Arial"/>
        </w:rPr>
      </w:pPr>
      <w:r>
        <w:rPr>
          <w:rFonts w:ascii="Arial" w:hAnsi="Arial" w:cs="Arial"/>
          <w:b/>
          <w:bCs/>
          <w:lang w:val="en-US"/>
        </w:rPr>
        <w:t>Ames II Mutagenicity Assay</w:t>
      </w:r>
    </w:p>
    <w:p w14:paraId="5EFA87C8" w14:textId="77777777" w:rsidR="0091686F" w:rsidRPr="00C62D17" w:rsidRDefault="0091686F" w:rsidP="0091686F">
      <w:pPr>
        <w:spacing w:line="360" w:lineRule="auto"/>
        <w:jc w:val="both"/>
        <w:rPr>
          <w:rFonts w:ascii="Arial" w:hAnsi="Arial" w:cs="Arial"/>
          <w:lang w:val="en-US"/>
        </w:rPr>
      </w:pPr>
      <w:r w:rsidRPr="00C62D17">
        <w:rPr>
          <w:rFonts w:ascii="Arial" w:hAnsi="Arial" w:cs="Arial"/>
          <w:lang w:val="en-US"/>
        </w:rPr>
        <w:t>The AmesII Mutagenicity Assay (Xenometrix AG, Allschwil, Switzerland) is a colorimetric, high-throughput version of the original bacterial reverse mutation test. After incubation of the </w:t>
      </w:r>
      <w:r w:rsidRPr="00C62D17">
        <w:rPr>
          <w:rFonts w:ascii="Arial" w:hAnsi="Arial" w:cs="Arial"/>
          <w:i/>
          <w:iCs/>
          <w:lang w:val="en-US"/>
        </w:rPr>
        <w:t>Salmonella typhimurium</w:t>
      </w:r>
      <w:r w:rsidRPr="00C62D17">
        <w:rPr>
          <w:rFonts w:ascii="Arial" w:hAnsi="Arial" w:cs="Arial"/>
          <w:lang w:val="en-US"/>
        </w:rPr>
        <w:t> strains TA98 and TAMix (consisting of the strains TA7001-7006 in equal proportions) with a mutagenic product, the bromocresol pH indicator turns from purple to yellow as a consequence of bacterial growth. A modified version of this assay was used to assess the mutagenic potential of test compounds.</w:t>
      </w:r>
    </w:p>
    <w:p w14:paraId="4C37DACC" w14:textId="77777777" w:rsidR="0091686F" w:rsidRPr="00C62D17" w:rsidRDefault="0091686F" w:rsidP="0091686F">
      <w:pPr>
        <w:spacing w:line="360" w:lineRule="auto"/>
        <w:jc w:val="both"/>
        <w:rPr>
          <w:rFonts w:ascii="Arial" w:hAnsi="Arial" w:cs="Arial"/>
          <w:lang w:val="en-US"/>
        </w:rPr>
      </w:pPr>
      <w:r w:rsidRPr="00C62D17">
        <w:rPr>
          <w:rFonts w:ascii="Arial" w:hAnsi="Arial" w:cs="Arial"/>
          <w:lang w:val="en-US"/>
        </w:rPr>
        <w:t>Fresh 3 h cultures were made using overnight cultures, a 1/4 dilution of the overnight culture with fresh growth medium. The compound concentrations (2-fold serial dilution for 500 μg/mL final concentration) and S9-mix were prepared just before use.</w:t>
      </w:r>
    </w:p>
    <w:p w14:paraId="15D1A778" w14:textId="77777777" w:rsidR="0091686F" w:rsidRPr="00C62D17" w:rsidRDefault="0091686F" w:rsidP="0091686F">
      <w:pPr>
        <w:spacing w:line="360" w:lineRule="auto"/>
        <w:jc w:val="both"/>
        <w:rPr>
          <w:rFonts w:ascii="Arial" w:hAnsi="Arial" w:cs="Arial"/>
          <w:lang w:val="en-US"/>
        </w:rPr>
      </w:pPr>
      <w:r w:rsidRPr="00C62D17">
        <w:rPr>
          <w:rFonts w:ascii="Arial" w:hAnsi="Arial" w:cs="Arial"/>
          <w:lang w:val="en-US"/>
        </w:rPr>
        <w:t>Approximately 10</w:t>
      </w:r>
      <w:r w:rsidRPr="00C62D17">
        <w:rPr>
          <w:rFonts w:ascii="Arial" w:hAnsi="Arial" w:cs="Arial"/>
          <w:vertAlign w:val="superscript"/>
          <w:lang w:val="en-US"/>
        </w:rPr>
        <w:t>7</w:t>
      </w:r>
      <w:r w:rsidRPr="00C62D17">
        <w:rPr>
          <w:rFonts w:ascii="Arial" w:hAnsi="Arial" w:cs="Arial"/>
          <w:lang w:val="en-US"/>
        </w:rPr>
        <w:t xml:space="preserve"> histidine-negative bacteria were exposed to 8 concentrations of the test compound, as well as a positive and solvent control, in the presence and absence of S9, for 90 min at 37 °C in a medium containing sufficient histidine to support approximately two cell </w:t>
      </w:r>
      <w:r w:rsidRPr="00C62D17">
        <w:rPr>
          <w:rFonts w:ascii="Arial" w:hAnsi="Arial" w:cs="Arial"/>
          <w:lang w:val="en-US"/>
        </w:rPr>
        <w:lastRenderedPageBreak/>
        <w:t>divisions (48-deepwell block). After incubation, 3.5 mL of pH Indicator Medium (lacking histidine) was added to each well, and subsequently, 40 μL volumes were transferred to a 384-well plate in 12-fold according to a fixed pattern. The 384-well plates were incubated in the dark at 37 °C for 48 h.</w:t>
      </w:r>
    </w:p>
    <w:p w14:paraId="27125487" w14:textId="77777777" w:rsidR="0091686F" w:rsidRPr="00C62D17" w:rsidRDefault="0091686F" w:rsidP="0091686F">
      <w:pPr>
        <w:spacing w:line="360" w:lineRule="auto"/>
        <w:jc w:val="both"/>
        <w:rPr>
          <w:rFonts w:ascii="Arial" w:hAnsi="Arial" w:cs="Arial"/>
          <w:lang w:val="en-US"/>
        </w:rPr>
      </w:pPr>
      <w:r w:rsidRPr="00C62D17">
        <w:rPr>
          <w:rFonts w:ascii="Arial" w:hAnsi="Arial" w:cs="Arial"/>
          <w:lang w:val="en-US"/>
        </w:rPr>
        <w:t>After incubation, bacteria that had undergone reversion to histidine-positive had grown into colonies. Metabolism by the bacterial colony reduces the pH of the medium, changing the color from purple to yellow in that well. A total of 96 wells were counted per concentration and condition. The number of yellow wells containing revertant colonies were counted for each concentration and compared to the concurrent solvent control. An increase in the number of revertant colonies upon exposure to the test compound relative to the concurrent controls indicates that the test compound is mutagenic in the assay.</w:t>
      </w:r>
    </w:p>
    <w:p w14:paraId="05417FC9" w14:textId="77777777" w:rsidR="0091686F" w:rsidRPr="004B743C" w:rsidRDefault="0091686F" w:rsidP="0091686F">
      <w:pPr>
        <w:pStyle w:val="Heading1"/>
        <w:spacing w:line="360" w:lineRule="auto"/>
        <w:jc w:val="both"/>
      </w:pPr>
      <w:r>
        <w:t>Enumeration of CFU from lung</w:t>
      </w:r>
    </w:p>
    <w:p w14:paraId="3CCFF319" w14:textId="77777777" w:rsidR="0091686F" w:rsidRDefault="0091686F" w:rsidP="0091686F">
      <w:pPr>
        <w:spacing w:line="360" w:lineRule="auto"/>
        <w:jc w:val="both"/>
        <w:rPr>
          <w:rFonts w:ascii="Arial" w:hAnsi="Arial" w:cs="Arial"/>
        </w:rPr>
      </w:pPr>
      <w:r w:rsidRPr="004B743C">
        <w:rPr>
          <w:rFonts w:ascii="Arial" w:hAnsi="Arial" w:cs="Arial"/>
        </w:rPr>
        <w:t>In Studies A, B and F samples in Gentle Macs tubes were homogeni</w:t>
      </w:r>
      <w:r>
        <w:rPr>
          <w:rFonts w:ascii="Arial" w:hAnsi="Arial" w:cs="Arial"/>
        </w:rPr>
        <w:t>s</w:t>
      </w:r>
      <w:r w:rsidRPr="004B743C">
        <w:rPr>
          <w:rFonts w:ascii="Arial" w:hAnsi="Arial" w:cs="Arial"/>
        </w:rPr>
        <w:t>ed in phosphate-buffered saline (PBS) + 10% bovine serum albumin (BSA). Homogenates were plated pure 500 μ</w:t>
      </w:r>
      <w:r>
        <w:rPr>
          <w:rFonts w:ascii="Arial" w:hAnsi="Arial" w:cs="Arial"/>
        </w:rPr>
        <w:t>L</w:t>
      </w:r>
      <w:r w:rsidRPr="004B743C">
        <w:rPr>
          <w:rFonts w:ascii="Arial" w:hAnsi="Arial" w:cs="Arial"/>
        </w:rPr>
        <w:t xml:space="preserve"> and 50 μ</w:t>
      </w:r>
      <w:r>
        <w:rPr>
          <w:rFonts w:ascii="Arial" w:hAnsi="Arial" w:cs="Arial"/>
        </w:rPr>
        <w:t>L</w:t>
      </w:r>
      <w:r w:rsidRPr="004B743C">
        <w:rPr>
          <w:rFonts w:ascii="Arial" w:hAnsi="Arial" w:cs="Arial"/>
        </w:rPr>
        <w:t xml:space="preserve"> or serial diluted (50</w:t>
      </w:r>
      <w:r>
        <w:rPr>
          <w:rFonts w:ascii="Arial" w:hAnsi="Arial" w:cs="Arial"/>
        </w:rPr>
        <w:t xml:space="preserve"> </w:t>
      </w:r>
      <w:r w:rsidRPr="004B743C">
        <w:rPr>
          <w:rFonts w:ascii="Arial" w:hAnsi="Arial" w:cs="Arial"/>
        </w:rPr>
        <w:t>μ</w:t>
      </w:r>
      <w:r>
        <w:rPr>
          <w:rFonts w:ascii="Arial" w:hAnsi="Arial" w:cs="Arial"/>
        </w:rPr>
        <w:t>L</w:t>
      </w:r>
      <w:r w:rsidRPr="004B743C">
        <w:rPr>
          <w:rFonts w:ascii="Arial" w:hAnsi="Arial" w:cs="Arial"/>
        </w:rPr>
        <w:t xml:space="preserve">) by 1/5 or 1/10 in PBS-BSA 10%. Dilutions were plated on 7H11-OADC plates containing 0.4% activated charcoal and incubated at 37°C for CFU quantification using an automatic SCAN-1200 counter (Interscience). For relapse assessments, the total lung homogenate was plated undiluted. Reads were performed after 4 and 6 weeks of incubation at 37°C. For each sample, remaining volumes were stored in case additional plating should be required. In </w:t>
      </w:r>
      <w:r>
        <w:rPr>
          <w:rFonts w:ascii="Arial" w:hAnsi="Arial" w:cs="Arial"/>
        </w:rPr>
        <w:t>S</w:t>
      </w:r>
      <w:r w:rsidRPr="004B743C">
        <w:rPr>
          <w:rFonts w:ascii="Arial" w:hAnsi="Arial" w:cs="Arial"/>
        </w:rPr>
        <w:t>tudy F, the reads of the CFU were done manually.</w:t>
      </w:r>
    </w:p>
    <w:p w14:paraId="10ADDEF3" w14:textId="77777777" w:rsidR="0091686F" w:rsidRPr="000B11D4" w:rsidRDefault="0091686F" w:rsidP="0091686F">
      <w:pPr>
        <w:spacing w:line="360" w:lineRule="auto"/>
        <w:jc w:val="both"/>
        <w:rPr>
          <w:rFonts w:ascii="Arial" w:hAnsi="Arial" w:cs="Arial"/>
        </w:rPr>
      </w:pPr>
      <w:r w:rsidRPr="000B11D4">
        <w:rPr>
          <w:rFonts w:ascii="Arial" w:hAnsi="Arial" w:cs="Arial"/>
        </w:rPr>
        <w:t xml:space="preserve">In Study C, samples (whole lungs) were homogenised </w:t>
      </w:r>
      <w:r w:rsidRPr="000B11D4">
        <w:rPr>
          <w:rFonts w:ascii="Arial" w:hAnsi="Arial" w:cs="Arial"/>
          <w:lang w:val="en-US"/>
        </w:rPr>
        <w:t>by using a GentleMacs Octo Dissociator (Miltenyi) under a volume of 2 m</w:t>
      </w:r>
      <w:r>
        <w:rPr>
          <w:rFonts w:ascii="Arial" w:hAnsi="Arial" w:cs="Arial"/>
          <w:lang w:val="en-US"/>
        </w:rPr>
        <w:t>L</w:t>
      </w:r>
      <w:r w:rsidRPr="000B11D4">
        <w:rPr>
          <w:rFonts w:ascii="Arial" w:hAnsi="Arial" w:cs="Arial"/>
        </w:rPr>
        <w:t xml:space="preserve"> physiological serum. The suspension was entirely plated on 7H11-OADC plates containing 0.4% activated charcoal. Reads were performed after 4 and 6 weeks of incubation at 37°C. </w:t>
      </w:r>
    </w:p>
    <w:p w14:paraId="794ED416" w14:textId="77777777" w:rsidR="0091686F" w:rsidRPr="004B743C" w:rsidRDefault="0091686F" w:rsidP="0091686F">
      <w:pPr>
        <w:spacing w:line="360" w:lineRule="auto"/>
        <w:jc w:val="both"/>
        <w:rPr>
          <w:rFonts w:ascii="Arial" w:hAnsi="Arial" w:cs="Arial"/>
        </w:rPr>
      </w:pPr>
      <w:r w:rsidRPr="004B743C">
        <w:rPr>
          <w:rFonts w:ascii="Arial" w:hAnsi="Arial" w:cs="Arial"/>
        </w:rPr>
        <w:t>In Study D, samples (whole lungs) were homogeni</w:t>
      </w:r>
      <w:r>
        <w:rPr>
          <w:rFonts w:ascii="Arial" w:hAnsi="Arial" w:cs="Arial"/>
        </w:rPr>
        <w:t>s</w:t>
      </w:r>
      <w:r w:rsidRPr="004B743C">
        <w:rPr>
          <w:rFonts w:ascii="Arial" w:hAnsi="Arial" w:cs="Arial"/>
        </w:rPr>
        <w:t>ed in 2.5 mL PBS, diluted in PBS in 1:10 steps and plated on 7H11-OADC plates containing 0.4% activated charcoal. After 8 weeks of treatment, 0.5 mL of each undiluted homogenate was plated in duplicate to capture low CFU counts. For all subsequent time points, at least 80% of the total homogenate volume was plated undiluted on 7H11-OADC agar plates with activated charcoal. Reads were performed after 4 and 6 weeks of incubation.</w:t>
      </w:r>
    </w:p>
    <w:p w14:paraId="602B3897" w14:textId="77777777" w:rsidR="0091686F" w:rsidRPr="004B743C" w:rsidRDefault="0091686F" w:rsidP="0091686F">
      <w:pPr>
        <w:spacing w:line="360" w:lineRule="auto"/>
        <w:jc w:val="both"/>
        <w:rPr>
          <w:rFonts w:ascii="Arial" w:hAnsi="Arial" w:cs="Arial"/>
        </w:rPr>
      </w:pPr>
      <w:r w:rsidRPr="004B743C">
        <w:rPr>
          <w:rFonts w:ascii="Arial" w:hAnsi="Arial" w:cs="Arial"/>
        </w:rPr>
        <w:t>In Study E, samples (whole lungs) were homogeni</w:t>
      </w:r>
      <w:r>
        <w:rPr>
          <w:rFonts w:ascii="Arial" w:hAnsi="Arial" w:cs="Arial"/>
        </w:rPr>
        <w:t>s</w:t>
      </w:r>
      <w:r w:rsidRPr="004B743C">
        <w:rPr>
          <w:rFonts w:ascii="Arial" w:hAnsi="Arial" w:cs="Arial"/>
        </w:rPr>
        <w:t>ed in 4.0 mL PBS-BSA; half of each sample was stored</w:t>
      </w:r>
      <w:r>
        <w:rPr>
          <w:rFonts w:ascii="Arial" w:hAnsi="Arial" w:cs="Arial"/>
        </w:rPr>
        <w:t xml:space="preserve"> in 0.05% tween-80 and 20% glycerol (f.c.)</w:t>
      </w:r>
      <w:r w:rsidRPr="004B743C">
        <w:rPr>
          <w:rFonts w:ascii="Arial" w:hAnsi="Arial" w:cs="Arial"/>
        </w:rPr>
        <w:t xml:space="preserve">. Homogenates were diluted in PBS-BSA in 1:5 steps and plated on 7H11-OADC plates containing 0.4% activated charcoal. 0.5 mL of </w:t>
      </w:r>
      <w:r w:rsidRPr="004B743C">
        <w:rPr>
          <w:rFonts w:ascii="Arial" w:hAnsi="Arial" w:cs="Arial"/>
        </w:rPr>
        <w:lastRenderedPageBreak/>
        <w:t>each homogenate was also plated in duplicate to capture low CFU counts. For relapse assessments, tissues were homogeni</w:t>
      </w:r>
      <w:r>
        <w:rPr>
          <w:rFonts w:ascii="Arial" w:hAnsi="Arial" w:cs="Arial"/>
        </w:rPr>
        <w:t>s</w:t>
      </w:r>
      <w:r w:rsidRPr="004B743C">
        <w:rPr>
          <w:rFonts w:ascii="Arial" w:hAnsi="Arial" w:cs="Arial"/>
        </w:rPr>
        <w:t xml:space="preserve">ed in 1X PBS and one-half of the total volume was plated in its entirety on 7H11-OADC agar plates without activated charcoal. Remaining volumes were stored </w:t>
      </w:r>
      <w:r>
        <w:rPr>
          <w:rFonts w:ascii="Arial" w:hAnsi="Arial" w:cs="Arial"/>
        </w:rPr>
        <w:t xml:space="preserve">as above, </w:t>
      </w:r>
      <w:r w:rsidRPr="004B743C">
        <w:rPr>
          <w:rFonts w:ascii="Arial" w:hAnsi="Arial" w:cs="Arial"/>
        </w:rPr>
        <w:t xml:space="preserve">in case additional plating was required. </w:t>
      </w:r>
      <w:r>
        <w:rPr>
          <w:rFonts w:ascii="Arial" w:hAnsi="Arial" w:cs="Arial"/>
        </w:rPr>
        <w:t>CFU</w:t>
      </w:r>
      <w:r w:rsidRPr="004B743C">
        <w:rPr>
          <w:rFonts w:ascii="Arial" w:hAnsi="Arial" w:cs="Arial"/>
        </w:rPr>
        <w:t xml:space="preserve">s were </w:t>
      </w:r>
      <w:r>
        <w:rPr>
          <w:rFonts w:ascii="Arial" w:hAnsi="Arial" w:cs="Arial"/>
        </w:rPr>
        <w:t>enumerated</w:t>
      </w:r>
      <w:r w:rsidRPr="004B743C">
        <w:rPr>
          <w:rFonts w:ascii="Arial" w:hAnsi="Arial" w:cs="Arial"/>
        </w:rPr>
        <w:t xml:space="preserve"> after </w:t>
      </w:r>
      <w:r>
        <w:rPr>
          <w:rFonts w:ascii="Arial" w:hAnsi="Arial" w:cs="Arial"/>
        </w:rPr>
        <w:t>≥</w:t>
      </w:r>
      <w:r w:rsidRPr="004B743C">
        <w:rPr>
          <w:rFonts w:ascii="Arial" w:hAnsi="Arial" w:cs="Arial"/>
        </w:rPr>
        <w:t>6 weeks of incubation</w:t>
      </w:r>
      <w:r>
        <w:rPr>
          <w:rFonts w:ascii="Arial" w:hAnsi="Arial" w:cs="Arial"/>
        </w:rPr>
        <w:t xml:space="preserve"> in sealed ziptop bags at 37</w:t>
      </w:r>
      <w:r w:rsidRPr="00B0165A">
        <w:rPr>
          <w:rFonts w:ascii="Arial" w:hAnsi="Arial" w:cs="Arial"/>
          <w:vertAlign w:val="superscript"/>
        </w:rPr>
        <w:t>o</w:t>
      </w:r>
      <w:r>
        <w:rPr>
          <w:rFonts w:ascii="Arial" w:hAnsi="Arial" w:cs="Arial"/>
        </w:rPr>
        <w:t>C</w:t>
      </w:r>
      <w:r w:rsidRPr="004B743C">
        <w:rPr>
          <w:rFonts w:ascii="Arial" w:hAnsi="Arial" w:cs="Arial"/>
        </w:rPr>
        <w:t>.</w:t>
      </w:r>
    </w:p>
    <w:p w14:paraId="7526E892" w14:textId="77777777" w:rsidR="0091686F" w:rsidRPr="004B743C" w:rsidRDefault="0091686F" w:rsidP="0091686F">
      <w:pPr>
        <w:spacing w:line="360" w:lineRule="auto"/>
        <w:jc w:val="both"/>
        <w:rPr>
          <w:rFonts w:ascii="Arial" w:hAnsi="Arial" w:cs="Arial"/>
          <w:b/>
          <w:bCs/>
        </w:rPr>
      </w:pPr>
      <w:r w:rsidRPr="004B743C">
        <w:rPr>
          <w:rFonts w:ascii="Arial" w:hAnsi="Arial" w:cs="Arial"/>
          <w:b/>
          <w:bCs/>
        </w:rPr>
        <w:t>Clinical isolates collection</w:t>
      </w:r>
    </w:p>
    <w:p w14:paraId="70B52292" w14:textId="77777777" w:rsidR="0091686F" w:rsidRPr="004B743C" w:rsidRDefault="0091686F" w:rsidP="0091686F">
      <w:pPr>
        <w:spacing w:line="360" w:lineRule="auto"/>
        <w:jc w:val="both"/>
        <w:rPr>
          <w:rFonts w:ascii="Arial" w:hAnsi="Arial" w:cs="Arial"/>
        </w:rPr>
      </w:pPr>
      <w:r w:rsidRPr="004B743C">
        <w:rPr>
          <w:rFonts w:ascii="Arial" w:hAnsi="Arial" w:cs="Arial"/>
        </w:rPr>
        <w:t xml:space="preserve">The original Karonga study and follow-up work was approved by the London School of Hygiene &amp; Tropical </w:t>
      </w:r>
      <w:r w:rsidRPr="5DEA5227">
        <w:rPr>
          <w:rFonts w:ascii="Arial" w:hAnsi="Arial" w:cs="Arial"/>
        </w:rPr>
        <w:t xml:space="preserve">Medicine </w:t>
      </w:r>
      <w:r w:rsidRPr="004B743C">
        <w:rPr>
          <w:rFonts w:ascii="Arial" w:hAnsi="Arial" w:cs="Arial"/>
        </w:rPr>
        <w:t xml:space="preserve">ethics committee (#5067) and the Health Sciences Research Committee in Malawi (#424). Consent was obtained for three sputum samples collected from each patient. The Gagneux strains </w:t>
      </w:r>
      <w:r w:rsidRPr="00380B86">
        <w:rPr>
          <w:rFonts w:ascii="Arial" w:hAnsi="Arial" w:cs="Arial"/>
        </w:rPr>
        <w:t xml:space="preserve">(N1283, N0072 &amp; N0054) </w:t>
      </w:r>
      <w:r w:rsidRPr="004B743C">
        <w:rPr>
          <w:rFonts w:ascii="Arial" w:hAnsi="Arial" w:cs="Arial"/>
        </w:rPr>
        <w:t xml:space="preserve">were purchased from </w:t>
      </w:r>
      <w:r>
        <w:rPr>
          <w:rFonts w:ascii="Arial" w:hAnsi="Arial" w:cs="Arial"/>
        </w:rPr>
        <w:t xml:space="preserve">the </w:t>
      </w:r>
      <w:r w:rsidRPr="004373C6">
        <w:rPr>
          <w:rFonts w:ascii="Arial" w:hAnsi="Arial" w:cs="Arial"/>
        </w:rPr>
        <w:t xml:space="preserve">Belgian Coordinated Collections of </w:t>
      </w:r>
      <w:r w:rsidRPr="002924EA">
        <w:rPr>
          <w:rFonts w:ascii="Arial" w:hAnsi="Arial" w:cs="Arial"/>
        </w:rPr>
        <w:t>Microorganisms</w:t>
      </w:r>
      <w:r>
        <w:rPr>
          <w:rFonts w:ascii="Arial" w:hAnsi="Arial" w:cs="Arial"/>
        </w:rPr>
        <w:t>/Institute of Tropical Medicine</w:t>
      </w:r>
      <w:r w:rsidRPr="002924EA">
        <w:rPr>
          <w:rFonts w:ascii="Arial" w:hAnsi="Arial" w:cs="Arial"/>
        </w:rPr>
        <w:t xml:space="preserve"> (BCCM/ITM).</w:t>
      </w:r>
    </w:p>
    <w:p w14:paraId="6FFC2CDA" w14:textId="77777777" w:rsidR="0091686F" w:rsidRPr="004B743C" w:rsidRDefault="0091686F" w:rsidP="0091686F">
      <w:pPr>
        <w:spacing w:line="360" w:lineRule="auto"/>
        <w:jc w:val="both"/>
        <w:rPr>
          <w:rFonts w:ascii="Arial" w:hAnsi="Arial" w:cs="Arial"/>
          <w:b/>
          <w:bCs/>
        </w:rPr>
      </w:pPr>
      <w:r w:rsidRPr="004B743C">
        <w:rPr>
          <w:rFonts w:ascii="Arial" w:hAnsi="Arial" w:cs="Arial"/>
          <w:b/>
          <w:bCs/>
        </w:rPr>
        <w:t>Determination of minimum inhibitory/bactericidal concentrations (MIC/MBC)</w:t>
      </w:r>
    </w:p>
    <w:p w14:paraId="3851A41A" w14:textId="77777777" w:rsidR="0091686F" w:rsidRPr="004B743C" w:rsidRDefault="0091686F" w:rsidP="0091686F">
      <w:pPr>
        <w:spacing w:line="360" w:lineRule="auto"/>
        <w:jc w:val="both"/>
        <w:rPr>
          <w:rFonts w:ascii="Arial" w:hAnsi="Arial" w:cs="Arial"/>
        </w:rPr>
      </w:pPr>
      <w:r w:rsidRPr="29A93490">
        <w:rPr>
          <w:rFonts w:ascii="Arial" w:hAnsi="Arial" w:cs="Arial"/>
        </w:rPr>
        <w:t xml:space="preserve">Compounds were tested in 2-fold dilutions against </w:t>
      </w:r>
      <w:r w:rsidRPr="29A93490">
        <w:rPr>
          <w:rFonts w:ascii="Arial" w:hAnsi="Arial" w:cs="Arial"/>
          <w:i/>
          <w:iCs/>
        </w:rPr>
        <w:t>M. tuberculosis</w:t>
      </w:r>
      <w:r w:rsidRPr="29A93490">
        <w:rPr>
          <w:rFonts w:ascii="Arial" w:hAnsi="Arial" w:cs="Arial"/>
        </w:rPr>
        <w:t xml:space="preserve"> </w:t>
      </w:r>
      <w:r>
        <w:rPr>
          <w:rFonts w:ascii="Arial" w:hAnsi="Arial" w:cs="Arial"/>
        </w:rPr>
        <w:t>strains</w:t>
      </w:r>
      <w:r w:rsidRPr="29A93490">
        <w:rPr>
          <w:rFonts w:ascii="Arial" w:hAnsi="Arial" w:cs="Arial"/>
        </w:rPr>
        <w:t xml:space="preserve"> (5 x 10</w:t>
      </w:r>
      <w:r w:rsidRPr="29A93490">
        <w:rPr>
          <w:rFonts w:ascii="Arial" w:hAnsi="Arial" w:cs="Arial"/>
          <w:vertAlign w:val="superscript"/>
        </w:rPr>
        <w:t>5</w:t>
      </w:r>
      <w:r w:rsidRPr="29A93490">
        <w:rPr>
          <w:rFonts w:ascii="Arial" w:hAnsi="Arial" w:cs="Arial"/>
        </w:rPr>
        <w:t xml:space="preserve"> CFU mL</w:t>
      </w:r>
      <w:r w:rsidRPr="29A93490">
        <w:rPr>
          <w:rFonts w:ascii="Arial" w:hAnsi="Arial" w:cs="Arial"/>
          <w:vertAlign w:val="superscript"/>
        </w:rPr>
        <w:t>-1</w:t>
      </w:r>
      <w:r w:rsidRPr="29A93490">
        <w:rPr>
          <w:rFonts w:ascii="Arial" w:hAnsi="Arial" w:cs="Arial"/>
        </w:rPr>
        <w:t>) diluted in Middlebrook 7H9 medium supplemented with 10% OADC, 0.2% glycerol and 0.05% Tween 80. Plates for MIC determination were incubated for 7 days at 37°C. Absorbance (OD</w:t>
      </w:r>
      <w:r w:rsidRPr="29A93490">
        <w:rPr>
          <w:rFonts w:ascii="Arial" w:hAnsi="Arial" w:cs="Arial"/>
          <w:vertAlign w:val="subscript"/>
        </w:rPr>
        <w:t>600</w:t>
      </w:r>
      <w:r w:rsidRPr="29A93490">
        <w:rPr>
          <w:rFonts w:ascii="Arial" w:hAnsi="Arial" w:cs="Arial"/>
        </w:rPr>
        <w:t>) was measured using an FLUOstar Omega3 (BMG labtech). MIC</w:t>
      </w:r>
      <w:r w:rsidRPr="29A93490">
        <w:rPr>
          <w:rFonts w:ascii="Arial" w:hAnsi="Arial" w:cs="Arial"/>
          <w:vertAlign w:val="subscript"/>
        </w:rPr>
        <w:t>90</w:t>
      </w:r>
      <w:r w:rsidRPr="29A93490">
        <w:rPr>
          <w:rFonts w:ascii="Arial" w:hAnsi="Arial" w:cs="Arial"/>
        </w:rPr>
        <w:t xml:space="preserve"> values were determined as the drug concentration </w:t>
      </w:r>
      <w:r>
        <w:rPr>
          <w:rFonts w:ascii="Arial" w:hAnsi="Arial" w:cs="Arial"/>
        </w:rPr>
        <w:t>achieving 90% inhibition when compared with the antibiotic-free</w:t>
      </w:r>
      <w:r w:rsidRPr="29A93490">
        <w:rPr>
          <w:rFonts w:ascii="Arial" w:hAnsi="Arial" w:cs="Arial"/>
        </w:rPr>
        <w:t xml:space="preserve"> control wells. </w:t>
      </w:r>
      <w:r>
        <w:rPr>
          <w:rFonts w:ascii="Arial" w:hAnsi="Arial" w:cs="Arial"/>
        </w:rPr>
        <w:t>MBCs were determined by preparing a 4</w:t>
      </w:r>
      <w:r w:rsidRPr="29A93490">
        <w:rPr>
          <w:rFonts w:ascii="Arial" w:hAnsi="Arial" w:cs="Arial"/>
        </w:rPr>
        <w:t xml:space="preserve">-fold serial dilution of each drug </w:t>
      </w:r>
      <w:r>
        <w:rPr>
          <w:rFonts w:ascii="Arial" w:hAnsi="Arial" w:cs="Arial"/>
        </w:rPr>
        <w:t xml:space="preserve">at x100 </w:t>
      </w:r>
      <w:r w:rsidRPr="29A93490">
        <w:rPr>
          <w:rFonts w:ascii="Arial" w:hAnsi="Arial" w:cs="Arial"/>
        </w:rPr>
        <w:t xml:space="preserve">concentration in </w:t>
      </w:r>
      <w:r>
        <w:rPr>
          <w:rFonts w:ascii="Arial" w:hAnsi="Arial" w:cs="Arial"/>
        </w:rPr>
        <w:t>DMSO</w:t>
      </w:r>
      <w:r w:rsidRPr="29A93490">
        <w:rPr>
          <w:rFonts w:ascii="Arial" w:hAnsi="Arial" w:cs="Arial"/>
        </w:rPr>
        <w:t xml:space="preserve">, </w:t>
      </w:r>
      <w:r>
        <w:rPr>
          <w:rFonts w:ascii="Arial" w:hAnsi="Arial" w:cs="Arial"/>
        </w:rPr>
        <w:t>before dilution with the bacterial inoculum. Plates were incubated for 18 days before serial dilution was prepared and</w:t>
      </w:r>
      <w:r w:rsidRPr="29A93490">
        <w:rPr>
          <w:rFonts w:ascii="Arial" w:hAnsi="Arial" w:cs="Arial"/>
        </w:rPr>
        <w:t xml:space="preserve"> 5</w:t>
      </w:r>
      <w:r>
        <w:rPr>
          <w:rFonts w:ascii="Arial" w:hAnsi="Arial" w:cs="Arial"/>
        </w:rPr>
        <w:t xml:space="preserve"> µ</w:t>
      </w:r>
      <w:r w:rsidRPr="29A93490">
        <w:rPr>
          <w:rFonts w:ascii="Arial" w:hAnsi="Arial" w:cs="Arial"/>
        </w:rPr>
        <w:t>L aliquot</w:t>
      </w:r>
      <w:r>
        <w:rPr>
          <w:rFonts w:ascii="Arial" w:hAnsi="Arial" w:cs="Arial"/>
        </w:rPr>
        <w:t>s</w:t>
      </w:r>
      <w:r w:rsidRPr="29A93490">
        <w:rPr>
          <w:rFonts w:ascii="Arial" w:hAnsi="Arial" w:cs="Arial"/>
        </w:rPr>
        <w:t xml:space="preserve"> w</w:t>
      </w:r>
      <w:r>
        <w:rPr>
          <w:rFonts w:ascii="Arial" w:hAnsi="Arial" w:cs="Arial"/>
        </w:rPr>
        <w:t>ere</w:t>
      </w:r>
      <w:r w:rsidRPr="29A93490">
        <w:rPr>
          <w:rFonts w:ascii="Arial" w:hAnsi="Arial" w:cs="Arial"/>
        </w:rPr>
        <w:t xml:space="preserve"> plated on</w:t>
      </w:r>
      <w:r>
        <w:rPr>
          <w:rFonts w:ascii="Arial" w:hAnsi="Arial" w:cs="Arial"/>
        </w:rPr>
        <w:t>to</w:t>
      </w:r>
      <w:r w:rsidRPr="29A93490">
        <w:rPr>
          <w:rFonts w:ascii="Arial" w:hAnsi="Arial" w:cs="Arial"/>
        </w:rPr>
        <w:t xml:space="preserve"> 7H10 plates (supplemented with 0.4% charcoal, 0.5% glycerol and 10% OADC) and incubated for 21</w:t>
      </w:r>
      <w:r>
        <w:rPr>
          <w:rFonts w:ascii="Arial" w:hAnsi="Arial" w:cs="Arial"/>
        </w:rPr>
        <w:t xml:space="preserve"> ± 5</w:t>
      </w:r>
      <w:r w:rsidRPr="29A93490">
        <w:rPr>
          <w:rFonts w:ascii="Arial" w:hAnsi="Arial" w:cs="Arial"/>
        </w:rPr>
        <w:t xml:space="preserve"> days at 37</w:t>
      </w:r>
      <w:r w:rsidRPr="29A93490">
        <w:rPr>
          <w:rFonts w:ascii="Arial" w:hAnsi="Arial" w:cs="Arial"/>
          <w:vertAlign w:val="superscript"/>
        </w:rPr>
        <w:t>o</w:t>
      </w:r>
      <w:r w:rsidRPr="29A93490">
        <w:rPr>
          <w:rFonts w:ascii="Arial" w:hAnsi="Arial" w:cs="Arial"/>
        </w:rPr>
        <w:t>C before counting CFU. The MBC</w:t>
      </w:r>
      <w:r w:rsidRPr="29A93490">
        <w:rPr>
          <w:rFonts w:ascii="Arial" w:hAnsi="Arial" w:cs="Arial"/>
          <w:vertAlign w:val="subscript"/>
        </w:rPr>
        <w:t>99.9</w:t>
      </w:r>
      <w:r w:rsidRPr="29A93490">
        <w:rPr>
          <w:rFonts w:ascii="Arial" w:hAnsi="Arial" w:cs="Arial"/>
        </w:rPr>
        <w:t xml:space="preserve"> was defined as the concentration giving at least 3-log</w:t>
      </w:r>
      <w:r w:rsidRPr="29A93490">
        <w:rPr>
          <w:rFonts w:ascii="Arial" w:hAnsi="Arial" w:cs="Arial"/>
          <w:vertAlign w:val="subscript"/>
        </w:rPr>
        <w:t>10</w:t>
      </w:r>
      <w:r w:rsidRPr="29A93490">
        <w:rPr>
          <w:rFonts w:ascii="Arial" w:hAnsi="Arial" w:cs="Arial"/>
        </w:rPr>
        <w:t xml:space="preserve"> reduction compared to the initial CFU.</w:t>
      </w:r>
    </w:p>
    <w:p w14:paraId="2F114B7E" w14:textId="77777777" w:rsidR="0091686F" w:rsidRPr="00903547" w:rsidRDefault="0091686F" w:rsidP="0091686F">
      <w:pPr>
        <w:rPr>
          <w:rFonts w:ascii="Arial" w:eastAsia="Arial" w:hAnsi="Arial" w:cs="Arial"/>
          <w:b/>
        </w:rPr>
      </w:pPr>
      <w:r w:rsidRPr="00903547">
        <w:rPr>
          <w:rFonts w:ascii="Arial" w:eastAsia="Arial" w:hAnsi="Arial" w:cs="Arial"/>
          <w:b/>
        </w:rPr>
        <w:t>Mutant isolation and Whole genome sequencing (WGS)</w:t>
      </w:r>
    </w:p>
    <w:p w14:paraId="4589F6A4" w14:textId="77777777" w:rsidR="0091686F" w:rsidRPr="00C17B11" w:rsidRDefault="0091686F" w:rsidP="0091686F">
      <w:pPr>
        <w:spacing w:line="360" w:lineRule="auto"/>
        <w:jc w:val="both"/>
        <w:rPr>
          <w:rFonts w:ascii="Arial" w:eastAsia="Arial" w:hAnsi="Arial" w:cs="Arial"/>
        </w:rPr>
      </w:pPr>
      <w:r w:rsidRPr="00903547">
        <w:rPr>
          <w:rFonts w:ascii="Arial" w:eastAsia="Arial" w:hAnsi="Arial" w:cs="Arial"/>
          <w:lang w:val="en-US"/>
        </w:rPr>
        <w:t>To isolate resistant colonies, agar plates containing 100 x MIC</w:t>
      </w:r>
      <w:r w:rsidRPr="00903547">
        <w:rPr>
          <w:rFonts w:ascii="Arial" w:eastAsia="Arial" w:hAnsi="Arial" w:cs="Arial"/>
          <w:vertAlign w:val="subscript"/>
          <w:lang w:val="en-US"/>
        </w:rPr>
        <w:t>90</w:t>
      </w:r>
      <w:r w:rsidRPr="00903547">
        <w:rPr>
          <w:rFonts w:ascii="Arial" w:eastAsia="Arial" w:hAnsi="Arial" w:cs="Arial"/>
          <w:lang w:val="en-US"/>
        </w:rPr>
        <w:t xml:space="preserve"> of JNJ-2901 and JNJ-4052 were inoculated with WT </w:t>
      </w:r>
      <w:r w:rsidRPr="00903547">
        <w:rPr>
          <w:rFonts w:ascii="Arial" w:eastAsia="Arial" w:hAnsi="Arial" w:cs="Arial"/>
          <w:i/>
          <w:lang w:val="en-US"/>
        </w:rPr>
        <w:t>M. tuberculosis</w:t>
      </w:r>
      <w:r w:rsidRPr="00903547">
        <w:rPr>
          <w:rFonts w:ascii="Arial" w:eastAsia="Arial" w:hAnsi="Arial" w:cs="Arial"/>
          <w:lang w:val="en-US"/>
        </w:rPr>
        <w:t xml:space="preserve"> </w:t>
      </w:r>
      <w:bookmarkStart w:id="5" w:name="_Hlk178853593"/>
      <w:r w:rsidRPr="00903547">
        <w:rPr>
          <w:rFonts w:ascii="Arial" w:eastAsia="Arial" w:hAnsi="Arial" w:cs="Arial"/>
          <w:lang w:val="en-US"/>
        </w:rPr>
        <w:t>Δ</w:t>
      </w:r>
      <w:r w:rsidRPr="00903547">
        <w:rPr>
          <w:rFonts w:ascii="Arial" w:eastAsia="Arial" w:hAnsi="Arial" w:cs="Arial"/>
          <w:i/>
          <w:iCs/>
          <w:lang w:val="en-US"/>
        </w:rPr>
        <w:t>cydAB</w:t>
      </w:r>
      <w:bookmarkEnd w:id="5"/>
      <w:r w:rsidRPr="00903547">
        <w:rPr>
          <w:rFonts w:ascii="Arial" w:eastAsia="Arial" w:hAnsi="Arial" w:cs="Arial"/>
          <w:lang w:val="en-US"/>
        </w:rPr>
        <w:t xml:space="preserve"> (1-5 x 10</w:t>
      </w:r>
      <w:r w:rsidRPr="00903547">
        <w:rPr>
          <w:rFonts w:ascii="Arial" w:eastAsia="Arial" w:hAnsi="Arial" w:cs="Arial"/>
          <w:vertAlign w:val="superscript"/>
          <w:lang w:val="en-US"/>
        </w:rPr>
        <w:t>8</w:t>
      </w:r>
      <w:r w:rsidRPr="00903547">
        <w:rPr>
          <w:rFonts w:ascii="Arial" w:eastAsia="Arial" w:hAnsi="Arial" w:cs="Arial"/>
          <w:lang w:val="en-US"/>
        </w:rPr>
        <w:t xml:space="preserve"> CFU) to select resistant colonies. Individual colonies were re-plated in the presence of compound for ~3 weeks to confirm resistance. </w:t>
      </w:r>
      <w:r w:rsidRPr="00903547">
        <w:rPr>
          <w:rFonts w:ascii="Arial" w:eastAsia="Arial" w:hAnsi="Arial" w:cs="Arial"/>
        </w:rPr>
        <w:t>Genomic DNA from selected clonal survivors was extracted using</w:t>
      </w:r>
      <w:r w:rsidRPr="00903547">
        <w:rPr>
          <w:rFonts w:ascii="Arial" w:eastAsia="Arial" w:hAnsi="Arial" w:cs="Arial"/>
          <w:lang w:val="en-US"/>
        </w:rPr>
        <w:t xml:space="preserve"> Quick-DNA Fungal/Bacterial Miniprep Kit (Zymo Research)</w:t>
      </w:r>
      <w:r w:rsidRPr="00903547">
        <w:rPr>
          <w:rFonts w:ascii="Arial" w:eastAsia="Arial" w:hAnsi="Arial" w:cs="Arial"/>
        </w:rPr>
        <w:t xml:space="preserve">. WGS libraries were prepared using the Nextera XT DNA Library Preparation Kit (Illumina). Sequencing was performed on an Illumina NextSeq 550 platform, generating paired-end 75 bp reads and targeting 5M sequences per sample. The trimmed reads were mapped to the reference genome of </w:t>
      </w:r>
      <w:r w:rsidRPr="00903547">
        <w:rPr>
          <w:rFonts w:ascii="Arial" w:eastAsia="Arial" w:hAnsi="Arial" w:cs="Arial"/>
          <w:i/>
        </w:rPr>
        <w:t>M</w:t>
      </w:r>
      <w:r w:rsidRPr="00903547">
        <w:rPr>
          <w:rFonts w:ascii="Arial" w:eastAsia="Arial" w:hAnsi="Arial" w:cs="Arial"/>
          <w:lang w:val="en-US"/>
        </w:rPr>
        <w:t>.</w:t>
      </w:r>
      <w:r w:rsidRPr="00903547">
        <w:rPr>
          <w:rFonts w:ascii="Arial" w:eastAsia="Arial" w:hAnsi="Arial" w:cs="Arial"/>
          <w:i/>
        </w:rPr>
        <w:t xml:space="preserve"> tuberculosis H37Rv </w:t>
      </w:r>
      <w:r w:rsidRPr="00903547">
        <w:rPr>
          <w:rFonts w:ascii="Arial" w:eastAsia="Arial" w:hAnsi="Arial" w:cs="Arial"/>
        </w:rPr>
        <w:t xml:space="preserve">(GenBank accession number NC_000962.3), and variants were identified using the CLC </w:t>
      </w:r>
      <w:r w:rsidRPr="00903547">
        <w:rPr>
          <w:rFonts w:ascii="Arial" w:eastAsia="Arial" w:hAnsi="Arial" w:cs="Arial"/>
        </w:rPr>
        <w:lastRenderedPageBreak/>
        <w:t>Genomics Workbench v21.0.5 (Qiagen) variant caller, with a minimum count of 2, minimum coverage of 10 and a minimum frequency of 10%.</w:t>
      </w:r>
    </w:p>
    <w:p w14:paraId="58C7D18F" w14:textId="77777777" w:rsidR="0091686F" w:rsidRPr="00C17B11" w:rsidRDefault="0091686F" w:rsidP="0091686F">
      <w:pPr>
        <w:spacing w:line="360" w:lineRule="auto"/>
        <w:jc w:val="both"/>
        <w:rPr>
          <w:rFonts w:ascii="Arial" w:eastAsia="Arial" w:hAnsi="Arial" w:cs="Arial"/>
        </w:rPr>
      </w:pPr>
      <w:r w:rsidRPr="00903547">
        <w:rPr>
          <w:rFonts w:ascii="Arial" w:eastAsia="Arial" w:hAnsi="Arial" w:cs="Arial"/>
        </w:rPr>
        <w:t xml:space="preserve">Variants present in all samples and wild type sample were filtered out. Only variants present in &gt;75% of the reads were considered to minimize noise. </w:t>
      </w:r>
      <w:bookmarkStart w:id="6" w:name="_Hlk179532763"/>
    </w:p>
    <w:bookmarkEnd w:id="6"/>
    <w:p w14:paraId="04BF4EF1" w14:textId="77777777" w:rsidR="0091686F" w:rsidRPr="00903547" w:rsidRDefault="0091686F" w:rsidP="0091686F">
      <w:pPr>
        <w:pStyle w:val="Heading1"/>
        <w:spacing w:line="360" w:lineRule="auto"/>
        <w:jc w:val="both"/>
        <w:rPr>
          <w:rFonts w:eastAsia="Arial"/>
        </w:rPr>
      </w:pPr>
    </w:p>
    <w:p w14:paraId="3A442DEC" w14:textId="77777777" w:rsidR="0091686F" w:rsidRPr="004B743C" w:rsidRDefault="0091686F" w:rsidP="0091686F">
      <w:pPr>
        <w:pStyle w:val="Heading1"/>
        <w:spacing w:line="360" w:lineRule="auto"/>
        <w:jc w:val="both"/>
      </w:pPr>
      <w:r w:rsidRPr="004B743C">
        <w:t xml:space="preserve">Statistical analysis </w:t>
      </w:r>
    </w:p>
    <w:p w14:paraId="64A27D51" w14:textId="77777777" w:rsidR="0091686F" w:rsidRDefault="0091686F" w:rsidP="0091686F">
      <w:pPr>
        <w:spacing w:line="360" w:lineRule="auto"/>
        <w:jc w:val="both"/>
        <w:rPr>
          <w:rFonts w:ascii="Arial" w:hAnsi="Arial" w:cs="Arial"/>
        </w:rPr>
      </w:pPr>
      <w:r w:rsidRPr="004B743C">
        <w:rPr>
          <w:rFonts w:ascii="Arial" w:hAnsi="Arial" w:cs="Arial"/>
        </w:rPr>
        <w:t>Mean CFU</w:t>
      </w:r>
      <w:r>
        <w:rPr>
          <w:rFonts w:ascii="Arial" w:hAnsi="Arial" w:cs="Arial"/>
        </w:rPr>
        <w:t xml:space="preserve"> </w:t>
      </w:r>
      <w:r w:rsidRPr="004B743C">
        <w:rPr>
          <w:rFonts w:ascii="Arial" w:hAnsi="Arial" w:cs="Arial"/>
        </w:rPr>
        <w:t>lung</w:t>
      </w:r>
      <w:r w:rsidRPr="004F52BB">
        <w:rPr>
          <w:rFonts w:ascii="Arial" w:eastAsia="Times New Roman" w:hAnsi="Arial" w:cs="Arial"/>
          <w:color w:val="000000" w:themeColor="text1"/>
          <w:szCs w:val="24"/>
          <w:vertAlign w:val="superscript"/>
        </w:rPr>
        <w:t>-1</w:t>
      </w:r>
      <w:r w:rsidRPr="004B743C">
        <w:rPr>
          <w:rFonts w:ascii="Arial" w:hAnsi="Arial" w:cs="Arial"/>
        </w:rPr>
        <w:t xml:space="preserve"> was log-transformed before analysis and </w:t>
      </w:r>
      <w:r w:rsidRPr="004B743C">
        <w:rPr>
          <w:rFonts w:ascii="Arial" w:hAnsi="Arial" w:cs="Arial"/>
          <w:color w:val="000000"/>
        </w:rPr>
        <w:t xml:space="preserve">evaluated by </w:t>
      </w:r>
      <w:r w:rsidRPr="004B743C">
        <w:rPr>
          <w:rFonts w:ascii="Arial" w:hAnsi="Arial" w:cs="Arial"/>
        </w:rPr>
        <w:t xml:space="preserve">one-way analysis of variance (ANOVA), </w:t>
      </w:r>
      <w:r w:rsidRPr="004B743C">
        <w:rPr>
          <w:rFonts w:ascii="Arial" w:hAnsi="Arial" w:cs="Arial"/>
          <w:color w:val="000000"/>
        </w:rPr>
        <w:t>followed by a pairwise multiple comparison using Dunnett’s test or Tukey’s test</w:t>
      </w:r>
      <w:r w:rsidRPr="004B743C">
        <w:rPr>
          <w:rFonts w:ascii="Arial" w:hAnsi="Arial" w:cs="Arial"/>
        </w:rPr>
        <w:t xml:space="preserve">. The </w:t>
      </w:r>
      <w:r w:rsidRPr="004B743C">
        <w:rPr>
          <w:rFonts w:ascii="Arial" w:hAnsi="Arial" w:cs="Arial"/>
          <w:color w:val="000000"/>
        </w:rPr>
        <w:t xml:space="preserve">Kruskal-Wallis </w:t>
      </w:r>
      <w:r w:rsidRPr="004B743C">
        <w:rPr>
          <w:rFonts w:ascii="Arial" w:hAnsi="Arial" w:cs="Arial"/>
        </w:rPr>
        <w:t xml:space="preserve">one-way ANOVA on ranks or </w:t>
      </w:r>
      <w:r w:rsidRPr="004B743C">
        <w:rPr>
          <w:rFonts w:ascii="Arial" w:hAnsi="Arial" w:cs="Arial"/>
          <w:color w:val="000000"/>
        </w:rPr>
        <w:t>equal variance tests</w:t>
      </w:r>
      <w:r w:rsidRPr="004B743C">
        <w:rPr>
          <w:rFonts w:ascii="Arial" w:hAnsi="Arial" w:cs="Arial"/>
        </w:rPr>
        <w:t xml:space="preserve"> were used if </w:t>
      </w:r>
      <w:r w:rsidRPr="004B743C">
        <w:rPr>
          <w:rFonts w:ascii="Arial" w:hAnsi="Arial" w:cs="Arial"/>
          <w:color w:val="000000"/>
        </w:rPr>
        <w:t>data fail</w:t>
      </w:r>
      <w:r w:rsidRPr="004B743C">
        <w:rPr>
          <w:rFonts w:ascii="Arial" w:hAnsi="Arial" w:cs="Arial"/>
        </w:rPr>
        <w:t>ed</w:t>
      </w:r>
      <w:r w:rsidRPr="004B743C">
        <w:rPr>
          <w:rFonts w:ascii="Arial" w:hAnsi="Arial" w:cs="Arial"/>
          <w:color w:val="000000"/>
        </w:rPr>
        <w:t xml:space="preserve"> normality. The proportions of mice relapsing were compared using Fisher’s exact test</w:t>
      </w:r>
      <w:r w:rsidRPr="00D173EF">
        <w:t xml:space="preserve"> </w:t>
      </w:r>
      <w:r w:rsidRPr="00D173EF">
        <w:rPr>
          <w:rFonts w:ascii="Arial" w:hAnsi="Arial" w:cs="Arial"/>
          <w:color w:val="000000"/>
        </w:rPr>
        <w:t>and interpreted with and without Bonferroni correction</w:t>
      </w:r>
      <w:r w:rsidRPr="004B743C">
        <w:rPr>
          <w:rFonts w:ascii="Arial" w:hAnsi="Arial" w:cs="Arial"/>
          <w:color w:val="000000"/>
        </w:rPr>
        <w:t xml:space="preserve">. Differences </w:t>
      </w:r>
      <w:r w:rsidRPr="004B743C">
        <w:rPr>
          <w:rFonts w:ascii="Arial" w:hAnsi="Arial" w:cs="Arial"/>
        </w:rPr>
        <w:t>we</w:t>
      </w:r>
      <w:r w:rsidRPr="004B743C">
        <w:rPr>
          <w:rFonts w:ascii="Arial" w:hAnsi="Arial" w:cs="Arial"/>
          <w:color w:val="000000"/>
        </w:rPr>
        <w:t xml:space="preserve">re considered significant at the 5% </w:t>
      </w:r>
      <w:r>
        <w:rPr>
          <w:rFonts w:ascii="Arial" w:hAnsi="Arial" w:cs="Arial"/>
          <w:color w:val="000000"/>
        </w:rPr>
        <w:t xml:space="preserve">significance </w:t>
      </w:r>
      <w:r w:rsidRPr="004B743C">
        <w:rPr>
          <w:rFonts w:ascii="Arial" w:hAnsi="Arial" w:cs="Arial"/>
          <w:color w:val="000000"/>
        </w:rPr>
        <w:t>level. All analyses were carried out using GraphPad Prism software program.</w:t>
      </w:r>
      <w:r w:rsidRPr="006742A1">
        <w:rPr>
          <w:rFonts w:ascii="Arial" w:hAnsi="Arial" w:cs="Arial"/>
        </w:rPr>
        <w:t xml:space="preserve"> </w:t>
      </w:r>
    </w:p>
    <w:p w14:paraId="48AE6A50" w14:textId="77777777" w:rsidR="0091686F" w:rsidRPr="00066B07" w:rsidRDefault="0091686F" w:rsidP="0091686F">
      <w:pPr>
        <w:spacing w:line="360" w:lineRule="auto"/>
        <w:jc w:val="both"/>
        <w:rPr>
          <w:rFonts w:ascii="Arial" w:hAnsi="Arial" w:cs="Arial"/>
          <w:color w:val="000000"/>
        </w:rPr>
      </w:pPr>
    </w:p>
    <w:p w14:paraId="66314964" w14:textId="77777777" w:rsidR="0091686F" w:rsidRPr="008C69E4" w:rsidRDefault="0091686F" w:rsidP="0091686F">
      <w:pPr>
        <w:pStyle w:val="paragraph"/>
        <w:spacing w:before="0" w:beforeAutospacing="0" w:after="0" w:afterAutospacing="0" w:line="360" w:lineRule="auto"/>
        <w:jc w:val="both"/>
        <w:textAlignment w:val="baseline"/>
        <w:rPr>
          <w:rStyle w:val="eop"/>
          <w:rFonts w:ascii="Arial" w:hAnsi="Arial" w:cs="Arial"/>
          <w:sz w:val="22"/>
          <w:szCs w:val="22"/>
        </w:rPr>
      </w:pPr>
      <w:r w:rsidRPr="008C69E4">
        <w:rPr>
          <w:rStyle w:val="normaltextrun"/>
          <w:rFonts w:ascii="Arial" w:hAnsi="Arial" w:cs="Arial"/>
          <w:b/>
          <w:bCs/>
          <w:sz w:val="22"/>
          <w:szCs w:val="22"/>
        </w:rPr>
        <w:t>General scheme for the synthesis of compound JNJ-2901</w:t>
      </w:r>
      <w:r w:rsidRPr="008C69E4">
        <w:rPr>
          <w:rStyle w:val="eop"/>
          <w:rFonts w:ascii="Arial" w:hAnsi="Arial" w:cs="Arial"/>
          <w:sz w:val="22"/>
          <w:szCs w:val="22"/>
        </w:rPr>
        <w:t> </w:t>
      </w:r>
    </w:p>
    <w:p w14:paraId="0BD9625D"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p>
    <w:p w14:paraId="2D9F45E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30677796" wp14:editId="0C6388BE">
            <wp:extent cx="5400675" cy="1666875"/>
            <wp:effectExtent l="0" t="0" r="9525" b="9525"/>
            <wp:docPr id="19" name="Picture 3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36" descr="A black background with a black square&#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675" cy="1666875"/>
                    </a:xfrm>
                    <a:prstGeom prst="rect">
                      <a:avLst/>
                    </a:prstGeom>
                    <a:noFill/>
                    <a:ln>
                      <a:noFill/>
                    </a:ln>
                  </pic:spPr>
                </pic:pic>
              </a:graphicData>
            </a:graphic>
          </wp:inline>
        </w:drawing>
      </w:r>
      <w:r w:rsidRPr="008C69E4">
        <w:rPr>
          <w:rStyle w:val="eop"/>
          <w:rFonts w:ascii="Arial" w:hAnsi="Arial" w:cs="Arial"/>
          <w:sz w:val="22"/>
          <w:szCs w:val="22"/>
        </w:rPr>
        <w:t> </w:t>
      </w:r>
    </w:p>
    <w:p w14:paraId="52489623"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6-iodo-2-azaspiro[3.3]heptane-2-carboxylate (</w:t>
      </w:r>
      <w:r w:rsidRPr="008C69E4">
        <w:rPr>
          <w:rStyle w:val="normaltextrun"/>
          <w:rFonts w:ascii="Arial" w:hAnsi="Arial" w:cs="Arial"/>
          <w:b/>
          <w:bCs/>
          <w:i/>
          <w:iCs/>
          <w:sz w:val="22"/>
          <w:szCs w:val="22"/>
          <w:u w:val="single"/>
        </w:rPr>
        <w:t>2</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45B4AEE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61818CEE" wp14:editId="4208713C">
            <wp:extent cx="3457575" cy="981075"/>
            <wp:effectExtent l="0" t="0" r="0" b="0"/>
            <wp:docPr id="20" name="Picture 3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35" descr="A black background with a black square&#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57575" cy="981075"/>
                    </a:xfrm>
                    <a:prstGeom prst="rect">
                      <a:avLst/>
                    </a:prstGeom>
                    <a:noFill/>
                    <a:ln>
                      <a:noFill/>
                    </a:ln>
                  </pic:spPr>
                </pic:pic>
              </a:graphicData>
            </a:graphic>
          </wp:inline>
        </w:drawing>
      </w:r>
      <w:r w:rsidRPr="008C69E4">
        <w:rPr>
          <w:rStyle w:val="eop"/>
          <w:rFonts w:ascii="Arial" w:hAnsi="Arial" w:cs="Arial"/>
          <w:sz w:val="22"/>
          <w:szCs w:val="22"/>
        </w:rPr>
        <w:t> </w:t>
      </w:r>
    </w:p>
    <w:p w14:paraId="3FA6CD3A"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Triphenylphosphine (1.89 g, 7.20 mmol), imidazole (735 mg, 10.8 mmol) and iodine (1.37 g, 5.40 mmol) were added to a solution of tert-​butyl 6-​hydroxy-​2-​azaspiro[3.3]​heptane-​2-​carboxylate </w:t>
      </w:r>
      <w:r w:rsidRPr="008C69E4">
        <w:rPr>
          <w:rStyle w:val="normaltextrun"/>
          <w:rFonts w:ascii="Arial" w:hAnsi="Arial" w:cs="Arial"/>
          <w:b/>
          <w:bCs/>
          <w:sz w:val="22"/>
          <w:szCs w:val="22"/>
          <w:lang w:val="en-AU"/>
        </w:rPr>
        <w:t>1</w:t>
      </w:r>
      <w:r w:rsidRPr="008C69E4">
        <w:rPr>
          <w:rStyle w:val="normaltextrun"/>
          <w:rFonts w:ascii="Arial" w:hAnsi="Arial" w:cs="Arial"/>
          <w:sz w:val="22"/>
          <w:szCs w:val="22"/>
          <w:lang w:val="en-AU"/>
        </w:rPr>
        <w:t xml:space="preserve"> (768 mg, 3.60 mmol) in toluene (50 mL). The resulting mixture was refluxed for </w:t>
      </w:r>
      <w:r w:rsidRPr="008C69E4">
        <w:rPr>
          <w:rStyle w:val="normaltextrun"/>
          <w:rFonts w:ascii="Arial" w:hAnsi="Arial" w:cs="Arial"/>
          <w:sz w:val="22"/>
          <w:szCs w:val="22"/>
          <w:lang w:val="en-AU"/>
        </w:rPr>
        <w:lastRenderedPageBreak/>
        <w:t xml:space="preserve">1 hour. The mixture was cooled to 25°C, washed with water (100 mL) and brine (50 mL). The separated organic layer was dried, filtered and the filtrate was concentrated under vacuum. The residue was purified by flash column chromatography over silica gel (eluent: petroleum ether/ethyl acetate 1/0 to 1/1) to give tert-butyl 6-iodo-2-azaspiro[3.3]heptane-2-carboxylate </w:t>
      </w:r>
      <w:r w:rsidRPr="008C69E4">
        <w:rPr>
          <w:rStyle w:val="normaltextrun"/>
          <w:rFonts w:ascii="Arial" w:hAnsi="Arial" w:cs="Arial"/>
          <w:b/>
          <w:bCs/>
          <w:sz w:val="22"/>
          <w:szCs w:val="22"/>
          <w:lang w:val="en-AU"/>
        </w:rPr>
        <w:t>2</w:t>
      </w:r>
      <w:r w:rsidRPr="008C69E4">
        <w:rPr>
          <w:rStyle w:val="normaltextrun"/>
          <w:rFonts w:ascii="Arial" w:hAnsi="Arial" w:cs="Arial"/>
          <w:sz w:val="22"/>
          <w:szCs w:val="22"/>
          <w:lang w:val="en-AU"/>
        </w:rPr>
        <w:t xml:space="preserve"> (1.20 g, yield: 93%).</w:t>
      </w:r>
      <w:r w:rsidRPr="008C69E4">
        <w:rPr>
          <w:rStyle w:val="eop"/>
          <w:rFonts w:ascii="Arial" w:hAnsi="Arial" w:cs="Arial"/>
          <w:sz w:val="22"/>
          <w:szCs w:val="22"/>
        </w:rPr>
        <w:t> </w:t>
      </w:r>
    </w:p>
    <w:p w14:paraId="7D1C06D4"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373EEE46"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6-(4-cyanophenyl)-2-azaspiro[3.3]heptane-2-carboxylate (</w:t>
      </w:r>
      <w:r w:rsidRPr="008C69E4">
        <w:rPr>
          <w:rStyle w:val="normaltextrun"/>
          <w:rFonts w:ascii="Arial" w:hAnsi="Arial" w:cs="Arial"/>
          <w:b/>
          <w:bCs/>
          <w:i/>
          <w:iCs/>
          <w:sz w:val="22"/>
          <w:szCs w:val="22"/>
          <w:u w:val="single"/>
        </w:rPr>
        <w:t>3</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0447C5A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58ECDE6A" wp14:editId="121D7DA0">
            <wp:extent cx="4362450" cy="1076325"/>
            <wp:effectExtent l="0" t="0" r="0" b="0"/>
            <wp:docPr id="21" name="Picture 3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4" descr="A black background with a black squar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2450" cy="1076325"/>
                    </a:xfrm>
                    <a:prstGeom prst="rect">
                      <a:avLst/>
                    </a:prstGeom>
                    <a:noFill/>
                    <a:ln>
                      <a:noFill/>
                    </a:ln>
                  </pic:spPr>
                </pic:pic>
              </a:graphicData>
            </a:graphic>
          </wp:inline>
        </w:drawing>
      </w:r>
      <w:r w:rsidRPr="008C69E4">
        <w:rPr>
          <w:rStyle w:val="eop"/>
          <w:rFonts w:ascii="Arial" w:hAnsi="Arial" w:cs="Arial"/>
          <w:sz w:val="22"/>
          <w:szCs w:val="22"/>
        </w:rPr>
        <w:t> </w:t>
      </w:r>
    </w:p>
    <w:p w14:paraId="50756EEE"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A mixture of intermediate </w:t>
      </w:r>
      <w:r w:rsidRPr="008C69E4">
        <w:rPr>
          <w:rStyle w:val="normaltextrun"/>
          <w:rFonts w:ascii="Arial" w:hAnsi="Arial" w:cs="Arial"/>
          <w:b/>
          <w:bCs/>
          <w:sz w:val="22"/>
          <w:szCs w:val="22"/>
          <w:lang w:val="en-AU"/>
        </w:rPr>
        <w:t>2</w:t>
      </w:r>
      <w:r w:rsidRPr="008C69E4">
        <w:rPr>
          <w:rStyle w:val="normaltextrun"/>
          <w:rFonts w:ascii="Arial" w:hAnsi="Arial" w:cs="Arial"/>
          <w:sz w:val="22"/>
          <w:szCs w:val="22"/>
          <w:lang w:val="en-AU"/>
        </w:rPr>
        <w:t xml:space="preserve"> (364 mg, 2.47 mmol), trans-2-amino-cyclohexanol (28.5 mg, 0.248 mmol) and Nickel iodine (38.7 mg, 0.124 mmol) in </w:t>
      </w:r>
      <w:r w:rsidRPr="008C69E4">
        <w:rPr>
          <w:rStyle w:val="normaltextrun"/>
          <w:rFonts w:ascii="Arial" w:hAnsi="Arial" w:cs="Arial"/>
          <w:i/>
          <w:iCs/>
          <w:sz w:val="22"/>
          <w:szCs w:val="22"/>
          <w:lang w:val="en-AU"/>
        </w:rPr>
        <w:t>i</w:t>
      </w:r>
      <w:r w:rsidRPr="008C69E4">
        <w:rPr>
          <w:rStyle w:val="normaltextrun"/>
          <w:rFonts w:ascii="Arial" w:hAnsi="Arial" w:cs="Arial"/>
          <w:sz w:val="22"/>
          <w:szCs w:val="22"/>
          <w:lang w:val="en-AU"/>
        </w:rPr>
        <w:t xml:space="preserve">-PrOH (4 mL) was stirred at 25°C for 30 minutes under nitrogen flow. NaHMDS (2.48 mL, 1 M in THF) was added, and the mixture was stirred for 10 minutes under nitrogen flow. A solution of 4-cyanophenylboronic acid ( 400 mg, 1.24 mmol) in </w:t>
      </w:r>
      <w:r w:rsidRPr="008C69E4">
        <w:rPr>
          <w:rStyle w:val="normaltextrun"/>
          <w:rFonts w:ascii="Arial" w:hAnsi="Arial" w:cs="Arial"/>
          <w:i/>
          <w:iCs/>
          <w:sz w:val="22"/>
          <w:szCs w:val="22"/>
          <w:lang w:val="en-AU"/>
        </w:rPr>
        <w:t>i</w:t>
      </w:r>
      <w:r w:rsidRPr="008C69E4">
        <w:rPr>
          <w:rStyle w:val="normaltextrun"/>
          <w:rFonts w:ascii="Arial" w:hAnsi="Arial" w:cs="Arial"/>
          <w:sz w:val="22"/>
          <w:szCs w:val="22"/>
          <w:lang w:val="en-AU"/>
        </w:rPr>
        <w:t xml:space="preserve">-PrOH (4 mL) was added and the mixture was stirred at 60 °C under microwave for 1 hour, at 90°C for 1 hour and at 120°C for 4 hours. The mixture was diluted with dichloromethane (50 mL), washed with water (2x50 mL) and brine (20 mL). The organic layer was dried over sodium sulfate, filtered and concentrated under vacuum. The residue was purified by column chromatography over silica gel (eluent: petroleum ether/ethyl acetate 5/1) to give tert-butyl 6-(4-cyanophenyl)-2-azaspiro[3.3]heptane-2-carboxylate </w:t>
      </w:r>
      <w:r w:rsidRPr="008C69E4">
        <w:rPr>
          <w:rStyle w:val="normaltextrun"/>
          <w:rFonts w:ascii="Arial" w:hAnsi="Arial" w:cs="Arial"/>
          <w:b/>
          <w:bCs/>
          <w:sz w:val="22"/>
          <w:szCs w:val="22"/>
          <w:lang w:val="en-AU"/>
        </w:rPr>
        <w:t xml:space="preserve">3 </w:t>
      </w:r>
      <w:r w:rsidRPr="008C69E4">
        <w:rPr>
          <w:rStyle w:val="normaltextrun"/>
          <w:rFonts w:ascii="Arial" w:hAnsi="Arial" w:cs="Arial"/>
          <w:sz w:val="22"/>
          <w:szCs w:val="22"/>
          <w:lang w:val="en-AU"/>
        </w:rPr>
        <w:t>(300 mg, yield: 37%).</w:t>
      </w:r>
      <w:r w:rsidRPr="008C69E4">
        <w:rPr>
          <w:rStyle w:val="eop"/>
          <w:rFonts w:ascii="Arial" w:hAnsi="Arial" w:cs="Arial"/>
          <w:sz w:val="22"/>
          <w:szCs w:val="22"/>
        </w:rPr>
        <w:t> </w:t>
      </w:r>
    </w:p>
    <w:p w14:paraId="442D7834"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1F69314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6-(4-(aminomethyl)phenyl)-2-azaspiro[3.3]heptane-2-carboxylate (</w:t>
      </w:r>
      <w:r w:rsidRPr="008C69E4">
        <w:rPr>
          <w:rStyle w:val="normaltextrun"/>
          <w:rFonts w:ascii="Arial" w:hAnsi="Arial" w:cs="Arial"/>
          <w:b/>
          <w:bCs/>
          <w:i/>
          <w:iCs/>
          <w:sz w:val="22"/>
          <w:szCs w:val="22"/>
          <w:u w:val="single"/>
        </w:rPr>
        <w:t>4</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2193D76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106912EF" wp14:editId="2A0809F5">
            <wp:extent cx="4819650" cy="923925"/>
            <wp:effectExtent l="0" t="0" r="0" b="0"/>
            <wp:docPr id="22" name="Picture 3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3" descr="A black background with a black square&#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19650" cy="923925"/>
                    </a:xfrm>
                    <a:prstGeom prst="rect">
                      <a:avLst/>
                    </a:prstGeom>
                    <a:noFill/>
                    <a:ln>
                      <a:noFill/>
                    </a:ln>
                  </pic:spPr>
                </pic:pic>
              </a:graphicData>
            </a:graphic>
          </wp:inline>
        </w:drawing>
      </w:r>
      <w:r w:rsidRPr="008C69E4">
        <w:rPr>
          <w:rStyle w:val="eop"/>
          <w:rFonts w:ascii="Arial" w:hAnsi="Arial" w:cs="Arial"/>
          <w:sz w:val="22"/>
          <w:szCs w:val="22"/>
        </w:rPr>
        <w:t> </w:t>
      </w:r>
    </w:p>
    <w:p w14:paraId="3FBB016D"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Over a solution of intermediate </w:t>
      </w:r>
      <w:r w:rsidRPr="008C69E4">
        <w:rPr>
          <w:rStyle w:val="normaltextrun"/>
          <w:rFonts w:ascii="Arial" w:hAnsi="Arial" w:cs="Arial"/>
          <w:b/>
          <w:bCs/>
          <w:sz w:val="22"/>
          <w:szCs w:val="22"/>
          <w:lang w:val="en-AU"/>
        </w:rPr>
        <w:t>3</w:t>
      </w:r>
      <w:r w:rsidRPr="008C69E4">
        <w:rPr>
          <w:rStyle w:val="normaltextrun"/>
          <w:rFonts w:ascii="Arial" w:hAnsi="Arial" w:cs="Arial"/>
          <w:sz w:val="22"/>
          <w:szCs w:val="22"/>
          <w:lang w:val="en-AU"/>
        </w:rPr>
        <w:t xml:space="preserve"> (1.3g) in ammonia, Raney Nickel (5 equivalents) was added and the mixture stirred at room temperature under 3 bar of H</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 xml:space="preserve"> for 2 hours. The resulting mixture was filtered off and evaporated in vacuo, the filtrate may be taken up in EtOAc, filtered on a pad of Celite® and concentrated to provide on tert-butyl 6-(4-(aminomethyl)phenyl)-2-azaspiro[3.3]heptane-2-carboxylate </w:t>
      </w:r>
      <w:r w:rsidRPr="008C69E4">
        <w:rPr>
          <w:rStyle w:val="normaltextrun"/>
          <w:rFonts w:ascii="Arial" w:hAnsi="Arial" w:cs="Arial"/>
          <w:b/>
          <w:sz w:val="22"/>
          <w:szCs w:val="22"/>
          <w:lang w:val="en-AU"/>
        </w:rPr>
        <w:t>4</w:t>
      </w:r>
      <w:r w:rsidRPr="008C69E4">
        <w:rPr>
          <w:rStyle w:val="normaltextrun"/>
          <w:rFonts w:ascii="Arial" w:hAnsi="Arial" w:cs="Arial"/>
          <w:sz w:val="22"/>
          <w:szCs w:val="22"/>
          <w:lang w:val="en-AU"/>
        </w:rPr>
        <w:t xml:space="preserve"> (1.29g, yield 81%).</w:t>
      </w:r>
      <w:r w:rsidRPr="008C69E4">
        <w:rPr>
          <w:rStyle w:val="eop"/>
          <w:rFonts w:ascii="Arial" w:hAnsi="Arial" w:cs="Arial"/>
          <w:sz w:val="22"/>
          <w:szCs w:val="22"/>
        </w:rPr>
        <w:t> </w:t>
      </w:r>
    </w:p>
    <w:p w14:paraId="0432943C"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236D68E9"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lastRenderedPageBreak/>
        <w:t>Synthesis of intermediate tert-butyl 6-(4-((6-chloro-2-ethylimidazo[1,2-a]pyridine-3-carboxamido) methyl)phenyl)-2-azaspiro[3.3]heptane-2-carboxylate (</w:t>
      </w:r>
      <w:r w:rsidRPr="008C69E4">
        <w:rPr>
          <w:rStyle w:val="normaltextrun"/>
          <w:rFonts w:ascii="Arial" w:hAnsi="Arial" w:cs="Arial"/>
          <w:b/>
          <w:bCs/>
          <w:i/>
          <w:iCs/>
          <w:sz w:val="22"/>
          <w:szCs w:val="22"/>
          <w:u w:val="single"/>
        </w:rPr>
        <w:t>5</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375E857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1172B926" wp14:editId="7935A2AB">
            <wp:extent cx="5410200" cy="1381125"/>
            <wp:effectExtent l="0" t="0" r="0" b="0"/>
            <wp:docPr id="23" name="Picture 3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32" descr="A black background with a black square&#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0200" cy="1381125"/>
                    </a:xfrm>
                    <a:prstGeom prst="rect">
                      <a:avLst/>
                    </a:prstGeom>
                    <a:noFill/>
                    <a:ln>
                      <a:noFill/>
                    </a:ln>
                  </pic:spPr>
                </pic:pic>
              </a:graphicData>
            </a:graphic>
          </wp:inline>
        </w:drawing>
      </w:r>
      <w:r w:rsidRPr="008C69E4">
        <w:rPr>
          <w:rStyle w:val="eop"/>
          <w:rFonts w:ascii="Arial" w:hAnsi="Arial" w:cs="Arial"/>
          <w:sz w:val="22"/>
          <w:szCs w:val="22"/>
        </w:rPr>
        <w:t> </w:t>
      </w:r>
    </w:p>
    <w:p w14:paraId="40320EE0"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To a solution of 6-chloro-2-ethylimidazo[1,2-a]pyridine-3-carboxylic acid (0.117 g, 0.504 mmol) in DCM (5.1 mL) and triethylamine (0.18 mL) were added EDCI (145 mg, 0.756 mmol) and HOBt (103 mg, 0.760 mmol) and the mixture was stirred at room temperature for 30 min. Intermediate </w:t>
      </w:r>
      <w:r w:rsidRPr="008C69E4">
        <w:rPr>
          <w:rStyle w:val="normaltextrun"/>
          <w:rFonts w:ascii="Arial" w:hAnsi="Arial" w:cs="Arial"/>
          <w:b/>
          <w:bCs/>
          <w:sz w:val="22"/>
          <w:szCs w:val="22"/>
          <w:lang w:val="en-AU"/>
        </w:rPr>
        <w:t xml:space="preserve">4 </w:t>
      </w:r>
      <w:r w:rsidRPr="008C69E4">
        <w:rPr>
          <w:rStyle w:val="normaltextrun"/>
          <w:rFonts w:ascii="Arial" w:hAnsi="Arial" w:cs="Arial"/>
          <w:sz w:val="22"/>
          <w:szCs w:val="22"/>
          <w:lang w:val="en-AU"/>
        </w:rPr>
        <w:t>(0.162 g, 0.536 mmol) was added and the mixture was stirred at room temperature for 4 h. The mixture was washed with water (2x). The organic layer was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xml:space="preserve">, filtered and evaporated to dryness to give 0.293 g of tert-butyl 6-(4-((6-chloro-2-ethylimidazo[1,2-a]pyridine-3-carboxamido) methyl)phenyl)-2-azaspiro[3.3] heptane-2-carboxylate </w:t>
      </w:r>
      <w:r w:rsidRPr="008C69E4">
        <w:rPr>
          <w:rStyle w:val="normaltextrun"/>
          <w:rFonts w:ascii="Arial" w:hAnsi="Arial" w:cs="Arial"/>
          <w:b/>
          <w:bCs/>
          <w:sz w:val="22"/>
          <w:szCs w:val="22"/>
          <w:lang w:val="en-AU"/>
        </w:rPr>
        <w:t>5</w:t>
      </w:r>
      <w:r w:rsidRPr="008C69E4">
        <w:rPr>
          <w:rStyle w:val="normaltextrun"/>
          <w:rFonts w:ascii="Arial" w:hAnsi="Arial" w:cs="Arial"/>
          <w:sz w:val="22"/>
          <w:szCs w:val="22"/>
          <w:lang w:val="en-AU"/>
        </w:rPr>
        <w:t xml:space="preserve"> as colourless oil (quant.), used as such in the next step.</w:t>
      </w:r>
      <w:r w:rsidRPr="008C69E4">
        <w:rPr>
          <w:rStyle w:val="eop"/>
          <w:rFonts w:ascii="Arial" w:hAnsi="Arial" w:cs="Arial"/>
          <w:sz w:val="22"/>
          <w:szCs w:val="22"/>
        </w:rPr>
        <w:t> </w:t>
      </w:r>
    </w:p>
    <w:p w14:paraId="5B718482"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2CF566F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lang w:val="es-ES"/>
        </w:rPr>
        <w:t>Synthesis of intermediate N-(4-(2-azaspiro[3.3]heptan-6-yl)benzyl)-6-chloro-2-ethylimidazo[1,2-a]pyridine-3-carboxamide (</w:t>
      </w:r>
      <w:r w:rsidRPr="008C69E4">
        <w:rPr>
          <w:rStyle w:val="normaltextrun"/>
          <w:rFonts w:ascii="Arial" w:hAnsi="Arial" w:cs="Arial"/>
          <w:b/>
          <w:bCs/>
          <w:i/>
          <w:iCs/>
          <w:sz w:val="22"/>
          <w:szCs w:val="22"/>
          <w:u w:val="single"/>
          <w:lang w:val="es-ES"/>
        </w:rPr>
        <w:t>6</w:t>
      </w:r>
      <w:r w:rsidRPr="008C69E4">
        <w:rPr>
          <w:rStyle w:val="normaltextrun"/>
          <w:rFonts w:ascii="Arial" w:hAnsi="Arial" w:cs="Arial"/>
          <w:i/>
          <w:iCs/>
          <w:sz w:val="22"/>
          <w:szCs w:val="22"/>
          <w:u w:val="single"/>
          <w:lang w:val="es-ES"/>
        </w:rPr>
        <w:t>)</w:t>
      </w:r>
      <w:r w:rsidRPr="008C69E4">
        <w:rPr>
          <w:rStyle w:val="eop"/>
          <w:rFonts w:ascii="Arial" w:hAnsi="Arial" w:cs="Arial"/>
          <w:sz w:val="22"/>
          <w:szCs w:val="22"/>
        </w:rPr>
        <w:t> </w:t>
      </w:r>
    </w:p>
    <w:p w14:paraId="5D7BCF3F"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71CA829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19AE7F59" wp14:editId="56582B4F">
            <wp:extent cx="5400675" cy="1104900"/>
            <wp:effectExtent l="0" t="0" r="9525" b="0"/>
            <wp:docPr id="24" name="Picture 3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3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675" cy="1104900"/>
                    </a:xfrm>
                    <a:prstGeom prst="rect">
                      <a:avLst/>
                    </a:prstGeom>
                    <a:noFill/>
                    <a:ln>
                      <a:noFill/>
                    </a:ln>
                  </pic:spPr>
                </pic:pic>
              </a:graphicData>
            </a:graphic>
          </wp:inline>
        </w:drawing>
      </w:r>
      <w:r w:rsidRPr="008C69E4">
        <w:rPr>
          <w:rStyle w:val="eop"/>
          <w:rFonts w:ascii="Arial" w:hAnsi="Arial" w:cs="Arial"/>
          <w:sz w:val="22"/>
          <w:szCs w:val="22"/>
        </w:rPr>
        <w:t> </w:t>
      </w:r>
    </w:p>
    <w:p w14:paraId="0100F1D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To a solution of intermediate </w:t>
      </w:r>
      <w:r w:rsidRPr="008C69E4">
        <w:rPr>
          <w:rStyle w:val="normaltextrun"/>
          <w:rFonts w:ascii="Arial" w:hAnsi="Arial" w:cs="Arial"/>
          <w:b/>
          <w:bCs/>
          <w:sz w:val="22"/>
          <w:szCs w:val="22"/>
          <w:lang w:val="en-AU"/>
        </w:rPr>
        <w:t>5</w:t>
      </w:r>
      <w:r w:rsidRPr="008C69E4">
        <w:rPr>
          <w:rStyle w:val="normaltextrun"/>
          <w:rFonts w:ascii="Arial" w:hAnsi="Arial" w:cs="Arial"/>
          <w:sz w:val="22"/>
          <w:szCs w:val="22"/>
          <w:lang w:val="en-AU"/>
        </w:rPr>
        <w:t xml:space="preserve"> (0.291 g, 0.572 mmol) in methanol (5.9 mL) was added trimethylchlorosilane (0.37 mL, 2.94 mmol) and the mixture was stirred at room temperature for 16 h. The mixture was evaporated to dryness to give N-(4-(2-azaspiro[3.3]heptan-6-yl)benzyl)-6-chloro-2-ethylimidazo[1,2-a]pyridine-3-carboxamide (6) 0.304 g as a pale yellow foam (quant.).</w:t>
      </w:r>
      <w:r w:rsidRPr="008C69E4">
        <w:rPr>
          <w:rStyle w:val="eop"/>
          <w:rFonts w:ascii="Arial" w:hAnsi="Arial" w:cs="Arial"/>
          <w:sz w:val="22"/>
          <w:szCs w:val="22"/>
        </w:rPr>
        <w:t> </w:t>
      </w:r>
    </w:p>
    <w:p w14:paraId="1C4A78E2"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700C3D4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lang w:val="en-AU"/>
        </w:rPr>
        <w:t>Synthesis of  6-chloro-2-ethyl-N-(4-(2-((trifluoromethyl)sulfonyl)-2-azaspiro[3.3]heptan-6-yl)benzyl)imidazo[1,2-a]pyridine-3-carboxamide (</w:t>
      </w:r>
      <w:r w:rsidRPr="008C69E4">
        <w:rPr>
          <w:rStyle w:val="normaltextrun"/>
          <w:rFonts w:ascii="Arial" w:hAnsi="Arial" w:cs="Arial"/>
          <w:b/>
          <w:bCs/>
          <w:i/>
          <w:iCs/>
          <w:sz w:val="22"/>
          <w:szCs w:val="22"/>
          <w:u w:val="single"/>
          <w:lang w:val="en-AU"/>
        </w:rPr>
        <w:t>JNJ-2901</w:t>
      </w:r>
      <w:r w:rsidRPr="008C69E4">
        <w:rPr>
          <w:rStyle w:val="normaltextrun"/>
          <w:rFonts w:ascii="Arial" w:hAnsi="Arial" w:cs="Arial"/>
          <w:i/>
          <w:iCs/>
          <w:sz w:val="22"/>
          <w:szCs w:val="22"/>
          <w:u w:val="single"/>
          <w:lang w:val="en-AU"/>
        </w:rPr>
        <w:t>)</w:t>
      </w:r>
      <w:r w:rsidRPr="008C69E4">
        <w:rPr>
          <w:rStyle w:val="eop"/>
          <w:rFonts w:ascii="Arial" w:hAnsi="Arial" w:cs="Arial"/>
          <w:sz w:val="22"/>
          <w:szCs w:val="22"/>
        </w:rPr>
        <w:t> </w:t>
      </w:r>
    </w:p>
    <w:p w14:paraId="2097EDEE"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lastRenderedPageBreak/>
        <w:drawing>
          <wp:inline distT="0" distB="0" distL="0" distR="0" wp14:anchorId="0F825576" wp14:editId="16154897">
            <wp:extent cx="5400675" cy="1095375"/>
            <wp:effectExtent l="0" t="0" r="9525" b="0"/>
            <wp:docPr id="25" name="Picture 3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30" descr="A black background with a black square&#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675" cy="1095375"/>
                    </a:xfrm>
                    <a:prstGeom prst="rect">
                      <a:avLst/>
                    </a:prstGeom>
                    <a:noFill/>
                    <a:ln>
                      <a:noFill/>
                    </a:ln>
                  </pic:spPr>
                </pic:pic>
              </a:graphicData>
            </a:graphic>
          </wp:inline>
        </w:drawing>
      </w:r>
      <w:r w:rsidRPr="008C69E4">
        <w:rPr>
          <w:rStyle w:val="eop"/>
          <w:rFonts w:ascii="Arial" w:hAnsi="Arial" w:cs="Arial"/>
          <w:sz w:val="22"/>
          <w:szCs w:val="22"/>
        </w:rPr>
        <w:t> </w:t>
      </w:r>
    </w:p>
    <w:p w14:paraId="7F8F7B94" w14:textId="77777777" w:rsidR="0091686F" w:rsidRDefault="0091686F" w:rsidP="0091686F">
      <w:pPr>
        <w:pStyle w:val="paragraph"/>
        <w:spacing w:before="0" w:beforeAutospacing="0" w:after="0" w:afterAutospacing="0" w:line="360" w:lineRule="auto"/>
        <w:jc w:val="both"/>
        <w:textAlignment w:val="baseline"/>
        <w:rPr>
          <w:rStyle w:val="eop"/>
          <w:rFonts w:ascii="Arial" w:hAnsi="Arial" w:cs="Arial"/>
          <w:sz w:val="22"/>
          <w:szCs w:val="22"/>
        </w:rPr>
      </w:pPr>
      <w:r w:rsidRPr="008C69E4">
        <w:rPr>
          <w:rStyle w:val="normaltextrun"/>
          <w:rFonts w:ascii="Arial" w:hAnsi="Arial" w:cs="Arial"/>
          <w:sz w:val="22"/>
          <w:szCs w:val="22"/>
        </w:rPr>
        <w:t xml:space="preserve">Trifluoromethanesulfonic anhydride (0.12 mL, 0.696 mmol) was added to a solution of intermediate </w:t>
      </w:r>
      <w:r w:rsidRPr="008C69E4">
        <w:rPr>
          <w:rStyle w:val="normaltextrun"/>
          <w:rFonts w:ascii="Arial" w:hAnsi="Arial" w:cs="Arial"/>
          <w:b/>
          <w:bCs/>
          <w:sz w:val="22"/>
          <w:szCs w:val="22"/>
        </w:rPr>
        <w:t>6</w:t>
      </w:r>
      <w:r w:rsidRPr="008C69E4">
        <w:rPr>
          <w:rStyle w:val="normaltextrun"/>
          <w:rFonts w:ascii="Arial" w:hAnsi="Arial" w:cs="Arial"/>
          <w:sz w:val="22"/>
          <w:szCs w:val="22"/>
        </w:rPr>
        <w:t xml:space="preserve"> (155 mg, 0.348 mmol) and DMAP (2.13 mg, 17.4 µmol) in triethylamine (0.39 mL, 2.78 mmol) and DCM (5.3 mL) at 0 °C. The resulting mixture was stirred at 0 °C for 6 h. Water was added and the organic layer was washed with water, dried over MgSO</w:t>
      </w:r>
      <w:r w:rsidRPr="008C69E4">
        <w:rPr>
          <w:rStyle w:val="normaltextrun"/>
          <w:rFonts w:ascii="Arial" w:hAnsi="Arial" w:cs="Arial"/>
          <w:sz w:val="22"/>
          <w:szCs w:val="22"/>
          <w:vertAlign w:val="subscript"/>
        </w:rPr>
        <w:t>4</w:t>
      </w:r>
      <w:r w:rsidRPr="008C69E4">
        <w:rPr>
          <w:rStyle w:val="normaltextrun"/>
          <w:rFonts w:ascii="Arial" w:hAnsi="Arial" w:cs="Arial"/>
          <w:sz w:val="22"/>
          <w:szCs w:val="22"/>
        </w:rPr>
        <w:t>, filtered and evaporated to dryness. The crude product was purified by preparative LC (irregular SiOH, 15-40 µm, 40 g, Grace, dry loading (silica), mobile phase gradient Heptane/EtOAc from 90/10 to 10/90) to obtain 186 mg of a pale yellow solid, which was triturated in heptane and purified by preparative LC (spherical C18 25 µm, 40 g YMC-ODS-25, dry loading (Celite®), mobile phase gradient: 0.2% aq. NH</w:t>
      </w:r>
      <w:r w:rsidRPr="008C69E4">
        <w:rPr>
          <w:rStyle w:val="normaltextrun"/>
          <w:rFonts w:ascii="Arial" w:hAnsi="Arial" w:cs="Arial"/>
          <w:sz w:val="22"/>
          <w:szCs w:val="22"/>
          <w:vertAlign w:val="subscript"/>
        </w:rPr>
        <w:t>4</w:t>
      </w:r>
      <w:r w:rsidRPr="008C69E4">
        <w:rPr>
          <w:rStyle w:val="normaltextrun"/>
          <w:rFonts w:ascii="Arial" w:hAnsi="Arial" w:cs="Arial"/>
          <w:sz w:val="22"/>
          <w:szCs w:val="22"/>
        </w:rPr>
        <w:t>HCO</w:t>
      </w:r>
      <w:r w:rsidRPr="008C69E4">
        <w:rPr>
          <w:rStyle w:val="normaltextrun"/>
          <w:rFonts w:ascii="Arial" w:hAnsi="Arial" w:cs="Arial"/>
          <w:sz w:val="22"/>
          <w:szCs w:val="22"/>
          <w:vertAlign w:val="subscript"/>
        </w:rPr>
        <w:t>3</w:t>
      </w:r>
      <w:r w:rsidRPr="008C69E4">
        <w:rPr>
          <w:rStyle w:val="normaltextrun"/>
          <w:rFonts w:ascii="Arial" w:hAnsi="Arial" w:cs="Arial"/>
          <w:sz w:val="22"/>
          <w:szCs w:val="22"/>
        </w:rPr>
        <w:t>/MeCN from 90/10 to 0/100) to give 0.112 g of 6-chloro-2-ethyl-N-(4-(2-((trifluoromethyl)sulfonyl)-2-azaspiro[3.3]heptan-6-yl)benzyl)imidazo[1,2-a]pyridine-3-carboxamide (</w:t>
      </w:r>
      <w:r w:rsidRPr="00903547">
        <w:rPr>
          <w:rStyle w:val="normaltextrun"/>
          <w:rFonts w:ascii="Arial" w:hAnsi="Arial" w:cs="Arial"/>
          <w:sz w:val="22"/>
          <w:szCs w:val="22"/>
        </w:rPr>
        <w:t>JNJ-2901</w:t>
      </w:r>
      <w:r w:rsidRPr="008C69E4">
        <w:rPr>
          <w:rStyle w:val="normaltextrun"/>
          <w:rFonts w:ascii="Arial" w:hAnsi="Arial" w:cs="Arial"/>
          <w:sz w:val="22"/>
          <w:szCs w:val="22"/>
        </w:rPr>
        <w:t>) as a white solid (59%). 1H NMR (500 MHz, DMSO-d</w:t>
      </w:r>
      <w:r w:rsidRPr="008C69E4">
        <w:rPr>
          <w:rStyle w:val="normaltextrun"/>
          <w:rFonts w:ascii="Arial" w:hAnsi="Arial" w:cs="Arial"/>
          <w:sz w:val="22"/>
          <w:szCs w:val="22"/>
          <w:vertAlign w:val="superscript"/>
        </w:rPr>
        <w:t>6</w:t>
      </w:r>
      <w:r w:rsidRPr="008C69E4">
        <w:rPr>
          <w:rStyle w:val="normaltextrun"/>
          <w:rFonts w:ascii="Arial" w:hAnsi="Arial" w:cs="Arial"/>
          <w:sz w:val="22"/>
          <w:szCs w:val="22"/>
        </w:rPr>
        <w:t xml:space="preserve">) δ ppm 9.07 (dd,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2.1, 0.7 Hz, 1 H) 8.46 (t,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6.1 Hz, 1 H) 7.66 (dd,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9.5, 0.9 Hz, 1 H) 7.45 (dd,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9.5, 2.1 Hz, 1 H) 7.30 (m,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8.1 Hz, 2 H) 7.19 (m,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8.1 Hz, 2 H) 4.49 (d,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5.9 Hz, 2 H) 4.41 (s, 2 H) 4.18 (s, 2 H) 3.34 - 3.39 (m, 1 H) 2.98 (q,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7.5 Hz, 2 H) 2.57 - 2.65 (m, 2 H) 2.28 - 2.35 (m, 2 H) 1.26 (t,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7.5 Hz, 3 H). 13C NMR (125.76 MHz, DMSO-d6) </w:t>
      </w:r>
      <w:r w:rsidRPr="008C69E4">
        <w:rPr>
          <w:rStyle w:val="normaltextrun"/>
          <w:rFonts w:ascii="Arial" w:hAnsi="Arial" w:cs="Arial"/>
          <w:sz w:val="22"/>
          <w:szCs w:val="22"/>
          <w:lang w:val="es-ES"/>
        </w:rPr>
        <w:t>δ</w:t>
      </w:r>
      <w:r w:rsidRPr="008C69E4">
        <w:rPr>
          <w:rStyle w:val="normaltextrun"/>
          <w:rFonts w:ascii="Arial" w:hAnsi="Arial" w:cs="Arial"/>
          <w:sz w:val="22"/>
          <w:szCs w:val="22"/>
        </w:rPr>
        <w:t xml:space="preserve"> ppm 160.99 (s, 1 C) 151.51 (s, 1 C) 143.77 (s, 1 C) 143.30 (s, 1 C) 137.60 (s, 1 C) 127.80 (s, 2 C) 127.52 (s, 1 C) 126.77 (s, 2 C) 125.29 (s, 1 C) 120.13 (s, 1 C) 117.65 (s, 1 C) 120.62 (q, </w:t>
      </w:r>
      <w:r w:rsidRPr="008C69E4">
        <w:rPr>
          <w:rStyle w:val="normaltextrun"/>
          <w:rFonts w:ascii="Arial" w:hAnsi="Arial" w:cs="Arial"/>
          <w:i/>
          <w:iCs/>
          <w:sz w:val="22"/>
          <w:szCs w:val="22"/>
        </w:rPr>
        <w:t>J=</w:t>
      </w:r>
      <w:r w:rsidRPr="008C69E4">
        <w:rPr>
          <w:rStyle w:val="normaltextrun"/>
          <w:rFonts w:ascii="Arial" w:hAnsi="Arial" w:cs="Arial"/>
          <w:sz w:val="22"/>
          <w:szCs w:val="22"/>
        </w:rPr>
        <w:t xml:space="preserve">323.00 Hz, 1 C) 116.20 (s, 1 C) 65.25 (s, 1 C) 63.28 (d, </w:t>
      </w:r>
      <w:r w:rsidRPr="008C69E4">
        <w:rPr>
          <w:rStyle w:val="normaltextrun"/>
          <w:rFonts w:ascii="Arial" w:hAnsi="Arial" w:cs="Arial"/>
          <w:i/>
          <w:iCs/>
          <w:sz w:val="22"/>
          <w:szCs w:val="22"/>
        </w:rPr>
        <w:t>J=</w:t>
      </w:r>
      <w:r w:rsidRPr="008C69E4">
        <w:rPr>
          <w:rStyle w:val="normaltextrun"/>
          <w:rFonts w:ascii="Arial" w:hAnsi="Arial" w:cs="Arial"/>
          <w:sz w:val="22"/>
          <w:szCs w:val="22"/>
        </w:rPr>
        <w:t>4.60 Hz, 1 C) 42.64 (s, 1 C) 39.70 (s, 2 C) 34.29 (s, 1 C) 33.34 (s, 1 C) 22.32 (s, 1 C) 13.54 (s, 1 C).</w:t>
      </w:r>
      <w:r w:rsidRPr="008C69E4">
        <w:rPr>
          <w:rStyle w:val="eop"/>
          <w:rFonts w:ascii="Arial" w:hAnsi="Arial" w:cs="Arial"/>
          <w:sz w:val="22"/>
          <w:szCs w:val="22"/>
        </w:rPr>
        <w:t> </w:t>
      </w:r>
    </w:p>
    <w:p w14:paraId="3E84DED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p>
    <w:p w14:paraId="0A65C489" w14:textId="77777777" w:rsidR="0091686F" w:rsidRDefault="0091686F" w:rsidP="0091686F">
      <w:pPr>
        <w:pStyle w:val="paragraph"/>
        <w:spacing w:before="0" w:beforeAutospacing="0" w:after="0" w:afterAutospacing="0" w:line="360" w:lineRule="auto"/>
        <w:jc w:val="both"/>
        <w:textAlignment w:val="baseline"/>
        <w:rPr>
          <w:rStyle w:val="eop"/>
          <w:rFonts w:ascii="Arial" w:hAnsi="Arial" w:cs="Arial"/>
          <w:sz w:val="22"/>
          <w:szCs w:val="22"/>
        </w:rPr>
      </w:pPr>
      <w:r w:rsidRPr="008C69E4">
        <w:rPr>
          <w:rStyle w:val="normaltextrun"/>
          <w:rFonts w:ascii="Arial" w:hAnsi="Arial" w:cs="Arial"/>
          <w:b/>
          <w:bCs/>
          <w:sz w:val="22"/>
          <w:szCs w:val="22"/>
        </w:rPr>
        <w:t>General scheme for the synthesis of compound J</w:t>
      </w:r>
      <w:r>
        <w:rPr>
          <w:rStyle w:val="normaltextrun"/>
          <w:rFonts w:ascii="Arial" w:hAnsi="Arial" w:cs="Arial"/>
          <w:b/>
          <w:bCs/>
          <w:sz w:val="22"/>
          <w:szCs w:val="22"/>
        </w:rPr>
        <w:t>N</w:t>
      </w:r>
      <w:r w:rsidRPr="008C69E4">
        <w:rPr>
          <w:rStyle w:val="normaltextrun"/>
          <w:rFonts w:ascii="Arial" w:hAnsi="Arial" w:cs="Arial"/>
          <w:b/>
          <w:bCs/>
          <w:sz w:val="22"/>
          <w:szCs w:val="22"/>
        </w:rPr>
        <w:t>J-4052</w:t>
      </w:r>
      <w:r w:rsidRPr="008C69E4">
        <w:rPr>
          <w:rStyle w:val="eop"/>
          <w:rFonts w:ascii="Arial" w:hAnsi="Arial" w:cs="Arial"/>
          <w:sz w:val="22"/>
          <w:szCs w:val="22"/>
        </w:rPr>
        <w:t> </w:t>
      </w:r>
    </w:p>
    <w:p w14:paraId="7D317ADB"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p>
    <w:p w14:paraId="6E432183"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2069857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lastRenderedPageBreak/>
        <w:drawing>
          <wp:inline distT="0" distB="0" distL="0" distR="0" wp14:anchorId="498E8F96" wp14:editId="7D275950">
            <wp:extent cx="5400675" cy="2505075"/>
            <wp:effectExtent l="0" t="0" r="9525" b="9525"/>
            <wp:docPr id="26" name="Picture 2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9" descr="A black background with a black square&#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675" cy="2505075"/>
                    </a:xfrm>
                    <a:prstGeom prst="rect">
                      <a:avLst/>
                    </a:prstGeom>
                    <a:noFill/>
                    <a:ln>
                      <a:noFill/>
                    </a:ln>
                  </pic:spPr>
                </pic:pic>
              </a:graphicData>
            </a:graphic>
          </wp:inline>
        </w:drawing>
      </w:r>
      <w:r w:rsidRPr="008C69E4">
        <w:rPr>
          <w:rStyle w:val="eop"/>
          <w:rFonts w:ascii="Arial" w:hAnsi="Arial" w:cs="Arial"/>
          <w:sz w:val="22"/>
          <w:szCs w:val="22"/>
        </w:rPr>
        <w:t> </w:t>
      </w:r>
    </w:p>
    <w:p w14:paraId="0B320F3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1A7E2A1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(2-((4-cyano-2-fluorophenyl)amino)ethyl)carbamate (</w:t>
      </w:r>
      <w:r w:rsidRPr="008C69E4">
        <w:rPr>
          <w:rStyle w:val="normaltextrun"/>
          <w:rFonts w:ascii="Arial" w:hAnsi="Arial" w:cs="Arial"/>
          <w:b/>
          <w:bCs/>
          <w:i/>
          <w:iCs/>
          <w:sz w:val="22"/>
          <w:szCs w:val="22"/>
          <w:u w:val="single"/>
        </w:rPr>
        <w:t>8</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752172EB"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699A3A83" wp14:editId="5CC39585">
            <wp:extent cx="3886200" cy="914400"/>
            <wp:effectExtent l="0" t="0" r="0" b="0"/>
            <wp:docPr id="27" name="Picture 2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8" descr="A black background with a black square&#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6200" cy="914400"/>
                    </a:xfrm>
                    <a:prstGeom prst="rect">
                      <a:avLst/>
                    </a:prstGeom>
                    <a:noFill/>
                    <a:ln>
                      <a:noFill/>
                    </a:ln>
                  </pic:spPr>
                </pic:pic>
              </a:graphicData>
            </a:graphic>
          </wp:inline>
        </w:drawing>
      </w:r>
      <w:r w:rsidRPr="008C69E4">
        <w:rPr>
          <w:rStyle w:val="eop"/>
          <w:rFonts w:ascii="Arial" w:hAnsi="Arial" w:cs="Arial"/>
          <w:sz w:val="22"/>
          <w:szCs w:val="22"/>
        </w:rPr>
        <w:t> </w:t>
      </w:r>
    </w:p>
    <w:p w14:paraId="1F4294EA"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A mixture of 3,4-difluorobenzonitrile (3.67 g, 26.4 mmol), N-Boc-1,2-diaminoethane (5.50 g, 34.3 mmol) and Et</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N (14.7 mL, 105 mmol) in DMSO (47 mL) was stirred at 120 °C for 2 h. The reaction mixture was cooled down and diluted with EtOAc and water. The layers were separated, and the aqueous phase was extracted with EtOAc (twice). The combined organic layers were washed with brine (3 times),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and evaporated in vacuo. The residue was purified by preparative LC (irregular SiOH 15-40 µm, 80 g, liquid injection (DCM), mobile phase: heptane/EtOAc, gradient from 100:0 to 50:50) to give 5.02 g of intermediate tert-butyl (2-((4-cyano-2-fluorophenyl)amino)ethyl) carbamate (</w:t>
      </w:r>
      <w:r w:rsidRPr="008C69E4">
        <w:rPr>
          <w:rStyle w:val="normaltextrun"/>
          <w:rFonts w:ascii="Arial" w:hAnsi="Arial" w:cs="Arial"/>
          <w:b/>
          <w:bCs/>
          <w:sz w:val="22"/>
          <w:szCs w:val="22"/>
          <w:lang w:val="en-AU"/>
        </w:rPr>
        <w:t>8</w:t>
      </w:r>
      <w:r w:rsidRPr="008C69E4">
        <w:rPr>
          <w:rStyle w:val="normaltextrun"/>
          <w:rFonts w:ascii="Arial" w:hAnsi="Arial" w:cs="Arial"/>
          <w:sz w:val="22"/>
          <w:szCs w:val="22"/>
          <w:lang w:val="en-AU"/>
        </w:rPr>
        <w:t>) as a white solid (68%). </w:t>
      </w:r>
      <w:r w:rsidRPr="008C69E4">
        <w:rPr>
          <w:rStyle w:val="eop"/>
          <w:rFonts w:ascii="Arial" w:hAnsi="Arial" w:cs="Arial"/>
          <w:sz w:val="22"/>
          <w:szCs w:val="22"/>
        </w:rPr>
        <w:t> </w:t>
      </w:r>
    </w:p>
    <w:p w14:paraId="58578C14"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31A5C883"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(2-((4-(aminomethyl)-2-fluorophenyl)amino)ethyl) carbamate (</w:t>
      </w:r>
      <w:r w:rsidRPr="008C69E4">
        <w:rPr>
          <w:rStyle w:val="normaltextrun"/>
          <w:rFonts w:ascii="Arial" w:hAnsi="Arial" w:cs="Arial"/>
          <w:b/>
          <w:bCs/>
          <w:i/>
          <w:iCs/>
          <w:sz w:val="22"/>
          <w:szCs w:val="22"/>
          <w:u w:val="single"/>
        </w:rPr>
        <w:t>9</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400A1CFC"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564BF8AA" wp14:editId="3B8F7A6F">
            <wp:extent cx="4572000" cy="904875"/>
            <wp:effectExtent l="0" t="0" r="0" b="0"/>
            <wp:docPr id="28" name="Picture 2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descr="A black background with a black square&#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0" cy="904875"/>
                    </a:xfrm>
                    <a:prstGeom prst="rect">
                      <a:avLst/>
                    </a:prstGeom>
                    <a:noFill/>
                    <a:ln>
                      <a:noFill/>
                    </a:ln>
                  </pic:spPr>
                </pic:pic>
              </a:graphicData>
            </a:graphic>
          </wp:inline>
        </w:drawing>
      </w:r>
      <w:r w:rsidRPr="008C69E4">
        <w:rPr>
          <w:rStyle w:val="eop"/>
          <w:rFonts w:ascii="Arial" w:hAnsi="Arial" w:cs="Arial"/>
          <w:sz w:val="22"/>
          <w:szCs w:val="22"/>
        </w:rPr>
        <w:t> </w:t>
      </w:r>
    </w:p>
    <w:p w14:paraId="5F06CFC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In an autoclave, to a solution of intermediate </w:t>
      </w:r>
      <w:r w:rsidRPr="008C69E4">
        <w:rPr>
          <w:rStyle w:val="normaltextrun"/>
          <w:rFonts w:ascii="Arial" w:hAnsi="Arial" w:cs="Arial"/>
          <w:b/>
          <w:bCs/>
          <w:sz w:val="22"/>
          <w:szCs w:val="22"/>
          <w:lang w:val="en-AU"/>
        </w:rPr>
        <w:t>8</w:t>
      </w:r>
      <w:r w:rsidRPr="008C69E4">
        <w:rPr>
          <w:rStyle w:val="normaltextrun"/>
          <w:rFonts w:ascii="Arial" w:hAnsi="Arial" w:cs="Arial"/>
          <w:sz w:val="22"/>
          <w:szCs w:val="22"/>
          <w:lang w:val="en-AU"/>
        </w:rPr>
        <w:t xml:space="preserve"> (2.00 g, 7.16 mmol) in a 7M solution of NH</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in MeOH (70 mL), purged with nitrogen, was added Raney-Nickel (3.39 g, 57.7 mmol). The reaction mixture was hydrogenated under 7 bars at room temperature for 2 h. The mixture was </w:t>
      </w:r>
      <w:r w:rsidRPr="008C69E4">
        <w:rPr>
          <w:rStyle w:val="normaltextrun"/>
          <w:rFonts w:ascii="Arial" w:hAnsi="Arial" w:cs="Arial"/>
          <w:sz w:val="22"/>
          <w:szCs w:val="22"/>
          <w:lang w:val="en-AU"/>
        </w:rPr>
        <w:lastRenderedPageBreak/>
        <w:t>filtered through a pad of Celite® and rinsed with MeOH. The filtrate was concentrated in vacuo to give 2.11 g of intermediate tert-butyl (2-((4-(aminomethyl)-2-fluorophenyl)amino)ethyl) carbamate (</w:t>
      </w:r>
      <w:r w:rsidRPr="008C69E4">
        <w:rPr>
          <w:rStyle w:val="normaltextrun"/>
          <w:rFonts w:ascii="Arial" w:hAnsi="Arial" w:cs="Arial"/>
          <w:b/>
          <w:bCs/>
          <w:sz w:val="22"/>
          <w:szCs w:val="22"/>
          <w:lang w:val="en-AU"/>
        </w:rPr>
        <w:t>9</w:t>
      </w:r>
      <w:r w:rsidRPr="008C69E4">
        <w:rPr>
          <w:rStyle w:val="normaltextrun"/>
          <w:rFonts w:ascii="Arial" w:hAnsi="Arial" w:cs="Arial"/>
          <w:sz w:val="22"/>
          <w:szCs w:val="22"/>
          <w:lang w:val="en-AU"/>
        </w:rPr>
        <w:t>) as a white solid (Quant.).</w:t>
      </w:r>
      <w:r w:rsidRPr="008C69E4">
        <w:rPr>
          <w:rStyle w:val="eop"/>
          <w:rFonts w:ascii="Arial" w:hAnsi="Arial" w:cs="Arial"/>
          <w:sz w:val="22"/>
          <w:szCs w:val="22"/>
        </w:rPr>
        <w:t> </w:t>
      </w:r>
    </w:p>
    <w:p w14:paraId="235D01A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4214EB50"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(2-((4-((((benzyloxy)carbonyl)amino)methyl)-2-fluorophenyl)amino)ethyl)carbamate (</w:t>
      </w:r>
      <w:r w:rsidRPr="008C69E4">
        <w:rPr>
          <w:rStyle w:val="normaltextrun"/>
          <w:rFonts w:ascii="Arial" w:hAnsi="Arial" w:cs="Arial"/>
          <w:b/>
          <w:bCs/>
          <w:i/>
          <w:iCs/>
          <w:sz w:val="22"/>
          <w:szCs w:val="22"/>
          <w:u w:val="single"/>
        </w:rPr>
        <w:t>10</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379423C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0A58C4A7" wp14:editId="0A7CE35C">
            <wp:extent cx="4781550" cy="952500"/>
            <wp:effectExtent l="0" t="0" r="0" b="0"/>
            <wp:docPr id="29" name="Picture 2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6" descr="A black background with a black square&#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81550" cy="952500"/>
                    </a:xfrm>
                    <a:prstGeom prst="rect">
                      <a:avLst/>
                    </a:prstGeom>
                    <a:noFill/>
                    <a:ln>
                      <a:noFill/>
                    </a:ln>
                  </pic:spPr>
                </pic:pic>
              </a:graphicData>
            </a:graphic>
          </wp:inline>
        </w:drawing>
      </w:r>
      <w:r w:rsidRPr="008C69E4">
        <w:rPr>
          <w:rStyle w:val="eop"/>
          <w:rFonts w:ascii="Arial" w:hAnsi="Arial" w:cs="Arial"/>
          <w:sz w:val="22"/>
          <w:szCs w:val="22"/>
        </w:rPr>
        <w:t> </w:t>
      </w:r>
    </w:p>
    <w:p w14:paraId="492D0FE3"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Under N</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 xml:space="preserve"> at 0°C, benzylchloroformate (1.06 mL, 7.41 mmol) was added dropwise over 10 min to a mixture of intermediate </w:t>
      </w:r>
      <w:r w:rsidRPr="008C69E4">
        <w:rPr>
          <w:rStyle w:val="normaltextrun"/>
          <w:rFonts w:ascii="Arial" w:hAnsi="Arial" w:cs="Arial"/>
          <w:b/>
          <w:bCs/>
          <w:sz w:val="22"/>
          <w:szCs w:val="22"/>
          <w:lang w:val="en-AU"/>
        </w:rPr>
        <w:t>9</w:t>
      </w:r>
      <w:r w:rsidRPr="008C69E4">
        <w:rPr>
          <w:rStyle w:val="normaltextrun"/>
          <w:rFonts w:ascii="Arial" w:hAnsi="Arial" w:cs="Arial"/>
          <w:sz w:val="22"/>
          <w:szCs w:val="22"/>
          <w:lang w:val="en-AU"/>
        </w:rPr>
        <w:t xml:space="preserve"> (2 g, 7.06 mmol) and DIPEA (1.40 mL, 8.12 mmol) in DCM (26 mL). The reaction mixture was stirred at 0 ºC for 1h. Then water was added, and the reaction mixture was stirred at room temperature for 10 min. The organic layer was separated, and the aqueous layer was extracted with DCM (once). The combined organic extracts were washed with NaHCO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(sat., aq.),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and the solvent was removed under reduced pressure to give 2.53 g of intermediate tert-butyl (2-((4-((((benzyloxy)carbonyl)amino)methyl)-2-fluorophenyl)amino)ethyl)carbamate (</w:t>
      </w:r>
      <w:r w:rsidRPr="008C69E4">
        <w:rPr>
          <w:rStyle w:val="normaltextrun"/>
          <w:rFonts w:ascii="Arial" w:hAnsi="Arial" w:cs="Arial"/>
          <w:b/>
          <w:bCs/>
          <w:sz w:val="22"/>
          <w:szCs w:val="22"/>
          <w:lang w:val="en-AU"/>
        </w:rPr>
        <w:t>10</w:t>
      </w:r>
      <w:r w:rsidRPr="008C69E4">
        <w:rPr>
          <w:rStyle w:val="normaltextrun"/>
          <w:rFonts w:ascii="Arial" w:hAnsi="Arial" w:cs="Arial"/>
          <w:sz w:val="22"/>
          <w:szCs w:val="22"/>
          <w:lang w:val="en-AU"/>
        </w:rPr>
        <w:t>) as an off-white solid (86%). </w:t>
      </w:r>
      <w:r w:rsidRPr="008C69E4">
        <w:rPr>
          <w:rStyle w:val="eop"/>
          <w:rFonts w:ascii="Arial" w:hAnsi="Arial" w:cs="Arial"/>
          <w:sz w:val="22"/>
          <w:szCs w:val="22"/>
        </w:rPr>
        <w:t> </w:t>
      </w:r>
    </w:p>
    <w:p w14:paraId="60C750B4"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596FF00B"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(2-((4-((((benzyloxy)carbonyl)amino)methyl)-2-fluorophenyl)(nitroso)amino)ethyl)carbamate (</w:t>
      </w:r>
      <w:r w:rsidRPr="008C69E4">
        <w:rPr>
          <w:rStyle w:val="normaltextrun"/>
          <w:rFonts w:ascii="Arial" w:hAnsi="Arial" w:cs="Arial"/>
          <w:b/>
          <w:bCs/>
          <w:i/>
          <w:iCs/>
          <w:sz w:val="22"/>
          <w:szCs w:val="22"/>
          <w:u w:val="single"/>
        </w:rPr>
        <w:t>11</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3658A9FE"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742AE5BC" wp14:editId="2CBC48AC">
            <wp:extent cx="5210175" cy="923925"/>
            <wp:effectExtent l="0" t="0" r="9525" b="0"/>
            <wp:docPr id="30" name="Picture 2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5" descr="A black background with a black square&#10;&#10;Description automatically generated with medium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0175" cy="923925"/>
                    </a:xfrm>
                    <a:prstGeom prst="rect">
                      <a:avLst/>
                    </a:prstGeom>
                    <a:noFill/>
                    <a:ln>
                      <a:noFill/>
                    </a:ln>
                  </pic:spPr>
                </pic:pic>
              </a:graphicData>
            </a:graphic>
          </wp:inline>
        </w:drawing>
      </w:r>
      <w:r w:rsidRPr="008C69E4">
        <w:rPr>
          <w:rStyle w:val="eop"/>
          <w:rFonts w:ascii="Arial" w:hAnsi="Arial" w:cs="Arial"/>
          <w:sz w:val="22"/>
          <w:szCs w:val="22"/>
        </w:rPr>
        <w:t> </w:t>
      </w:r>
    </w:p>
    <w:p w14:paraId="027E408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Intermediate </w:t>
      </w:r>
      <w:r w:rsidRPr="008C69E4">
        <w:rPr>
          <w:rStyle w:val="normaltextrun"/>
          <w:rFonts w:ascii="Arial" w:hAnsi="Arial" w:cs="Arial"/>
          <w:b/>
          <w:bCs/>
          <w:sz w:val="22"/>
          <w:szCs w:val="22"/>
          <w:lang w:val="en-AU"/>
        </w:rPr>
        <w:t>10</w:t>
      </w:r>
      <w:r w:rsidRPr="008C69E4">
        <w:rPr>
          <w:rStyle w:val="normaltextrun"/>
          <w:rFonts w:ascii="Arial" w:hAnsi="Arial" w:cs="Arial"/>
          <w:sz w:val="22"/>
          <w:szCs w:val="22"/>
          <w:lang w:val="en-AU"/>
        </w:rPr>
        <w:t xml:space="preserve"> (2.53 g, 6.06 mmol) was solubilized at 40 °C in Me-THF (46 mL) and AcOH (3.5 mL). Isopentylnitrite (4.07 mL, 30.3 mmol) was added dropwise, and the reaction mixture was stirred at 40 °C for 2 h. The solution was diluted with EtOAc and NaHCO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(sat., aq.). The layers were separated, and the organic phase was,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xml:space="preserve"> and evaporated in vacuo to give 3.2 g of intermediate tert-butyl (2-((4-((((benzyloxy) carbonyl)amino)methyl)-2-fluorophenyl)(nitroso)amino)ethyl)carbamate (</w:t>
      </w:r>
      <w:r w:rsidRPr="008C69E4">
        <w:rPr>
          <w:rStyle w:val="normaltextrun"/>
          <w:rFonts w:ascii="Arial" w:hAnsi="Arial" w:cs="Arial"/>
          <w:b/>
          <w:bCs/>
          <w:sz w:val="22"/>
          <w:szCs w:val="22"/>
          <w:lang w:val="en-AU"/>
        </w:rPr>
        <w:t>11</w:t>
      </w:r>
      <w:r w:rsidRPr="008C69E4">
        <w:rPr>
          <w:rStyle w:val="normaltextrun"/>
          <w:rFonts w:ascii="Arial" w:hAnsi="Arial" w:cs="Arial"/>
          <w:sz w:val="22"/>
          <w:szCs w:val="22"/>
          <w:lang w:val="en-AU"/>
        </w:rPr>
        <w:t>) as a yellow oil used in next step without any further purification.</w:t>
      </w:r>
      <w:r w:rsidRPr="008C69E4">
        <w:rPr>
          <w:rStyle w:val="eop"/>
          <w:rFonts w:ascii="Arial" w:hAnsi="Arial" w:cs="Arial"/>
          <w:sz w:val="22"/>
          <w:szCs w:val="22"/>
        </w:rPr>
        <w:t> </w:t>
      </w:r>
    </w:p>
    <w:p w14:paraId="407D566D"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23696AF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tert-butyl (2-(1-(4-((((benzyloxy)carbonyl)amino)methyl)-2-fluorophenyl)hydrazineyl)ethyl)carbamate (</w:t>
      </w:r>
      <w:r w:rsidRPr="008C69E4">
        <w:rPr>
          <w:rStyle w:val="normaltextrun"/>
          <w:rFonts w:ascii="Arial" w:hAnsi="Arial" w:cs="Arial"/>
          <w:b/>
          <w:bCs/>
          <w:i/>
          <w:iCs/>
          <w:sz w:val="22"/>
          <w:szCs w:val="22"/>
          <w:u w:val="single"/>
        </w:rPr>
        <w:t>12</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1E396EA2"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lastRenderedPageBreak/>
        <w:drawing>
          <wp:inline distT="0" distB="0" distL="0" distR="0" wp14:anchorId="4E3CAD33" wp14:editId="08CD58A5">
            <wp:extent cx="4581525" cy="828675"/>
            <wp:effectExtent l="0" t="0" r="9525" b="0"/>
            <wp:docPr id="31" name="Picture 2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4" descr="A black background with a black square&#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81525" cy="828675"/>
                    </a:xfrm>
                    <a:prstGeom prst="rect">
                      <a:avLst/>
                    </a:prstGeom>
                    <a:noFill/>
                    <a:ln>
                      <a:noFill/>
                    </a:ln>
                  </pic:spPr>
                </pic:pic>
              </a:graphicData>
            </a:graphic>
          </wp:inline>
        </w:drawing>
      </w:r>
      <w:r w:rsidRPr="008C69E4">
        <w:rPr>
          <w:rStyle w:val="eop"/>
          <w:rFonts w:ascii="Arial" w:hAnsi="Arial" w:cs="Arial"/>
          <w:sz w:val="22"/>
          <w:szCs w:val="22"/>
        </w:rPr>
        <w:t> </w:t>
      </w:r>
    </w:p>
    <w:p w14:paraId="1C55FBB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A solution of intermediate </w:t>
      </w:r>
      <w:r w:rsidRPr="008C69E4">
        <w:rPr>
          <w:rStyle w:val="normaltextrun"/>
          <w:rFonts w:ascii="Arial" w:hAnsi="Arial" w:cs="Arial"/>
          <w:b/>
          <w:bCs/>
          <w:sz w:val="22"/>
          <w:szCs w:val="22"/>
          <w:lang w:val="en-AU"/>
        </w:rPr>
        <w:t>11</w:t>
      </w:r>
      <w:r w:rsidRPr="008C69E4">
        <w:rPr>
          <w:rStyle w:val="normaltextrun"/>
          <w:rFonts w:ascii="Arial" w:hAnsi="Arial" w:cs="Arial"/>
          <w:sz w:val="22"/>
          <w:szCs w:val="22"/>
          <w:lang w:val="en-AU"/>
        </w:rPr>
        <w:t xml:space="preserve"> (6.06 mmol theoretical) in THF (61 mL) and MeOH (39 mL) was treated with NaOH (1M, aq., 29 mL). Thiourea dioxide (formamidinesulfonic acid) (3.28 g, 30.3 mmol) was then added, and the reaction mixture was stirred at 50 °C for 1.5 h. The reaction mixture was diluted with EtOAc and K</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(10%, aq.) was added. The layers were separated. The aqueous layer was extracted with EtOAc (once)). The combined organic layers were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and evaporated in vacuo.  The crude (m= 3.46 g) was purified by preparative LC (irregular SiOH, 40 mm, 40 g, mobile phase gradient: Heptane/EtOAc 90/10 to 20/80). The fractions containing product were combined and evaporated under vacuum to give 2.22 g of intermediate of intermediate tert-butyl (2-(1-(4-((((benzyloxy)carbonyl)amino)methyl)-2-fluorophenyl)hydrazineyl)ethyl) carbamate (</w:t>
      </w:r>
      <w:r w:rsidRPr="008C69E4">
        <w:rPr>
          <w:rStyle w:val="normaltextrun"/>
          <w:rFonts w:ascii="Arial" w:hAnsi="Arial" w:cs="Arial"/>
          <w:b/>
          <w:bCs/>
          <w:sz w:val="22"/>
          <w:szCs w:val="22"/>
          <w:lang w:val="en-AU"/>
        </w:rPr>
        <w:t>12</w:t>
      </w:r>
      <w:r w:rsidRPr="008C69E4">
        <w:rPr>
          <w:rStyle w:val="normaltextrun"/>
          <w:rFonts w:ascii="Arial" w:hAnsi="Arial" w:cs="Arial"/>
          <w:sz w:val="22"/>
          <w:szCs w:val="22"/>
          <w:lang w:val="en-AU"/>
        </w:rPr>
        <w:t>) as a yellow oil (84 % over two steps).</w:t>
      </w:r>
      <w:r w:rsidRPr="008C69E4">
        <w:rPr>
          <w:rStyle w:val="eop"/>
          <w:rFonts w:ascii="Arial" w:hAnsi="Arial" w:cs="Arial"/>
          <w:sz w:val="22"/>
          <w:szCs w:val="22"/>
        </w:rPr>
        <w:t> </w:t>
      </w:r>
    </w:p>
    <w:p w14:paraId="29A6848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74372234"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benzyl (4-(1-(2-aminoethyl)hydrazineyl)-3-fluorobenzyl) carbamate (</w:t>
      </w:r>
      <w:r w:rsidRPr="008C69E4">
        <w:rPr>
          <w:rStyle w:val="normaltextrun"/>
          <w:rFonts w:ascii="Arial" w:hAnsi="Arial" w:cs="Arial"/>
          <w:b/>
          <w:bCs/>
          <w:i/>
          <w:iCs/>
          <w:sz w:val="22"/>
          <w:szCs w:val="22"/>
          <w:u w:val="single"/>
        </w:rPr>
        <w:t>13</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02282C1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48CE609F" wp14:editId="305D93D2">
            <wp:extent cx="4800600" cy="895350"/>
            <wp:effectExtent l="0" t="0" r="0" b="0"/>
            <wp:docPr id="32" name="Picture 2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23" descr="A black background with a black square&#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00600" cy="895350"/>
                    </a:xfrm>
                    <a:prstGeom prst="rect">
                      <a:avLst/>
                    </a:prstGeom>
                    <a:noFill/>
                    <a:ln>
                      <a:noFill/>
                    </a:ln>
                  </pic:spPr>
                </pic:pic>
              </a:graphicData>
            </a:graphic>
          </wp:inline>
        </w:drawing>
      </w:r>
      <w:r w:rsidRPr="008C69E4">
        <w:rPr>
          <w:rStyle w:val="eop"/>
          <w:rFonts w:ascii="Arial" w:hAnsi="Arial" w:cs="Arial"/>
          <w:sz w:val="22"/>
          <w:szCs w:val="22"/>
        </w:rPr>
        <w:t> </w:t>
      </w:r>
    </w:p>
    <w:p w14:paraId="5A2F2F5D"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To a solution of intermediate </w:t>
      </w:r>
      <w:r w:rsidRPr="008C69E4">
        <w:rPr>
          <w:rStyle w:val="normaltextrun"/>
          <w:rFonts w:ascii="Arial" w:hAnsi="Arial" w:cs="Arial"/>
          <w:b/>
          <w:bCs/>
          <w:sz w:val="22"/>
          <w:szCs w:val="22"/>
          <w:lang w:val="en-AU"/>
        </w:rPr>
        <w:t>12</w:t>
      </w:r>
      <w:r w:rsidRPr="008C69E4">
        <w:rPr>
          <w:rStyle w:val="normaltextrun"/>
          <w:rFonts w:ascii="Arial" w:hAnsi="Arial" w:cs="Arial"/>
          <w:sz w:val="22"/>
          <w:szCs w:val="22"/>
          <w:lang w:val="en-AU"/>
        </w:rPr>
        <w:t xml:space="preserve"> (2.22 g, 5.13 mmol) in MeOH (52 mL) was added dropwise TMSCl (5.2 mL, 41 mmol). The reaction mixture was stirred at room temperature for 20 </w:t>
      </w:r>
      <w:r w:rsidRPr="156CA25C">
        <w:rPr>
          <w:rStyle w:val="normaltextrun"/>
          <w:rFonts w:ascii="Arial" w:hAnsi="Arial" w:cs="Arial"/>
          <w:sz w:val="22"/>
          <w:szCs w:val="22"/>
          <w:lang w:val="en-AU"/>
        </w:rPr>
        <w:t>hours</w:t>
      </w:r>
      <w:r w:rsidRPr="008C69E4">
        <w:rPr>
          <w:rStyle w:val="normaltextrun"/>
          <w:rFonts w:ascii="Arial" w:hAnsi="Arial" w:cs="Arial"/>
          <w:sz w:val="22"/>
          <w:szCs w:val="22"/>
          <w:lang w:val="en-AU"/>
        </w:rPr>
        <w:t xml:space="preserve"> and concentrated in vacuo. Et</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O was added to the residue and the gum was triturated. The solvent was removed under reduced pressure to give 2.06 g of intermediate benzyl (4-(1-(2-aminoethyl)hydrazineyl)-3-fluorobenzyl) carbamate (</w:t>
      </w:r>
      <w:r w:rsidRPr="008C69E4">
        <w:rPr>
          <w:rStyle w:val="normaltextrun"/>
          <w:rFonts w:ascii="Arial" w:hAnsi="Arial" w:cs="Arial"/>
          <w:b/>
          <w:bCs/>
          <w:sz w:val="22"/>
          <w:szCs w:val="22"/>
          <w:lang w:val="en-AU"/>
        </w:rPr>
        <w:t>13</w:t>
      </w:r>
      <w:r w:rsidRPr="008C69E4">
        <w:rPr>
          <w:rStyle w:val="normaltextrun"/>
          <w:rFonts w:ascii="Arial" w:hAnsi="Arial" w:cs="Arial"/>
          <w:sz w:val="22"/>
          <w:szCs w:val="22"/>
          <w:lang w:val="en-AU"/>
        </w:rPr>
        <w:t>) as a pale green solid (99%).</w:t>
      </w:r>
      <w:r w:rsidRPr="008C69E4">
        <w:rPr>
          <w:rStyle w:val="eop"/>
          <w:rFonts w:ascii="Arial" w:hAnsi="Arial" w:cs="Arial"/>
          <w:sz w:val="22"/>
          <w:szCs w:val="22"/>
        </w:rPr>
        <w:t> </w:t>
      </w:r>
    </w:p>
    <w:p w14:paraId="5F38DC8D"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2371EEEE"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benzyl (4-(5,6-dihydro-1,2,4-triazin-1(4H)-yl)-3-fluorobenzyl) carbamate (</w:t>
      </w:r>
      <w:r w:rsidRPr="008C69E4">
        <w:rPr>
          <w:rStyle w:val="normaltextrun"/>
          <w:rFonts w:ascii="Arial" w:hAnsi="Arial" w:cs="Arial"/>
          <w:b/>
          <w:bCs/>
          <w:i/>
          <w:iCs/>
          <w:sz w:val="22"/>
          <w:szCs w:val="22"/>
          <w:u w:val="single"/>
        </w:rPr>
        <w:t>14</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64E7F4E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10FCB3E3" wp14:editId="498DC1B6">
            <wp:extent cx="5076825" cy="904875"/>
            <wp:effectExtent l="0" t="0" r="9525" b="0"/>
            <wp:docPr id="33" name="Picture 2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22" descr="A black background with a black square&#10;&#10;Description automatically generated with medium confidenc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76825" cy="904875"/>
                    </a:xfrm>
                    <a:prstGeom prst="rect">
                      <a:avLst/>
                    </a:prstGeom>
                    <a:noFill/>
                    <a:ln>
                      <a:noFill/>
                    </a:ln>
                  </pic:spPr>
                </pic:pic>
              </a:graphicData>
            </a:graphic>
          </wp:inline>
        </w:drawing>
      </w:r>
      <w:r w:rsidRPr="008C69E4">
        <w:rPr>
          <w:rStyle w:val="eop"/>
          <w:rFonts w:ascii="Arial" w:hAnsi="Arial" w:cs="Arial"/>
          <w:sz w:val="22"/>
          <w:szCs w:val="22"/>
        </w:rPr>
        <w:t> </w:t>
      </w:r>
    </w:p>
    <w:p w14:paraId="31AB36F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A solution of intermediate </w:t>
      </w:r>
      <w:r w:rsidRPr="008C69E4">
        <w:rPr>
          <w:rStyle w:val="normaltextrun"/>
          <w:rFonts w:ascii="Arial" w:hAnsi="Arial" w:cs="Arial"/>
          <w:b/>
          <w:bCs/>
          <w:sz w:val="22"/>
          <w:szCs w:val="22"/>
          <w:lang w:val="en-AU"/>
        </w:rPr>
        <w:t>13</w:t>
      </w:r>
      <w:r w:rsidRPr="008C69E4">
        <w:rPr>
          <w:rStyle w:val="normaltextrun"/>
          <w:rFonts w:ascii="Arial" w:hAnsi="Arial" w:cs="Arial"/>
          <w:sz w:val="22"/>
          <w:szCs w:val="22"/>
          <w:lang w:val="en-AU"/>
        </w:rPr>
        <w:t xml:space="preserve"> (19.6 g, 48.4 mmol) and Trimethylorthoformate (15.9 mL, 145 mmol) in HFIP (490 mL) was stirred at 60 °C for 45 min. The reaction mixture was evaporated. The residue was diluted in DCM and a 10 % aq. solution of K</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was added. The aqueous </w:t>
      </w:r>
      <w:r w:rsidRPr="008C69E4">
        <w:rPr>
          <w:rStyle w:val="normaltextrun"/>
          <w:rFonts w:ascii="Arial" w:hAnsi="Arial" w:cs="Arial"/>
          <w:sz w:val="22"/>
          <w:szCs w:val="22"/>
          <w:lang w:val="en-AU"/>
        </w:rPr>
        <w:lastRenderedPageBreak/>
        <w:t>layer was extracted twice with DCM/MeOH (95/5). 20 The combined organic layers were dried on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off and evaporated. The crude (m=25.6 g) was purified by preparative LC (regular SiOH 30 pm, 330 g, dry loading (celite®), mobile phase gradient: from Heptane 75%, EtOAc/MeOH (9:1) 25% to Heptane 25%, EtOAc/MeOH (9:1). Fractions containing product were combined and evaporated to give 14.61 g of intermediate benzyl (4-(5,6-dihydro-1,2,4-triazin-1(4H)-yl)-3-fluorobenzyl) carbamate (</w:t>
      </w:r>
      <w:r w:rsidRPr="008C69E4">
        <w:rPr>
          <w:rStyle w:val="normaltextrun"/>
          <w:rFonts w:ascii="Arial" w:hAnsi="Arial" w:cs="Arial"/>
          <w:b/>
          <w:bCs/>
          <w:sz w:val="22"/>
          <w:szCs w:val="22"/>
          <w:lang w:val="en-AU"/>
        </w:rPr>
        <w:t>14</w:t>
      </w:r>
      <w:r w:rsidRPr="008C69E4">
        <w:rPr>
          <w:rStyle w:val="normaltextrun"/>
          <w:rFonts w:ascii="Arial" w:hAnsi="Arial" w:cs="Arial"/>
          <w:sz w:val="22"/>
          <w:szCs w:val="22"/>
          <w:lang w:val="en-AU"/>
        </w:rPr>
        <w:t>) as a colorless oil which crystallized on standing (85%).</w:t>
      </w:r>
      <w:r w:rsidRPr="008C69E4">
        <w:rPr>
          <w:rStyle w:val="eop"/>
          <w:rFonts w:ascii="Arial" w:hAnsi="Arial" w:cs="Arial"/>
          <w:sz w:val="22"/>
          <w:szCs w:val="22"/>
        </w:rPr>
        <w:t> </w:t>
      </w:r>
    </w:p>
    <w:p w14:paraId="1068243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0641B882"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benzyl (3-fluoro-4-(4-((trifluoromethyl)sulfonyl)-5,6-dihydro-1,2,4-triazin-1(4H)-yl)benzyl)carbamate (</w:t>
      </w:r>
      <w:r w:rsidRPr="008C69E4">
        <w:rPr>
          <w:rStyle w:val="normaltextrun"/>
          <w:rFonts w:ascii="Arial" w:hAnsi="Arial" w:cs="Arial"/>
          <w:b/>
          <w:bCs/>
          <w:i/>
          <w:iCs/>
          <w:sz w:val="22"/>
          <w:szCs w:val="22"/>
          <w:u w:val="single"/>
        </w:rPr>
        <w:t>15</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22500FFF"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5E4D5070" wp14:editId="5713B30D">
            <wp:extent cx="5200650" cy="923925"/>
            <wp:effectExtent l="0" t="0" r="0" b="0"/>
            <wp:docPr id="34" name="Picture 2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1" descr="A black background with a black square&#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923925"/>
                    </a:xfrm>
                    <a:prstGeom prst="rect">
                      <a:avLst/>
                    </a:prstGeom>
                    <a:noFill/>
                    <a:ln>
                      <a:noFill/>
                    </a:ln>
                  </pic:spPr>
                </pic:pic>
              </a:graphicData>
            </a:graphic>
          </wp:inline>
        </w:drawing>
      </w:r>
      <w:r w:rsidRPr="008C69E4">
        <w:rPr>
          <w:rStyle w:val="eop"/>
          <w:rFonts w:ascii="Arial" w:hAnsi="Arial" w:cs="Arial"/>
          <w:sz w:val="22"/>
          <w:szCs w:val="22"/>
        </w:rPr>
        <w:t> </w:t>
      </w:r>
    </w:p>
    <w:p w14:paraId="74826906"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To a solution of intermediate </w:t>
      </w:r>
      <w:r w:rsidRPr="008C69E4">
        <w:rPr>
          <w:rStyle w:val="normaltextrun"/>
          <w:rFonts w:ascii="Arial" w:hAnsi="Arial" w:cs="Arial"/>
          <w:b/>
          <w:bCs/>
          <w:sz w:val="22"/>
          <w:szCs w:val="22"/>
          <w:lang w:val="en-AU"/>
        </w:rPr>
        <w:t>14</w:t>
      </w:r>
      <w:r w:rsidRPr="008C69E4">
        <w:rPr>
          <w:rStyle w:val="normaltextrun"/>
          <w:rFonts w:ascii="Arial" w:hAnsi="Arial" w:cs="Arial"/>
          <w:sz w:val="22"/>
          <w:szCs w:val="22"/>
          <w:lang w:val="en-AU"/>
        </w:rPr>
        <w:t xml:space="preserve"> (14.6 g, 42.7 mmol) and DIPE (22.1 mL, 128 mmol) in dry DCM (340 mL) at -5 °C (ice/NaCl solid) was added dropwise Tf</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O 1M in DCM (47 mL, 47 mmol) over 15 min using a dropping funnel and stirring was continued for 5 min. The reaction mixture was quenched with a saturated aqueous solution of NaHCO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The layers were separated, and the aqueous layer was extracted with DCM (twice). The combined organic layer was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off and concentrated. The crude (m= 36.4 g) was purified by preparative LC (regular SiOH, 30 pm, 120 g, dry loading (celite®), mobile phase gradient: Heptane/EtOAc 90/10 to 70/30). The fractions containing product were combined and evaporated under vacuum to give 10.18 g of intermediate benzyl (3-fluoro-4-(4-((trifluoromethyl)sulfonyl)-5,6-dihydro-1,2,4-triazin-1(4H)-yl)benzyl)carbamate (</w:t>
      </w:r>
      <w:r w:rsidRPr="008C69E4">
        <w:rPr>
          <w:rStyle w:val="normaltextrun"/>
          <w:rFonts w:ascii="Arial" w:hAnsi="Arial" w:cs="Arial"/>
          <w:b/>
          <w:bCs/>
          <w:sz w:val="22"/>
          <w:szCs w:val="22"/>
          <w:lang w:val="en-AU"/>
        </w:rPr>
        <w:t>15</w:t>
      </w:r>
      <w:r w:rsidRPr="008C69E4">
        <w:rPr>
          <w:rStyle w:val="normaltextrun"/>
          <w:rFonts w:ascii="Arial" w:hAnsi="Arial" w:cs="Arial"/>
          <w:sz w:val="22"/>
          <w:szCs w:val="22"/>
          <w:lang w:val="en-AU"/>
        </w:rPr>
        <w:t>) as a white solid (50%).</w:t>
      </w:r>
      <w:r w:rsidRPr="008C69E4">
        <w:rPr>
          <w:rStyle w:val="eop"/>
          <w:rFonts w:ascii="Arial" w:hAnsi="Arial" w:cs="Arial"/>
          <w:sz w:val="22"/>
          <w:szCs w:val="22"/>
        </w:rPr>
        <w:t> </w:t>
      </w:r>
    </w:p>
    <w:p w14:paraId="4A03FEA5"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164CD656"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intermediate (3-fluoro-4-(4-((trifluoromethyl)sulfonyl)-5,6-dihydro-1,2,4-triazin-1(4H)-yl)phenyl)methanamine (</w:t>
      </w:r>
      <w:r w:rsidRPr="008C69E4">
        <w:rPr>
          <w:rStyle w:val="normaltextrun"/>
          <w:rFonts w:ascii="Arial" w:hAnsi="Arial" w:cs="Arial"/>
          <w:b/>
          <w:bCs/>
          <w:i/>
          <w:iCs/>
          <w:sz w:val="22"/>
          <w:szCs w:val="22"/>
          <w:u w:val="single"/>
        </w:rPr>
        <w:t>16</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1CC76548"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29C8D5D0" wp14:editId="18BF491B">
            <wp:extent cx="5410200" cy="885825"/>
            <wp:effectExtent l="0" t="0" r="0" b="0"/>
            <wp:docPr id="35" name="Picture 2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20" descr="A black background with a black square&#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10200" cy="885825"/>
                    </a:xfrm>
                    <a:prstGeom prst="rect">
                      <a:avLst/>
                    </a:prstGeom>
                    <a:noFill/>
                    <a:ln>
                      <a:noFill/>
                    </a:ln>
                  </pic:spPr>
                </pic:pic>
              </a:graphicData>
            </a:graphic>
          </wp:inline>
        </w:drawing>
      </w:r>
      <w:r w:rsidRPr="008C69E4">
        <w:rPr>
          <w:rStyle w:val="eop"/>
          <w:rFonts w:ascii="Arial" w:hAnsi="Arial" w:cs="Arial"/>
          <w:sz w:val="22"/>
          <w:szCs w:val="22"/>
        </w:rPr>
        <w:t> </w:t>
      </w:r>
    </w:p>
    <w:p w14:paraId="28852BF0"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 xml:space="preserve">In a steal bomb, a mixture of intermediate </w:t>
      </w:r>
      <w:r w:rsidRPr="008C69E4">
        <w:rPr>
          <w:rStyle w:val="normaltextrun"/>
          <w:rFonts w:ascii="Arial" w:hAnsi="Arial" w:cs="Arial"/>
          <w:b/>
          <w:bCs/>
          <w:sz w:val="22"/>
          <w:szCs w:val="22"/>
          <w:lang w:val="en-AU"/>
        </w:rPr>
        <w:t>15</w:t>
      </w:r>
      <w:r w:rsidRPr="008C69E4">
        <w:rPr>
          <w:rStyle w:val="normaltextrun"/>
          <w:rFonts w:ascii="Arial" w:hAnsi="Arial" w:cs="Arial"/>
          <w:sz w:val="22"/>
          <w:szCs w:val="22"/>
          <w:lang w:val="en-AU"/>
        </w:rPr>
        <w:t xml:space="preserve"> (10.2 g, 21.5 mmol), Palladium 20 hydroxide 20% on carbon nominally 50% water (3.01 g, 2.15 mmol) and aqueous HCl 3M (7.15 mL, 7.15 mmol) in MeOH (150 mL) and EtOAc (150 mL) was hydrogenated under 5 bars of H</w:t>
      </w:r>
      <w:r w:rsidRPr="008C69E4">
        <w:rPr>
          <w:rStyle w:val="normaltextrun"/>
          <w:rFonts w:ascii="Arial" w:hAnsi="Arial" w:cs="Arial"/>
          <w:sz w:val="22"/>
          <w:szCs w:val="22"/>
          <w:vertAlign w:val="subscript"/>
          <w:lang w:val="en-AU"/>
        </w:rPr>
        <w:t>2</w:t>
      </w:r>
      <w:r w:rsidRPr="008C69E4">
        <w:rPr>
          <w:rStyle w:val="normaltextrun"/>
          <w:rFonts w:ascii="Arial" w:hAnsi="Arial" w:cs="Arial"/>
          <w:sz w:val="22"/>
          <w:szCs w:val="22"/>
          <w:lang w:val="en-AU"/>
        </w:rPr>
        <w:t xml:space="preserve"> at room temperature for 1 h. The mixture was filtered on a pad of celite® and washed with MeOH. The </w:t>
      </w:r>
      <w:r w:rsidRPr="008C69E4">
        <w:rPr>
          <w:rStyle w:val="normaltextrun"/>
          <w:rFonts w:ascii="Arial" w:hAnsi="Arial" w:cs="Arial"/>
          <w:sz w:val="22"/>
          <w:szCs w:val="22"/>
          <w:lang w:val="en-AU"/>
        </w:rPr>
        <w:lastRenderedPageBreak/>
        <w:t>filtrate was evaporated then co-evaporated with MeOH (twice) to give 7.86 g of intermediate (3-fluoro-4-(4-((trifluoromethyl)sulfonyl)-5,6-dihydro-1,2,4-triazin-1(4H)-yl)phenyl)methanamine (</w:t>
      </w:r>
      <w:r w:rsidRPr="008C69E4">
        <w:rPr>
          <w:rStyle w:val="normaltextrun"/>
          <w:rFonts w:ascii="Arial" w:hAnsi="Arial" w:cs="Arial"/>
          <w:b/>
          <w:bCs/>
          <w:sz w:val="22"/>
          <w:szCs w:val="22"/>
          <w:lang w:val="en-AU"/>
        </w:rPr>
        <w:t>16</w:t>
      </w:r>
      <w:r w:rsidRPr="008C69E4">
        <w:rPr>
          <w:rStyle w:val="normaltextrun"/>
          <w:rFonts w:ascii="Arial" w:hAnsi="Arial" w:cs="Arial"/>
          <w:sz w:val="22"/>
          <w:szCs w:val="22"/>
          <w:lang w:val="en-AU"/>
        </w:rPr>
        <w:t>).</w:t>
      </w:r>
      <w:r w:rsidRPr="008C69E4">
        <w:rPr>
          <w:rStyle w:val="eop"/>
          <w:rFonts w:ascii="Arial" w:hAnsi="Arial" w:cs="Arial"/>
          <w:sz w:val="22"/>
          <w:szCs w:val="22"/>
        </w:rPr>
        <w:t> </w:t>
      </w:r>
    </w:p>
    <w:p w14:paraId="17F3532F"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6CCAE00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i/>
          <w:iCs/>
          <w:sz w:val="22"/>
          <w:szCs w:val="22"/>
          <w:u w:val="single"/>
        </w:rPr>
        <w:t>Synthesis of 2-ethyl-N-(3-fluoro-4-(4-((trifluoromethyl)sulfonyl)-5,6-dihydro-1,2,4-triazin-1(4H)-yl)benzyl)-6-methylimidazo[1,2-a]pyrimidine-3-carboxamide (</w:t>
      </w:r>
      <w:r w:rsidRPr="008C69E4">
        <w:rPr>
          <w:rStyle w:val="normaltextrun"/>
          <w:rFonts w:ascii="Arial" w:hAnsi="Arial" w:cs="Arial"/>
          <w:b/>
          <w:bCs/>
          <w:i/>
          <w:iCs/>
          <w:sz w:val="22"/>
          <w:szCs w:val="22"/>
          <w:u w:val="single"/>
        </w:rPr>
        <w:t>JnJ-4052</w:t>
      </w:r>
      <w:r w:rsidRPr="008C69E4">
        <w:rPr>
          <w:rStyle w:val="normaltextrun"/>
          <w:rFonts w:ascii="Arial" w:hAnsi="Arial" w:cs="Arial"/>
          <w:i/>
          <w:iCs/>
          <w:sz w:val="22"/>
          <w:szCs w:val="22"/>
          <w:u w:val="single"/>
        </w:rPr>
        <w:t>)</w:t>
      </w:r>
      <w:r w:rsidRPr="008C69E4">
        <w:rPr>
          <w:rStyle w:val="eop"/>
          <w:rFonts w:ascii="Arial" w:hAnsi="Arial" w:cs="Arial"/>
          <w:sz w:val="22"/>
          <w:szCs w:val="22"/>
        </w:rPr>
        <w:t> </w:t>
      </w:r>
    </w:p>
    <w:p w14:paraId="3E006D77"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317445AC"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wacimagecontainer"/>
          <w:rFonts w:ascii="Arial" w:hAnsi="Arial" w:cs="Arial"/>
          <w:noProof/>
          <w:sz w:val="22"/>
          <w:szCs w:val="22"/>
        </w:rPr>
        <w:drawing>
          <wp:inline distT="0" distB="0" distL="0" distR="0" wp14:anchorId="7D6461A7" wp14:editId="0F034380">
            <wp:extent cx="5400675" cy="1304925"/>
            <wp:effectExtent l="0" t="0" r="9525" b="0"/>
            <wp:docPr id="36" name="Picture 1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19" descr="A black background with a black square&#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675" cy="1304925"/>
                    </a:xfrm>
                    <a:prstGeom prst="rect">
                      <a:avLst/>
                    </a:prstGeom>
                    <a:noFill/>
                    <a:ln>
                      <a:noFill/>
                    </a:ln>
                  </pic:spPr>
                </pic:pic>
              </a:graphicData>
            </a:graphic>
          </wp:inline>
        </w:drawing>
      </w:r>
      <w:r w:rsidRPr="008C69E4">
        <w:rPr>
          <w:rStyle w:val="eop"/>
          <w:rFonts w:ascii="Arial" w:hAnsi="Arial" w:cs="Arial"/>
          <w:sz w:val="22"/>
          <w:szCs w:val="22"/>
        </w:rPr>
        <w:t> </w:t>
      </w:r>
    </w:p>
    <w:p w14:paraId="54A1B059"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normaltextrun"/>
          <w:rFonts w:ascii="Arial" w:hAnsi="Arial" w:cs="Arial"/>
          <w:sz w:val="22"/>
          <w:szCs w:val="22"/>
          <w:lang w:val="en-AU"/>
        </w:rPr>
        <w:t>A mixture of 2-ethyl-6-methylimidazo[1,2-a]pyrimidine-3-carboxylic acid</w:t>
      </w:r>
      <w:r w:rsidRPr="008C69E4">
        <w:rPr>
          <w:rStyle w:val="superscript"/>
          <w:rFonts w:ascii="Arial" w:hAnsi="Arial" w:cs="Arial"/>
          <w:sz w:val="22"/>
          <w:szCs w:val="22"/>
          <w:vertAlign w:val="superscript"/>
          <w:lang w:val="en-AU"/>
        </w:rPr>
        <w:t>i</w:t>
      </w:r>
      <w:r w:rsidRPr="008C69E4">
        <w:rPr>
          <w:rStyle w:val="normaltextrun"/>
          <w:rFonts w:ascii="Arial" w:hAnsi="Arial" w:cs="Arial"/>
          <w:sz w:val="22"/>
          <w:szCs w:val="22"/>
          <w:lang w:val="en-AU"/>
        </w:rPr>
        <w:t xml:space="preserve"> (190 mg, 0.518 mmol), HATU (280 mg, 0.736 mmol), DIPEA (0.163 mL, 0.958 mmol) and DMF (2.5 mL) was stirred at room temperature for 15 min then intermediate </w:t>
      </w:r>
      <w:r w:rsidRPr="008C69E4">
        <w:rPr>
          <w:rStyle w:val="normaltextrun"/>
          <w:rFonts w:ascii="Arial" w:hAnsi="Arial" w:cs="Arial"/>
          <w:b/>
          <w:bCs/>
          <w:sz w:val="22"/>
          <w:szCs w:val="22"/>
          <w:lang w:val="en-AU"/>
        </w:rPr>
        <w:t xml:space="preserve">16 </w:t>
      </w:r>
      <w:r w:rsidRPr="008C69E4">
        <w:rPr>
          <w:rStyle w:val="normaltextrun"/>
          <w:rFonts w:ascii="Arial" w:hAnsi="Arial" w:cs="Arial"/>
          <w:sz w:val="22"/>
          <w:szCs w:val="22"/>
          <w:lang w:val="en-AU"/>
        </w:rPr>
        <w:t>(180 mg, 0.473 mmol) was added and stirring was continued over 3 days. DMF was evaporated. The residue was taken-up in DCM and water then washed with a saturated aqueous solution of NaHCO</w:t>
      </w:r>
      <w:r w:rsidRPr="008C69E4">
        <w:rPr>
          <w:rStyle w:val="normaltextrun"/>
          <w:rFonts w:ascii="Arial" w:hAnsi="Arial" w:cs="Arial"/>
          <w:sz w:val="22"/>
          <w:szCs w:val="22"/>
          <w:vertAlign w:val="subscript"/>
          <w:lang w:val="en-AU"/>
        </w:rPr>
        <w:t>3</w:t>
      </w:r>
      <w:r w:rsidRPr="008C69E4">
        <w:rPr>
          <w:rStyle w:val="normaltextrun"/>
          <w:rFonts w:ascii="Arial" w:hAnsi="Arial" w:cs="Arial"/>
          <w:sz w:val="22"/>
          <w:szCs w:val="22"/>
          <w:lang w:val="en-AU"/>
        </w:rPr>
        <w:t xml:space="preserve"> (twice), brine (twice), dried over MgSO</w:t>
      </w:r>
      <w:r w:rsidRPr="008C69E4">
        <w:rPr>
          <w:rStyle w:val="normaltextrun"/>
          <w:rFonts w:ascii="Arial" w:hAnsi="Arial" w:cs="Arial"/>
          <w:sz w:val="22"/>
          <w:szCs w:val="22"/>
          <w:vertAlign w:val="subscript"/>
          <w:lang w:val="en-AU"/>
        </w:rPr>
        <w:t>4</w:t>
      </w:r>
      <w:r w:rsidRPr="008C69E4">
        <w:rPr>
          <w:rStyle w:val="normaltextrun"/>
          <w:rFonts w:ascii="Arial" w:hAnsi="Arial" w:cs="Arial"/>
          <w:sz w:val="22"/>
          <w:szCs w:val="22"/>
          <w:lang w:val="en-AU"/>
        </w:rPr>
        <w:t>, filtered off and concentrated. The crude (m= 378 mg) was purified by preparative LC (regular SiOH, 30 µm, 24 g, mobile phase gradient: from Heptane 85%, EtOAc/MeOH (9:1) 15% to Heptane 25%, EtOAc/MeOH (9:1) 75). Fractions containing product were combined and concentrated to afford 277 mg as a white solid. The solid was recrystallized from EtOAc, filtered off and dried under high vacuum to afford 162 mg of 2-ethyl-N-(3-fluoro-4-(4-((trifluoromethyl)sulfonyl)-5,6-dihydro-1,2,4-triazin-1(4H)-yl)benzyl)-6-methylimidazo[1,2-a]pyrimidine-3-carboxamide (</w:t>
      </w:r>
      <w:r w:rsidRPr="008C69E4">
        <w:rPr>
          <w:rStyle w:val="normaltextrun"/>
          <w:rFonts w:ascii="Arial" w:hAnsi="Arial" w:cs="Arial"/>
          <w:b/>
          <w:bCs/>
          <w:sz w:val="22"/>
          <w:szCs w:val="22"/>
          <w:lang w:val="en-AU"/>
        </w:rPr>
        <w:t>JnJ-4052</w:t>
      </w:r>
      <w:r w:rsidRPr="008C69E4">
        <w:rPr>
          <w:rStyle w:val="normaltextrun"/>
          <w:rFonts w:ascii="Arial" w:hAnsi="Arial" w:cs="Arial"/>
          <w:sz w:val="22"/>
          <w:szCs w:val="22"/>
          <w:lang w:val="en-AU"/>
        </w:rPr>
        <w:t xml:space="preserve">) as a white solid (54%). 1H NMR (500 MHz, DMSO-d6) δ ppm 9.15 (dd,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2.4, 1.1 Hz, 1 H) 8.51 (d,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2.5 Hz, 1 H) 8.45 (t,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5.9 Hz, 1 H) 7.38 (s, 1 H) 7.34 (t,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8.6 Hz, 1 H) 7.24 (dd,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13.2, 1.8 Hz, 1 H) 7.19 (dd,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8.4, 1.8 Hz, 1 H) 4.50 (d,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5.9 Hz, 2 H) 4.10 (t,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4.6 Hz, 2 H) 3.62 - 3.68 (m, 2 H) 3.01 (q,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7.5 Hz, 2 H) 2.34 (d,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0.8 Hz, 3 H) 1.28 (t,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7.5 Hz, 3 H). 13C NMR (125.76 MHz, DMSO-d6) δ ppm 160.99 (s, 1 C) 151.51 (s, 1 C) 143.77 (s, 1 C) 143.30 (s, 1 C) 137.60 (s, 1 C) 127.80 (s, 2 C) 127.52 (s, 1 C) 126.77 (s, 2 C) 125.29 (s, 1 C) 120.13 (s, 1 C) 117.65 (s, 1 C) 120.62 (q,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 xml:space="preserve">323.00 Hz, 1 C) 116.20 (s, 1 C) 65.25 (s, 1 C) 63.28 (d, </w:t>
      </w:r>
      <w:r w:rsidRPr="008C69E4">
        <w:rPr>
          <w:rStyle w:val="normaltextrun"/>
          <w:rFonts w:ascii="Arial" w:hAnsi="Arial" w:cs="Arial"/>
          <w:i/>
          <w:iCs/>
          <w:sz w:val="22"/>
          <w:szCs w:val="22"/>
          <w:lang w:val="en-AU"/>
        </w:rPr>
        <w:t>J=</w:t>
      </w:r>
      <w:r w:rsidRPr="008C69E4">
        <w:rPr>
          <w:rStyle w:val="normaltextrun"/>
          <w:rFonts w:ascii="Arial" w:hAnsi="Arial" w:cs="Arial"/>
          <w:sz w:val="22"/>
          <w:szCs w:val="22"/>
          <w:lang w:val="en-AU"/>
        </w:rPr>
        <w:t>4.60 Hz, 1 C) 42.64 (s, 1 C) 39.70 (s, 2 C) 34.29 (s, 1 C) 33.34 (s, 1 C) 22.32 (s, 1 C) 13.54 (s, 1 C)</w:t>
      </w:r>
      <w:r w:rsidRPr="008C69E4">
        <w:rPr>
          <w:rStyle w:val="eop"/>
          <w:rFonts w:ascii="Arial" w:hAnsi="Arial" w:cs="Arial"/>
          <w:sz w:val="22"/>
          <w:szCs w:val="22"/>
        </w:rPr>
        <w:t> </w:t>
      </w:r>
    </w:p>
    <w:p w14:paraId="59F73081" w14:textId="77777777" w:rsidR="0091686F" w:rsidRPr="008C69E4" w:rsidRDefault="0091686F" w:rsidP="0091686F">
      <w:pPr>
        <w:pStyle w:val="paragraph"/>
        <w:spacing w:before="0" w:beforeAutospacing="0" w:after="0" w:afterAutospacing="0" w:line="360" w:lineRule="auto"/>
        <w:jc w:val="both"/>
        <w:textAlignment w:val="baseline"/>
        <w:rPr>
          <w:rFonts w:ascii="Arial" w:hAnsi="Arial" w:cs="Arial"/>
          <w:sz w:val="22"/>
          <w:szCs w:val="22"/>
        </w:rPr>
      </w:pPr>
      <w:r w:rsidRPr="008C69E4">
        <w:rPr>
          <w:rStyle w:val="eop"/>
          <w:rFonts w:ascii="Arial" w:hAnsi="Arial" w:cs="Arial"/>
          <w:sz w:val="22"/>
          <w:szCs w:val="22"/>
        </w:rPr>
        <w:t> </w:t>
      </w:r>
    </w:p>
    <w:p w14:paraId="7B0CAD76" w14:textId="77777777" w:rsidR="0091686F" w:rsidRPr="008C69E4" w:rsidRDefault="0091686F" w:rsidP="0091686F">
      <w:pPr>
        <w:spacing w:line="360" w:lineRule="auto"/>
        <w:jc w:val="both"/>
        <w:rPr>
          <w:rFonts w:ascii="Arial" w:hAnsi="Arial" w:cs="Arial"/>
        </w:rPr>
      </w:pPr>
    </w:p>
    <w:p w14:paraId="42638836" w14:textId="77777777" w:rsidR="00F553FF" w:rsidRDefault="00F553FF"/>
    <w:sectPr w:rsidR="00F553FF" w:rsidSect="0091686F">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86F"/>
    <w:rsid w:val="00367FAA"/>
    <w:rsid w:val="003C2EF4"/>
    <w:rsid w:val="0091686F"/>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A7FBC"/>
  <w15:chartTrackingRefBased/>
  <w15:docId w15:val="{AE62CBB1-3BE9-4B21-9E37-347EE4AAB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86F"/>
    <w:rPr>
      <w:kern w:val="0"/>
      <w:lang w:val="en-GB"/>
      <w14:ligatures w14:val="none"/>
    </w:rPr>
  </w:style>
  <w:style w:type="paragraph" w:styleId="Heading1">
    <w:name w:val="heading 1"/>
    <w:basedOn w:val="Normal"/>
    <w:next w:val="Normal"/>
    <w:link w:val="Heading1Char"/>
    <w:uiPriority w:val="9"/>
    <w:qFormat/>
    <w:rsid w:val="0091686F"/>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1686F"/>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1686F"/>
    <w:pPr>
      <w:keepNext/>
      <w:keepLines/>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1686F"/>
    <w:pPr>
      <w:keepNext/>
      <w:keepLines/>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91686F"/>
    <w:pPr>
      <w:keepNext/>
      <w:keepLines/>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91686F"/>
    <w:pPr>
      <w:keepNext/>
      <w:keepLines/>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91686F"/>
    <w:pPr>
      <w:keepNext/>
      <w:keepLines/>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91686F"/>
    <w:pPr>
      <w:keepNext/>
      <w:keepLines/>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91686F"/>
    <w:pPr>
      <w:keepNext/>
      <w:keepLines/>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8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68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68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68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68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68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68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68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686F"/>
    <w:rPr>
      <w:rFonts w:eastAsiaTheme="majorEastAsia" w:cstheme="majorBidi"/>
      <w:color w:val="272727" w:themeColor="text1" w:themeTint="D8"/>
    </w:rPr>
  </w:style>
  <w:style w:type="paragraph" w:styleId="Title">
    <w:name w:val="Title"/>
    <w:basedOn w:val="Normal"/>
    <w:next w:val="Normal"/>
    <w:link w:val="TitleChar"/>
    <w:uiPriority w:val="10"/>
    <w:qFormat/>
    <w:rsid w:val="0091686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168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686F"/>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168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686F"/>
    <w:pPr>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91686F"/>
    <w:rPr>
      <w:i/>
      <w:iCs/>
      <w:color w:val="404040" w:themeColor="text1" w:themeTint="BF"/>
    </w:rPr>
  </w:style>
  <w:style w:type="paragraph" w:styleId="ListParagraph">
    <w:name w:val="List Paragraph"/>
    <w:basedOn w:val="Normal"/>
    <w:uiPriority w:val="34"/>
    <w:qFormat/>
    <w:rsid w:val="0091686F"/>
    <w:pPr>
      <w:ind w:left="720"/>
      <w:contextualSpacing/>
    </w:pPr>
    <w:rPr>
      <w:kern w:val="2"/>
      <w:lang w:val="en-US"/>
      <w14:ligatures w14:val="standardContextual"/>
    </w:rPr>
  </w:style>
  <w:style w:type="character" w:styleId="IntenseEmphasis">
    <w:name w:val="Intense Emphasis"/>
    <w:basedOn w:val="DefaultParagraphFont"/>
    <w:uiPriority w:val="21"/>
    <w:qFormat/>
    <w:rsid w:val="0091686F"/>
    <w:rPr>
      <w:i/>
      <w:iCs/>
      <w:color w:val="0F4761" w:themeColor="accent1" w:themeShade="BF"/>
    </w:rPr>
  </w:style>
  <w:style w:type="paragraph" w:styleId="IntenseQuote">
    <w:name w:val="Intense Quote"/>
    <w:basedOn w:val="Normal"/>
    <w:next w:val="Normal"/>
    <w:link w:val="IntenseQuoteChar"/>
    <w:uiPriority w:val="30"/>
    <w:qFormat/>
    <w:rsid w:val="009168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91686F"/>
    <w:rPr>
      <w:i/>
      <w:iCs/>
      <w:color w:val="0F4761" w:themeColor="accent1" w:themeShade="BF"/>
    </w:rPr>
  </w:style>
  <w:style w:type="character" w:styleId="IntenseReference">
    <w:name w:val="Intense Reference"/>
    <w:basedOn w:val="DefaultParagraphFont"/>
    <w:uiPriority w:val="32"/>
    <w:qFormat/>
    <w:rsid w:val="0091686F"/>
    <w:rPr>
      <w:b/>
      <w:bCs/>
      <w:smallCaps/>
      <w:color w:val="0F4761" w:themeColor="accent1" w:themeShade="BF"/>
      <w:spacing w:val="5"/>
    </w:rPr>
  </w:style>
  <w:style w:type="paragraph" w:customStyle="1" w:styleId="paragraph">
    <w:name w:val="paragraph"/>
    <w:basedOn w:val="Normal"/>
    <w:link w:val="paragraphChar"/>
    <w:rsid w:val="009168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1686F"/>
  </w:style>
  <w:style w:type="character" w:customStyle="1" w:styleId="eop">
    <w:name w:val="eop"/>
    <w:basedOn w:val="DefaultParagraphFont"/>
    <w:rsid w:val="0091686F"/>
  </w:style>
  <w:style w:type="character" w:customStyle="1" w:styleId="paragraphChar">
    <w:name w:val="paragraph Char"/>
    <w:basedOn w:val="DefaultParagraphFont"/>
    <w:link w:val="paragraph"/>
    <w:rsid w:val="0091686F"/>
    <w:rPr>
      <w:rFonts w:ascii="Times New Roman" w:eastAsia="Times New Roman" w:hAnsi="Times New Roman" w:cs="Times New Roman"/>
      <w:kern w:val="0"/>
      <w:sz w:val="24"/>
      <w:szCs w:val="24"/>
      <w:lang w:val="en-GB"/>
      <w14:ligatures w14:val="none"/>
    </w:rPr>
  </w:style>
  <w:style w:type="character" w:customStyle="1" w:styleId="wacimagecontainer">
    <w:name w:val="wacimagecontainer"/>
    <w:basedOn w:val="DefaultParagraphFont"/>
    <w:rsid w:val="0091686F"/>
  </w:style>
  <w:style w:type="character" w:customStyle="1" w:styleId="superscript">
    <w:name w:val="superscript"/>
    <w:basedOn w:val="DefaultParagraphFont"/>
    <w:rsid w:val="00916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5831</Words>
  <Characters>33241</Characters>
  <Application>Microsoft Office Word</Application>
  <DocSecurity>0</DocSecurity>
  <Lines>277</Lines>
  <Paragraphs>77</Paragraphs>
  <ScaleCrop>false</ScaleCrop>
  <Company>Springer Nature</Company>
  <LinksUpToDate>false</LinksUpToDate>
  <CharactersWithSpaces>38995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2024-10-31T14:59:00Z</dcterms:created>
  <dcterms:modified xsi:type="dcterms:W3CDTF">2024-10-31T15:00:00Z</dcterms:modified>
</cp:coreProperties>
</file>