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004" w:rsidRPr="007C27F3" w:rsidRDefault="00E70004" w:rsidP="00E7000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D27EF">
        <w:rPr>
          <w:rFonts w:ascii="Times New Roman" w:eastAsia="Malgun Gothic" w:hAnsi="Times New Roman" w:cs="Times New Roman"/>
          <w:b/>
          <w:caps/>
          <w:sz w:val="24"/>
          <w:szCs w:val="24"/>
        </w:rPr>
        <w:t>Supplemental Table</w:t>
      </w:r>
      <w:r>
        <w:rPr>
          <w:rFonts w:ascii="Times New Roman" w:eastAsia="Malgun Gothic" w:hAnsi="Times New Roman" w:cs="Times New Roman"/>
          <w:b/>
          <w:sz w:val="24"/>
          <w:szCs w:val="24"/>
        </w:rPr>
        <w:t xml:space="preserve"> 1  Analysis of Baseline LAVI and RAD in</w:t>
      </w:r>
      <w:r>
        <w:rPr>
          <w:rFonts w:ascii="Times New Roman" w:eastAsia="Malgun Gothic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/>
          <w:sz w:val="24"/>
          <w:szCs w:val="24"/>
        </w:rPr>
        <w:t>Subgroup of Left Side Valve Disease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6"/>
        <w:gridCol w:w="1430"/>
        <w:gridCol w:w="2314"/>
        <w:gridCol w:w="2465"/>
        <w:gridCol w:w="1471"/>
      </w:tblGrid>
      <w:tr w:rsidR="00E70004" w:rsidRPr="0000730D" w:rsidTr="00D1187D">
        <w:trPr>
          <w:trHeight w:val="289"/>
          <w:jc w:val="center"/>
        </w:trPr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b/>
                <w:sz w:val="18"/>
                <w:szCs w:val="18"/>
              </w:rPr>
              <w:t>No AF recurrence</w:t>
            </w:r>
          </w:p>
        </w:tc>
        <w:tc>
          <w:tcPr>
            <w:tcW w:w="26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b/>
                <w:sz w:val="18"/>
                <w:szCs w:val="18"/>
              </w:rPr>
              <w:t>AF recurrence</w:t>
            </w: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non MS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97)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94.5 ± 50.3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111.8 ± 98.1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0.299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52.2 ± 9.3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61.2 ± 13.1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MS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61)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103.8 ± 44.0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137.9 ± 66.6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50.9 ± 7.3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54.1 ± 6.0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non MR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82)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83.6 ± 35.5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93.1 ± 44.9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0.343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53.6 ± 9.3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61.5 ± 12.9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MR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76)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113.9 ± 54.6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148.7 ± 111.4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0.149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/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49.6 ± 7.2</w:t>
            </w:r>
          </w:p>
        </w:tc>
        <w:tc>
          <w:tcPr>
            <w:tcW w:w="2674" w:type="dxa"/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55.6 ± 9.1</w:t>
            </w:r>
          </w:p>
        </w:tc>
        <w:tc>
          <w:tcPr>
            <w:tcW w:w="1582" w:type="dxa"/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non AS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142)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tabs>
                <w:tab w:val="left" w:pos="1244"/>
              </w:tabs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 ± 50.2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118.1 ± 87.8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0.208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52.1 ± 8.8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58.8 ± 11.7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AS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16)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tabs>
                <w:tab w:val="left" w:pos="1244"/>
              </w:tabs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85.2 ± 25.2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147.2 ± 102.8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0.251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48.6 ± 6.4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55.8 ± 9.8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0.100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non AR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131)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97.0 ± 49.1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118.1 ± 88.9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0.157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52.4 ± 8.8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58.9 ± 12.2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E70004" w:rsidRPr="0000730D" w:rsidTr="00D1187D">
        <w:trPr>
          <w:trHeight w:val="289"/>
          <w:jc w:val="center"/>
        </w:trPr>
        <w:tc>
          <w:tcPr>
            <w:tcW w:w="1465" w:type="dxa"/>
            <w:vMerge w:val="restart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 xml:space="preserve">AR </w:t>
            </w:r>
          </w:p>
          <w:p w:rsidR="00E70004" w:rsidRPr="0000730D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(n = 27)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LAVI (</w:t>
            </w:r>
            <w:r w:rsidRPr="000073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mL/m2</w:t>
            </w: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01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104.1 ± 42.1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136.2 ± 91.9</w:t>
            </w:r>
          </w:p>
        </w:tc>
        <w:tc>
          <w:tcPr>
            <w:tcW w:w="1582" w:type="dxa"/>
            <w:tcBorders>
              <w:top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0.378</w:t>
            </w:r>
          </w:p>
        </w:tc>
      </w:tr>
      <w:tr w:rsidR="00E70004" w:rsidRPr="0000730D" w:rsidTr="00D1187D">
        <w:trPr>
          <w:trHeight w:val="273"/>
          <w:jc w:val="center"/>
        </w:trPr>
        <w:tc>
          <w:tcPr>
            <w:tcW w:w="1465" w:type="dxa"/>
            <w:vMerge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RAD (mm)</w:t>
            </w:r>
          </w:p>
        </w:tc>
        <w:tc>
          <w:tcPr>
            <w:tcW w:w="2501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48.8 ± 6.7</w:t>
            </w:r>
          </w:p>
        </w:tc>
        <w:tc>
          <w:tcPr>
            <w:tcW w:w="2674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56.6 ± 6.9</w:t>
            </w:r>
          </w:p>
        </w:tc>
        <w:tc>
          <w:tcPr>
            <w:tcW w:w="1582" w:type="dxa"/>
            <w:tcBorders>
              <w:bottom w:val="single" w:sz="4" w:space="0" w:color="auto"/>
            </w:tcBorders>
            <w:vAlign w:val="center"/>
          </w:tcPr>
          <w:p w:rsidR="00E70004" w:rsidRPr="0000730D" w:rsidRDefault="00E70004" w:rsidP="00D1187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730D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</w:p>
        </w:tc>
      </w:tr>
    </w:tbl>
    <w:p w:rsidR="00E70004" w:rsidRPr="007C27F3" w:rsidRDefault="00E70004" w:rsidP="00E70004">
      <w:pPr>
        <w:widowControl/>
        <w:wordWrap/>
        <w:autoSpaceDE/>
        <w:autoSpaceDN/>
        <w:spacing w:beforeLines="50" w:before="120" w:after="0" w:line="360" w:lineRule="auto"/>
        <w:rPr>
          <w:rFonts w:ascii="Times New Roman" w:eastAsia="Malgun Gothic" w:hAnsi="Times New Roman" w:cs="Times New Roman"/>
          <w:b/>
          <w:sz w:val="24"/>
          <w:szCs w:val="24"/>
        </w:rPr>
      </w:pPr>
      <w:r w:rsidRPr="00326C16">
        <w:rPr>
          <w:rFonts w:ascii="Times New Roman" w:eastAsia="Malgun Gothic" w:hAnsi="Times New Roman" w:cs="Times New Roman"/>
          <w:sz w:val="18"/>
          <w:szCs w:val="20"/>
        </w:rPr>
        <w:t>Data are presented as mean ± standard deviation</w:t>
      </w:r>
      <w:r>
        <w:rPr>
          <w:rFonts w:ascii="Times New Roman" w:eastAsia="Malgun Gothic" w:hAnsi="Times New Roman" w:cs="Times New Roman"/>
          <w:sz w:val="18"/>
          <w:szCs w:val="20"/>
        </w:rPr>
        <w:t>.</w:t>
      </w:r>
    </w:p>
    <w:p w:rsidR="00E70004" w:rsidRDefault="00E70004" w:rsidP="00E70004">
      <w:pPr>
        <w:widowControl/>
        <w:wordWrap/>
        <w:autoSpaceDE/>
        <w:autoSpaceDN/>
        <w:spacing w:after="0" w:line="360" w:lineRule="auto"/>
        <w:rPr>
          <w:rFonts w:ascii="Times New Roman" w:eastAsia="Malgun Gothic" w:hAnsi="Times New Roman" w:cs="Times New Roman"/>
          <w:b/>
          <w:sz w:val="24"/>
          <w:szCs w:val="24"/>
        </w:rPr>
      </w:pPr>
      <w:r w:rsidRPr="008D24FD">
        <w:rPr>
          <w:rFonts w:ascii="Times New Roman" w:eastAsia="Malgun Gothic" w:hAnsi="Times New Roman" w:cs="Times New Roman"/>
          <w:sz w:val="18"/>
          <w:szCs w:val="18"/>
        </w:rPr>
        <w:t xml:space="preserve">other abbreviations are listed in </w:t>
      </w:r>
      <w:r w:rsidRPr="005D27EF">
        <w:rPr>
          <w:rFonts w:ascii="Times New Roman" w:eastAsia="Malgun Gothic" w:hAnsi="Times New Roman" w:cs="Times New Roman"/>
          <w:b/>
          <w:sz w:val="18"/>
          <w:szCs w:val="18"/>
        </w:rPr>
        <w:t>Table 1</w:t>
      </w:r>
      <w:r w:rsidRPr="008D24FD">
        <w:rPr>
          <w:rFonts w:ascii="Times New Roman" w:eastAsia="Malgun Gothic" w:hAnsi="Times New Roman" w:cs="Times New Roman"/>
          <w:sz w:val="18"/>
          <w:szCs w:val="18"/>
        </w:rPr>
        <w:t>.</w:t>
      </w:r>
    </w:p>
    <w:p w:rsidR="00E70004" w:rsidRDefault="00E70004" w:rsidP="00E70004">
      <w:pPr>
        <w:widowControl/>
        <w:wordWrap/>
        <w:autoSpaceDE/>
        <w:autoSpaceDN/>
        <w:rPr>
          <w:rFonts w:ascii="Times New Roman" w:eastAsia="Malgun Gothic" w:hAnsi="Times New Roman" w:cs="Times New Roman"/>
          <w:b/>
          <w:sz w:val="24"/>
          <w:szCs w:val="24"/>
        </w:rPr>
      </w:pPr>
      <w:r>
        <w:rPr>
          <w:rFonts w:ascii="Times New Roman" w:eastAsia="Malgun Gothic" w:hAnsi="Times New Roman" w:cs="Times New Roman"/>
          <w:b/>
          <w:sz w:val="24"/>
          <w:szCs w:val="24"/>
        </w:rPr>
        <w:br w:type="page"/>
      </w:r>
    </w:p>
    <w:p w:rsidR="00E70004" w:rsidRPr="0000730D" w:rsidRDefault="00E70004" w:rsidP="00E70004">
      <w:pPr>
        <w:spacing w:after="0" w:line="480" w:lineRule="auto"/>
        <w:jc w:val="left"/>
        <w:rPr>
          <w:rFonts w:ascii="Times New Roman" w:eastAsia="Malgun Gothic" w:hAnsi="Times New Roman" w:cs="Times New Roman"/>
          <w:b/>
          <w:sz w:val="24"/>
          <w:szCs w:val="24"/>
        </w:rPr>
      </w:pPr>
      <w:r w:rsidRPr="005D27EF">
        <w:rPr>
          <w:rFonts w:ascii="Times New Roman" w:eastAsia="Malgun Gothic" w:hAnsi="Times New Roman" w:cs="Times New Roman"/>
          <w:b/>
          <w:caps/>
          <w:sz w:val="24"/>
          <w:szCs w:val="24"/>
        </w:rPr>
        <w:lastRenderedPageBreak/>
        <w:t>Supplemental Table</w:t>
      </w:r>
      <w:r w:rsidRPr="007D3484">
        <w:rPr>
          <w:rFonts w:ascii="Times New Roman" w:eastAsia="Malgun Gothic" w:hAnsi="Times New Roman" w:cs="Times New Roman"/>
          <w:b/>
          <w:sz w:val="24"/>
          <w:szCs w:val="24"/>
        </w:rPr>
        <w:t xml:space="preserve"> 2</w:t>
      </w:r>
      <w:r>
        <w:rPr>
          <w:rFonts w:ascii="Times New Roman" w:eastAsia="Malgun Gothic" w:hAnsi="Times New Roman" w:cs="Times New Roman"/>
          <w:b/>
          <w:sz w:val="24"/>
          <w:szCs w:val="24"/>
        </w:rPr>
        <w:t xml:space="preserve">  </w:t>
      </w:r>
      <w:r w:rsidRPr="007D3484">
        <w:rPr>
          <w:rFonts w:ascii="Times New Roman" w:eastAsia="Malgun Gothic" w:hAnsi="Times New Roman" w:cs="Times New Roman"/>
          <w:b/>
          <w:sz w:val="24"/>
          <w:szCs w:val="24"/>
        </w:rPr>
        <w:t xml:space="preserve">AF </w:t>
      </w:r>
      <w:r>
        <w:rPr>
          <w:rFonts w:ascii="Times New Roman" w:eastAsia="Malgun Gothic" w:hAnsi="Times New Roman" w:cs="Times New Roman"/>
          <w:b/>
          <w:sz w:val="24"/>
          <w:szCs w:val="24"/>
        </w:rPr>
        <w:t>R</w:t>
      </w:r>
      <w:r w:rsidRPr="007D3484">
        <w:rPr>
          <w:rFonts w:ascii="Times New Roman" w:eastAsia="Malgun Gothic" w:hAnsi="Times New Roman" w:cs="Times New Roman"/>
          <w:b/>
          <w:sz w:val="24"/>
          <w:szCs w:val="24"/>
        </w:rPr>
        <w:t>ecurr</w:t>
      </w:r>
      <w:r>
        <w:rPr>
          <w:rFonts w:ascii="Times New Roman" w:eastAsia="Malgun Gothic" w:hAnsi="Times New Roman" w:cs="Times New Roman"/>
          <w:b/>
          <w:sz w:val="24"/>
          <w:szCs w:val="24"/>
        </w:rPr>
        <w:t>ence Risk Estimation According to RAD in</w:t>
      </w:r>
      <w:r>
        <w:rPr>
          <w:rFonts w:ascii="Times New Roman" w:eastAsia="Malgun Gothic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/>
          <w:sz w:val="24"/>
          <w:szCs w:val="24"/>
        </w:rPr>
        <w:t>Subgroup of Left Side Valve Disease</w:t>
      </w:r>
    </w:p>
    <w:tbl>
      <w:tblPr>
        <w:tblStyle w:val="TableGrid"/>
        <w:tblW w:w="7788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651"/>
        <w:gridCol w:w="1651"/>
        <w:gridCol w:w="1651"/>
      </w:tblGrid>
      <w:tr w:rsidR="00E70004" w:rsidRPr="00835F49" w:rsidTr="00D1187D">
        <w:trPr>
          <w:trHeight w:val="340"/>
        </w:trPr>
        <w:tc>
          <w:tcPr>
            <w:tcW w:w="283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5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</w:pPr>
            <w:r w:rsidRPr="00835F49"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  <w:t>Univariable Analysis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eastAsia="Malgun Gothic" w:hAnsi="Times New Roman" w:cs="Times New Roman"/>
                <w:sz w:val="18"/>
                <w:szCs w:val="18"/>
                <w:vertAlign w:val="superscript"/>
              </w:rPr>
            </w:pP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vertAlign w:val="superscript"/>
              </w:rPr>
            </w:pPr>
            <w:r w:rsidRPr="00835F49"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  <w:t>HR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vertAlign w:val="superscript"/>
              </w:rPr>
            </w:pPr>
            <w:r w:rsidRPr="00835F49"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  <w:t>95% CI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  <w:t>p</w:t>
            </w:r>
            <w:r w:rsidRPr="00835F49">
              <w:rPr>
                <w:rFonts w:ascii="Times New Roman" w:eastAsia="Malgun Gothic" w:hAnsi="Times New Roman" w:cs="Times New Roman"/>
                <w:b/>
                <w:sz w:val="18"/>
                <w:szCs w:val="18"/>
              </w:rPr>
              <w:t xml:space="preserve"> value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81DBF">
              <w:rPr>
                <w:rFonts w:ascii="Times New Roman" w:hAnsi="Times New Roman" w:cs="Times New Roman"/>
                <w:sz w:val="18"/>
                <w:szCs w:val="18"/>
              </w:rPr>
              <w:t>non MS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97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1.019-1.065</w:t>
            </w:r>
          </w:p>
        </w:tc>
        <w:tc>
          <w:tcPr>
            <w:tcW w:w="1651" w:type="dxa"/>
            <w:tcBorders>
              <w:top w:val="single" w:sz="4" w:space="0" w:color="auto"/>
            </w:tcBorders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(n = 61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1.052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0.998-1.109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0.061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81DBF">
              <w:rPr>
                <w:rFonts w:ascii="Times New Roman" w:hAnsi="Times New Roman" w:cs="Times New Roman"/>
                <w:sz w:val="18"/>
                <w:szCs w:val="18"/>
              </w:rPr>
              <w:t>non MR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82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1.037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1.011-1.064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0.006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76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1.090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1.045-1.137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81DBF">
              <w:rPr>
                <w:rFonts w:ascii="Times New Roman" w:hAnsi="Times New Roman" w:cs="Times New Roman"/>
                <w:sz w:val="18"/>
                <w:szCs w:val="18"/>
              </w:rPr>
              <w:t>non 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142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1.040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1.019-1.061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16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1.114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1.000-1.241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0.050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81DBF">
              <w:rPr>
                <w:rFonts w:ascii="Times New Roman" w:hAnsi="Times New Roman" w:cs="Times New Roman"/>
                <w:sz w:val="18"/>
                <w:szCs w:val="18"/>
              </w:rPr>
              <w:t>non 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131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1.039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1.018-1.061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&lt;0.001</w:t>
            </w:r>
          </w:p>
        </w:tc>
      </w:tr>
      <w:tr w:rsidR="00E70004" w:rsidRPr="00835F49" w:rsidTr="00D1187D">
        <w:trPr>
          <w:trHeight w:val="340"/>
        </w:trPr>
        <w:tc>
          <w:tcPr>
            <w:tcW w:w="2835" w:type="dxa"/>
            <w:vAlign w:val="center"/>
          </w:tcPr>
          <w:p w:rsidR="00E70004" w:rsidRPr="00835F49" w:rsidRDefault="00E70004" w:rsidP="00D1187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(n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27</w:t>
            </w:r>
            <w:r w:rsidRPr="00E7352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1.085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1.005-1.173</w:t>
            </w:r>
          </w:p>
        </w:tc>
        <w:tc>
          <w:tcPr>
            <w:tcW w:w="1651" w:type="dxa"/>
            <w:vAlign w:val="center"/>
          </w:tcPr>
          <w:p w:rsidR="00E70004" w:rsidRPr="00835F49" w:rsidRDefault="00E70004" w:rsidP="00D1187D">
            <w:pPr>
              <w:jc w:val="center"/>
              <w:rPr>
                <w:rFonts w:ascii="Times New Roman" w:eastAsia="Malgun Gothic" w:hAnsi="Times New Roman" w:cs="Times New Roman"/>
                <w:sz w:val="18"/>
                <w:szCs w:val="18"/>
              </w:rPr>
            </w:pPr>
            <w:r w:rsidRPr="00E732FF">
              <w:rPr>
                <w:rFonts w:ascii="Times New Roman" w:eastAsia="Malgun Gothic" w:hAnsi="Times New Roman" w:cs="Times New Roman"/>
                <w:sz w:val="18"/>
                <w:szCs w:val="18"/>
              </w:rPr>
              <w:t>0.037</w:t>
            </w:r>
          </w:p>
        </w:tc>
      </w:tr>
    </w:tbl>
    <w:p w:rsidR="00E70004" w:rsidRDefault="00E70004" w:rsidP="00E70004">
      <w:pPr>
        <w:spacing w:beforeLines="50" w:before="120" w:after="0" w:line="360" w:lineRule="auto"/>
        <w:rPr>
          <w:rFonts w:ascii="Times New Roman" w:eastAsia="Malgun Gothic" w:hAnsi="Times New Roman" w:cs="Times New Roman"/>
          <w:sz w:val="18"/>
          <w:szCs w:val="18"/>
        </w:rPr>
      </w:pPr>
      <w:r w:rsidRPr="00326C16">
        <w:rPr>
          <w:rFonts w:ascii="Times New Roman" w:eastAsia="Malgun Gothic" w:hAnsi="Times New Roman" w:cs="Times New Roman"/>
          <w:sz w:val="18"/>
        </w:rPr>
        <w:t>CI, confidence interval;</w:t>
      </w:r>
      <w:r>
        <w:rPr>
          <w:rFonts w:ascii="Times New Roman" w:eastAsia="Malgun Gothic" w:hAnsi="Times New Roman" w:cs="Times New Roman"/>
          <w:sz w:val="18"/>
        </w:rPr>
        <w:t xml:space="preserve"> HR, hazard </w:t>
      </w:r>
      <w:r w:rsidRPr="00326C16">
        <w:rPr>
          <w:rFonts w:ascii="Times New Roman" w:eastAsia="Malgun Gothic" w:hAnsi="Times New Roman" w:cs="Times New Roman"/>
          <w:sz w:val="18"/>
        </w:rPr>
        <w:t xml:space="preserve">ratio; </w:t>
      </w:r>
      <w:r w:rsidRPr="008D24FD">
        <w:rPr>
          <w:rFonts w:ascii="Times New Roman" w:eastAsia="Malgun Gothic" w:hAnsi="Times New Roman" w:cs="Times New Roman"/>
          <w:sz w:val="18"/>
          <w:szCs w:val="18"/>
        </w:rPr>
        <w:t xml:space="preserve">other abbreviations are listed in </w:t>
      </w:r>
      <w:r w:rsidRPr="00A2295C">
        <w:rPr>
          <w:rFonts w:ascii="Times New Roman" w:eastAsia="Malgun Gothic" w:hAnsi="Times New Roman" w:cs="Times New Roman"/>
          <w:b/>
          <w:sz w:val="18"/>
          <w:szCs w:val="18"/>
        </w:rPr>
        <w:t>Table 1</w:t>
      </w:r>
      <w:r w:rsidRPr="008D24FD">
        <w:rPr>
          <w:rFonts w:ascii="Times New Roman" w:eastAsia="Malgun Gothic" w:hAnsi="Times New Roman" w:cs="Times New Roman"/>
          <w:sz w:val="18"/>
          <w:szCs w:val="18"/>
        </w:rPr>
        <w:t>.</w:t>
      </w:r>
    </w:p>
    <w:p w:rsidR="00E70004" w:rsidRPr="00B52429" w:rsidRDefault="00E70004" w:rsidP="00E70004">
      <w:pPr>
        <w:spacing w:line="240" w:lineRule="auto"/>
        <w:rPr>
          <w:rFonts w:ascii="Times New Roman" w:eastAsia="Malgun Gothic" w:hAnsi="Times New Roman" w:cs="Times New Roman"/>
          <w:sz w:val="18"/>
          <w:szCs w:val="18"/>
        </w:rPr>
      </w:pPr>
    </w:p>
    <w:p w:rsidR="00000F57" w:rsidRDefault="00E70004">
      <w:bookmarkStart w:id="0" w:name="_GoBack"/>
      <w:bookmarkEnd w:id="0"/>
    </w:p>
    <w:sectPr w:rsidR="00000F57" w:rsidSect="00BB54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004"/>
    <w:rsid w:val="0007695B"/>
    <w:rsid w:val="005615C6"/>
    <w:rsid w:val="007D4061"/>
    <w:rsid w:val="008B4EED"/>
    <w:rsid w:val="00E70004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E89A39-5A31-4213-A7AE-B8B127F16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0004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0004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1356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2021-05-18T12:59:00Z</dcterms:created>
  <dcterms:modified xsi:type="dcterms:W3CDTF">2021-05-18T12:59:00Z</dcterms:modified>
</cp:coreProperties>
</file>