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6EF" w:rsidRPr="00A21D24" w:rsidRDefault="001726EF" w:rsidP="001726EF">
      <w:pPr>
        <w:spacing w:line="480" w:lineRule="auto"/>
        <w:jc w:val="both"/>
      </w:pPr>
      <w:proofErr w:type="gramStart"/>
      <w:r w:rsidRPr="00A21D24">
        <w:t>Supplementary Table 1.</w:t>
      </w:r>
      <w:proofErr w:type="gramEnd"/>
      <w:r w:rsidRPr="00A21D24">
        <w:t xml:space="preserve"> </w:t>
      </w:r>
      <w:r>
        <w:t xml:space="preserve">Types </w:t>
      </w:r>
      <w:r w:rsidRPr="00A21D24">
        <w:t>of benzodiazepine prescri</w:t>
      </w:r>
      <w:r>
        <w:t>bed and guidelines for conversion into diazepam mg equivalents.</w:t>
      </w:r>
    </w:p>
    <w:tbl>
      <w:tblPr>
        <w:tblW w:w="6379" w:type="dxa"/>
        <w:tblLook w:val="04A0"/>
      </w:tblPr>
      <w:tblGrid>
        <w:gridCol w:w="1843"/>
        <w:gridCol w:w="1701"/>
        <w:gridCol w:w="2835"/>
      </w:tblGrid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Benzodiazepines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8E0B70">
              <w:rPr>
                <w:color w:val="000000"/>
                <w:sz w:val="20"/>
                <w:szCs w:val="20"/>
              </w:rPr>
              <w:t>n</w:t>
            </w:r>
            <w:proofErr w:type="gramEnd"/>
            <w:r w:rsidRPr="008E0B70">
              <w:rPr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Diazepam equivalents</w:t>
            </w:r>
          </w:p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 xml:space="preserve"> (10mg)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/>
                <w:sz w:val="20"/>
                <w:szCs w:val="20"/>
              </w:rPr>
              <w:t>Alprazolam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13 (3.9)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1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/>
                <w:sz w:val="20"/>
                <w:szCs w:val="20"/>
              </w:rPr>
              <w:t>Bromazepam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7 (2.1)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6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/>
                <w:sz w:val="20"/>
                <w:szCs w:val="20"/>
              </w:rPr>
              <w:t>Clobazam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1 (&lt;0.1)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20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/>
                <w:sz w:val="20"/>
                <w:szCs w:val="20"/>
              </w:rPr>
              <w:t>Clonazepam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46 (13.9)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 w:themeColor="text1"/>
                <w:sz w:val="20"/>
                <w:szCs w:val="20"/>
              </w:rPr>
              <w:t>Diazepam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112 (33.9)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10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 w:themeColor="text1"/>
                <w:sz w:val="20"/>
                <w:szCs w:val="20"/>
              </w:rPr>
              <w:t>Flurazepam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7 (2.1)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30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 w:themeColor="text1"/>
                <w:sz w:val="20"/>
                <w:szCs w:val="20"/>
              </w:rPr>
              <w:t>Lorazepam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76 (23.0)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2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 w:themeColor="text1"/>
                <w:sz w:val="20"/>
                <w:szCs w:val="20"/>
              </w:rPr>
              <w:t>Lormetazepam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1 (&lt;0.1)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 w:themeColor="text1"/>
                <w:sz w:val="20"/>
                <w:szCs w:val="20"/>
              </w:rPr>
              <w:t>Midazolam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31 (9.4)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7.5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 w:themeColor="text1"/>
                <w:sz w:val="20"/>
                <w:szCs w:val="20"/>
              </w:rPr>
              <w:t>Nitrazepam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5 (1.5)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5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 w:themeColor="text1"/>
                <w:sz w:val="20"/>
                <w:szCs w:val="20"/>
              </w:rPr>
              <w:t>Oxazepam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90 (27.3)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25</w:t>
            </w:r>
          </w:p>
        </w:tc>
      </w:tr>
      <w:tr w:rsidR="001726EF" w:rsidRPr="008E0B70" w:rsidTr="00997A34">
        <w:trPr>
          <w:trHeight w:val="26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E0B70">
              <w:rPr>
                <w:color w:val="000000" w:themeColor="text1"/>
                <w:sz w:val="20"/>
                <w:szCs w:val="20"/>
              </w:rPr>
              <w:t>Triazolam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 w:rsidRPr="008E0B70">
              <w:rPr>
                <w:color w:val="000000"/>
                <w:sz w:val="20"/>
                <w:szCs w:val="20"/>
              </w:rPr>
              <w:t>7 (2.1)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26EF" w:rsidRPr="008E0B70" w:rsidRDefault="001726EF" w:rsidP="00997A3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</w:t>
            </w:r>
          </w:p>
        </w:tc>
      </w:tr>
    </w:tbl>
    <w:p w:rsidR="001726EF" w:rsidRDefault="001726EF" w:rsidP="001726EF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* </w:t>
      </w:r>
      <w:r w:rsidRPr="005A3868">
        <w:rPr>
          <w:sz w:val="20"/>
          <w:szCs w:val="20"/>
        </w:rPr>
        <w:t xml:space="preserve">Diazepam </w:t>
      </w:r>
      <w:r>
        <w:rPr>
          <w:sz w:val="20"/>
          <w:szCs w:val="20"/>
        </w:rPr>
        <w:t xml:space="preserve">mg </w:t>
      </w:r>
      <w:r w:rsidRPr="005A3868">
        <w:rPr>
          <w:sz w:val="20"/>
          <w:szCs w:val="20"/>
        </w:rPr>
        <w:t xml:space="preserve">equivalents were computed according to </w:t>
      </w:r>
      <w:proofErr w:type="spellStart"/>
      <w:r w:rsidRPr="005A3868">
        <w:rPr>
          <w:sz w:val="20"/>
          <w:szCs w:val="20"/>
        </w:rPr>
        <w:t>Caflisc</w:t>
      </w:r>
      <w:r>
        <w:rPr>
          <w:sz w:val="20"/>
          <w:szCs w:val="20"/>
        </w:rPr>
        <w:t>h</w:t>
      </w:r>
      <w:proofErr w:type="spellEnd"/>
      <w:r>
        <w:rPr>
          <w:sz w:val="20"/>
          <w:szCs w:val="20"/>
        </w:rPr>
        <w:t xml:space="preserve"> [1].</w:t>
      </w:r>
    </w:p>
    <w:p w:rsidR="001726EF" w:rsidRDefault="001726EF" w:rsidP="001726EF">
      <w:pPr>
        <w:spacing w:line="360" w:lineRule="auto"/>
        <w:jc w:val="both"/>
        <w:rPr>
          <w:sz w:val="20"/>
          <w:szCs w:val="20"/>
        </w:rPr>
      </w:pPr>
    </w:p>
    <w:p w:rsidR="001726EF" w:rsidRPr="00EA36A9" w:rsidRDefault="001726EF" w:rsidP="001726EF">
      <w:pPr>
        <w:spacing w:line="360" w:lineRule="auto"/>
        <w:jc w:val="both"/>
        <w:rPr>
          <w:lang w:val="de-CH"/>
        </w:rPr>
      </w:pPr>
      <w:r>
        <w:rPr>
          <w:color w:val="000000"/>
        </w:rPr>
        <w:t xml:space="preserve">1. </w:t>
      </w:r>
      <w:proofErr w:type="spellStart"/>
      <w:r>
        <w:rPr>
          <w:color w:val="000000"/>
        </w:rPr>
        <w:t>C</w:t>
      </w:r>
      <w:r w:rsidRPr="005A3868">
        <w:rPr>
          <w:color w:val="000000"/>
        </w:rPr>
        <w:t>aflisch</w:t>
      </w:r>
      <w:proofErr w:type="spellEnd"/>
      <w:r w:rsidRPr="005A3868">
        <w:rPr>
          <w:color w:val="000000"/>
        </w:rPr>
        <w:t xml:space="preserve"> C</w:t>
      </w:r>
      <w:r>
        <w:rPr>
          <w:color w:val="000000"/>
        </w:rPr>
        <w:t xml:space="preserve">: </w:t>
      </w:r>
      <w:proofErr w:type="spellStart"/>
      <w:r w:rsidRPr="00CA28E8">
        <w:rPr>
          <w:b/>
          <w:bCs/>
          <w:color w:val="000000"/>
        </w:rPr>
        <w:t>Aequivalenztabelle</w:t>
      </w:r>
      <w:proofErr w:type="spellEnd"/>
      <w:r>
        <w:rPr>
          <w:color w:val="000000"/>
        </w:rPr>
        <w:t xml:space="preserve">, </w:t>
      </w:r>
      <w:r w:rsidRPr="005A3868">
        <w:rPr>
          <w:color w:val="000000"/>
        </w:rPr>
        <w:t xml:space="preserve">Psychiatric University Hospital Zurich, Research Group </w:t>
      </w:r>
      <w:proofErr w:type="spellStart"/>
      <w:r w:rsidRPr="005A3868">
        <w:rPr>
          <w:color w:val="000000"/>
        </w:rPr>
        <w:t>onSubstance</w:t>
      </w:r>
      <w:proofErr w:type="spellEnd"/>
      <w:r w:rsidRPr="005A3868">
        <w:rPr>
          <w:color w:val="000000"/>
        </w:rPr>
        <w:t xml:space="preserve"> Use disorders</w:t>
      </w:r>
      <w:r>
        <w:rPr>
          <w:color w:val="000000"/>
        </w:rPr>
        <w:t>.</w:t>
      </w:r>
      <w:r w:rsidRPr="00DD5513">
        <w:rPr>
          <w:color w:val="000000"/>
          <w:lang w:val="de-CH"/>
        </w:rPr>
        <w:t>2018</w:t>
      </w:r>
      <w:proofErr w:type="gramStart"/>
      <w:r w:rsidRPr="00DD5513">
        <w:rPr>
          <w:color w:val="000000"/>
          <w:lang w:val="de-CH"/>
        </w:rPr>
        <w:t>;Zurich</w:t>
      </w:r>
      <w:proofErr w:type="gramEnd"/>
      <w:r w:rsidRPr="00DD5513">
        <w:rPr>
          <w:color w:val="000000"/>
          <w:lang w:val="de-CH"/>
        </w:rPr>
        <w:t xml:space="preserve">, Switzerland, </w:t>
      </w:r>
      <w:hyperlink r:id="rId4" w:history="1">
        <w:r w:rsidRPr="00DD5513">
          <w:rPr>
            <w:rStyle w:val="Hyperlink"/>
            <w:lang w:val="de-CH"/>
          </w:rPr>
          <w:t>https://praxis-suchtmedizin.ch/praxis-suchtmedizin/index.php/de/medikamente/benzodiabepine/aequivalenztabelle-bdz</w:t>
        </w:r>
      </w:hyperlink>
    </w:p>
    <w:p w:rsidR="001726EF" w:rsidRPr="00CA28E8" w:rsidRDefault="001726EF" w:rsidP="001726EF">
      <w:pPr>
        <w:spacing w:line="360" w:lineRule="auto"/>
        <w:jc w:val="both"/>
      </w:pPr>
    </w:p>
    <w:p w:rsidR="005A523C" w:rsidRDefault="005A523C"/>
    <w:sectPr w:rsidR="005A523C" w:rsidSect="005A52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726EF"/>
    <w:rsid w:val="001726EF"/>
    <w:rsid w:val="005A5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26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axis-suchtmedizin.ch/praxis-suchtmedizin/index.php/de/medikamente/benzodiabepine/aequivalenztabelle-bd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2020-08-07T15:28:00Z</dcterms:created>
  <dcterms:modified xsi:type="dcterms:W3CDTF">2020-08-07T15:28:00Z</dcterms:modified>
</cp:coreProperties>
</file>