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93608">
      <w:pPr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  <w:bookmarkStart w:id="0" w:name="_Hlk100414226"/>
      <w:bookmarkStart w:id="1" w:name="_Hlk105857670"/>
      <w:r>
        <w:rPr>
          <w:rFonts w:hint="eastAsia" w:ascii="Times New Roman" w:hAnsi="Times New Roman" w:cs="Times New Roman"/>
          <w:b/>
          <w:bCs/>
          <w:i/>
          <w:iCs/>
          <w:sz w:val="32"/>
          <w:szCs w:val="32"/>
        </w:rPr>
        <w:t xml:space="preserve">Nocardioides piscium sp. nov. 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i w:val="0"/>
          <w:iCs w:val="0"/>
          <w:sz w:val="32"/>
          <w:szCs w:val="32"/>
          <w:lang w:val="en-US" w:eastAsia="zh-CN"/>
        </w:rPr>
        <w:t xml:space="preserve">an Epsilon-poly-L-lysine producing actinobacterium </w:t>
      </w:r>
      <w:r>
        <w:rPr>
          <w:rFonts w:ascii="Times New Roman" w:hAnsi="Times New Roman" w:cs="Times New Roman"/>
          <w:b/>
          <w:i w:val="0"/>
          <w:iCs w:val="0"/>
          <w:sz w:val="32"/>
          <w:szCs w:val="32"/>
        </w:rPr>
        <w:t>isolated from the fish intestine</w:t>
      </w:r>
      <w:bookmarkEnd w:id="0"/>
      <w:bookmarkEnd w:id="1"/>
    </w:p>
    <w:p w14:paraId="6A2D6436">
      <w:pPr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</w:p>
    <w:p w14:paraId="4B5EA2A7">
      <w:pPr>
        <w:rPr>
          <w:rFonts w:hint="eastAsia" w:ascii="Times New Roman" w:hAnsi="Times New Roman" w:cs="Times New Roman" w:eastAsiaTheme="minorEastAsia"/>
          <w:b/>
          <w:i w:val="0"/>
          <w:iCs w:val="0"/>
          <w:sz w:val="32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i w:val="0"/>
          <w:iCs w:val="0"/>
          <w:sz w:val="32"/>
          <w:szCs w:val="32"/>
          <w:lang w:eastAsia="zh-CN"/>
        </w:rPr>
        <w:drawing>
          <wp:inline distT="0" distB="0" distL="114300" distR="114300">
            <wp:extent cx="5761990" cy="3142615"/>
            <wp:effectExtent l="0" t="0" r="10160" b="635"/>
            <wp:docPr id="9" name="图片 9" descr="b19ad6a5ec83b25ffe010edba94b3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19ad6a5ec83b25ffe010edba94b3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D44EF">
      <w:pP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Fig. 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eastAsia="zh-CN"/>
        </w:rPr>
        <w:t>S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1</w:t>
      </w:r>
      <w:r>
        <w:rPr>
          <w:rFonts w:ascii="Times New Roman" w:hAnsi="Times New Roman" w:eastAsia="宋体" w:cs="Times New Roman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The </w:t>
      </w:r>
      <w:r>
        <w:rPr>
          <w:rFonts w:hint="default" w:ascii="Times New Roman" w:hAnsi="Times New Roman" w:eastAsia="DINNextLTPro-Medium" w:cs="Times New Roman"/>
          <w:color w:val="231F20"/>
          <w:sz w:val="21"/>
          <w:szCs w:val="21"/>
          <w:lang w:val="en-US" w:eastAsia="zh-CN" w:bidi="ar"/>
        </w:rPr>
        <w:t>neighbor-joining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tree based on the 16S rRNA gene sequences showing the phylogenetic relationship of GX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lang w:val="en-US" w:eastAsia="zh-CN" w:bidi="ar"/>
        </w:rPr>
        <w:t>Z039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vertAlign w:val="superscript"/>
          <w:lang w:eastAsia="zh-CN" w:bidi="ar"/>
        </w:rPr>
        <w:t>T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with related taxa.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lang w:val="en-US" w:eastAsia="zh-CN" w:bidi="ar"/>
        </w:rPr>
        <w:t xml:space="preserve"> 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The sequence of </w:t>
      </w:r>
      <w:r>
        <w:rPr>
          <w:rFonts w:hint="eastAsia" w:ascii="Times New Roman" w:hAnsi="Times New Roman" w:eastAsia="DINNextLTPro-Medium" w:cs="Times New Roman"/>
          <w:i/>
          <w:iCs/>
          <w:color w:val="231F20"/>
          <w:sz w:val="21"/>
          <w:szCs w:val="21"/>
          <w:lang w:eastAsia="zh-CN" w:bidi="ar"/>
        </w:rPr>
        <w:t xml:space="preserve">Propionibacterium freudenreichii </w:t>
      </w:r>
      <w:r>
        <w:rPr>
          <w:rFonts w:hint="eastAsia" w:ascii="Times New Roman" w:hAnsi="Times New Roman" w:eastAsia="DINNextLTPro-Medium" w:cs="Times New Roman"/>
          <w:i w:val="0"/>
          <w:iCs w:val="0"/>
          <w:color w:val="231F20"/>
          <w:sz w:val="21"/>
          <w:szCs w:val="21"/>
          <w:lang w:eastAsia="zh-CN" w:bidi="ar"/>
        </w:rPr>
        <w:t>DSM20271T (CP010341)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was used as an outgroup. Bootstrap support values were calculated from 1000 replicates.</w:t>
      </w:r>
    </w:p>
    <w:p w14:paraId="23F471B6">
      <w:pPr>
        <w:rPr>
          <w:rFonts w:hint="eastAsia" w:ascii="Times New Roman" w:hAnsi="Times New Roman" w:cs="Times New Roman" w:eastAsiaTheme="minorEastAsia"/>
          <w:b/>
          <w:i w:val="0"/>
          <w:iCs w:val="0"/>
          <w:sz w:val="32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i w:val="0"/>
          <w:iCs w:val="0"/>
          <w:sz w:val="32"/>
          <w:szCs w:val="32"/>
          <w:lang w:eastAsia="zh-CN"/>
        </w:rPr>
        <w:drawing>
          <wp:inline distT="0" distB="0" distL="114300" distR="114300">
            <wp:extent cx="5132705" cy="3090545"/>
            <wp:effectExtent l="0" t="0" r="10795" b="14605"/>
            <wp:docPr id="10" name="图片 10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 S2"/>
                    <pic:cNvPicPr>
                      <a:picLocks noChangeAspect="1"/>
                    </pic:cNvPicPr>
                  </pic:nvPicPr>
                  <pic:blipFill>
                    <a:blip r:embed="rId6"/>
                    <a:srcRect r="34013" b="18204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16A4">
      <w:pP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Fig. 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eastAsia="zh-CN"/>
        </w:rPr>
        <w:t>S2</w:t>
      </w:r>
      <w:r>
        <w:rPr>
          <w:rFonts w:ascii="Times New Roman" w:hAnsi="Times New Roman" w:eastAsia="宋体" w:cs="Times New Roman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>The maximum-parsimony tree based on the 16S rRNA gene sequences showing the phylogenetic relationship of GX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lang w:val="en-US" w:eastAsia="zh-CN" w:bidi="ar"/>
        </w:rPr>
        <w:t>Z039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vertAlign w:val="superscript"/>
          <w:lang w:eastAsia="zh-CN" w:bidi="ar"/>
        </w:rPr>
        <w:t>T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with related taxa. The sequence of </w:t>
      </w:r>
      <w:r>
        <w:rPr>
          <w:rFonts w:hint="eastAsia" w:ascii="Times New Roman" w:hAnsi="Times New Roman" w:eastAsia="DINNextLTPro-Medium" w:cs="Times New Roman"/>
          <w:i/>
          <w:iCs/>
          <w:color w:val="231F20"/>
          <w:sz w:val="21"/>
          <w:szCs w:val="21"/>
          <w:lang w:eastAsia="zh-CN" w:bidi="ar"/>
        </w:rPr>
        <w:t xml:space="preserve">Propionibacterium freudenreichii </w:t>
      </w:r>
      <w:r>
        <w:rPr>
          <w:rFonts w:hint="eastAsia" w:ascii="Times New Roman" w:hAnsi="Times New Roman" w:eastAsia="DINNextLTPro-Medium" w:cs="Times New Roman"/>
          <w:i w:val="0"/>
          <w:iCs w:val="0"/>
          <w:color w:val="231F20"/>
          <w:sz w:val="21"/>
          <w:szCs w:val="21"/>
          <w:lang w:eastAsia="zh-CN" w:bidi="ar"/>
        </w:rPr>
        <w:t>DSM20271T (CP010341)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was used as an outgroup. Bootstrap support values were calculated from 1000 replicates. </w:t>
      </w:r>
    </w:p>
    <w:p w14:paraId="2D1D9C1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380990" cy="3325495"/>
            <wp:effectExtent l="0" t="0" r="10160" b="8255"/>
            <wp:docPr id="11" name="图片 11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 S3"/>
                    <pic:cNvPicPr>
                      <a:picLocks noChangeAspect="1"/>
                    </pic:cNvPicPr>
                  </pic:nvPicPr>
                  <pic:blipFill>
                    <a:blip r:embed="rId7"/>
                    <a:srcRect r="9726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F4CE">
      <w:pPr>
        <w:bidi w:val="0"/>
        <w:rPr>
          <w:lang w:val="en-US" w:eastAsia="zh-CN"/>
        </w:rPr>
      </w:pPr>
    </w:p>
    <w:p w14:paraId="55DA4EE3">
      <w:pPr>
        <w:rPr>
          <w:rFonts w:ascii="Times New Roman" w:hAnsi="Times New Roman" w:cs="Times New Roman" w:eastAsiaTheme="minorEastAsia"/>
          <w:color w:val="231F20"/>
          <w:sz w:val="21"/>
          <w:szCs w:val="21"/>
          <w:lang w:eastAsia="zh-CN" w:bidi="ar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Fig. 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eastAsia="zh-CN"/>
        </w:rPr>
        <w:t>S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>The maximum-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lang w:val="en-US" w:eastAsia="zh-CN" w:bidi="ar"/>
        </w:rPr>
        <w:t>likelihood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tree based on the 16S rRNA gene sequences showing the phylogenetic relationship of GX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lang w:val="en-US" w:eastAsia="zh-CN" w:bidi="ar"/>
        </w:rPr>
        <w:t>Z039</w:t>
      </w:r>
      <w:r>
        <w:rPr>
          <w:rFonts w:hint="eastAsia" w:ascii="Times New Roman" w:hAnsi="Times New Roman" w:eastAsia="DINNextLTPro-Medium" w:cs="Times New Roman"/>
          <w:color w:val="231F20"/>
          <w:sz w:val="21"/>
          <w:szCs w:val="21"/>
          <w:vertAlign w:val="superscript"/>
          <w:lang w:eastAsia="zh-CN" w:bidi="ar"/>
        </w:rPr>
        <w:t>T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with related taxa. The sequence of </w:t>
      </w:r>
      <w:r>
        <w:rPr>
          <w:rFonts w:hint="eastAsia" w:ascii="Times New Roman" w:hAnsi="Times New Roman" w:eastAsia="DINNextLTPro-Medium" w:cs="Times New Roman"/>
          <w:i/>
          <w:iCs/>
          <w:color w:val="231F20"/>
          <w:sz w:val="21"/>
          <w:szCs w:val="21"/>
          <w:lang w:eastAsia="zh-CN" w:bidi="ar"/>
        </w:rPr>
        <w:t xml:space="preserve">Propionibacterium freudenreichii </w:t>
      </w:r>
      <w:r>
        <w:rPr>
          <w:rFonts w:hint="eastAsia" w:ascii="Times New Roman" w:hAnsi="Times New Roman" w:eastAsia="DINNextLTPro-Medium" w:cs="Times New Roman"/>
          <w:i w:val="0"/>
          <w:iCs w:val="0"/>
          <w:color w:val="231F20"/>
          <w:sz w:val="21"/>
          <w:szCs w:val="21"/>
          <w:lang w:eastAsia="zh-CN" w:bidi="ar"/>
        </w:rPr>
        <w:t>DSM20271T (CP010341)</w:t>
      </w:r>
      <w:r>
        <w:rPr>
          <w:rFonts w:ascii="Times New Roman" w:hAnsi="Times New Roman" w:eastAsia="DINNextLTPro-Medium" w:cs="Times New Roman"/>
          <w:color w:val="231F20"/>
          <w:sz w:val="21"/>
          <w:szCs w:val="21"/>
          <w:lang w:eastAsia="zh-CN" w:bidi="ar"/>
        </w:rPr>
        <w:t xml:space="preserve"> was used as an outgroup. Bootstrap support values were calculated from 1000 replicates. </w:t>
      </w:r>
    </w:p>
    <w:p w14:paraId="67509B11">
      <w:pPr>
        <w:bidi w:val="0"/>
        <w:jc w:val="left"/>
        <w:rPr>
          <w:lang w:val="en-US" w:eastAsia="zh-CN"/>
        </w:rPr>
      </w:pPr>
    </w:p>
    <w:p w14:paraId="5C60A286">
      <w:pPr>
        <w:bidi w:val="0"/>
        <w:jc w:val="left"/>
        <w:rPr>
          <w:lang w:val="en-US" w:eastAsia="zh-CN"/>
        </w:rPr>
      </w:pPr>
    </w:p>
    <w:p w14:paraId="6147C5B1">
      <w:pPr>
        <w:bidi w:val="0"/>
        <w:jc w:val="left"/>
        <w:rPr>
          <w:lang w:val="en-US" w:eastAsia="zh-CN"/>
        </w:rPr>
      </w:pPr>
    </w:p>
    <w:p w14:paraId="3623E041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kern w:val="0"/>
          <w:szCs w:val="21"/>
          <w:lang w:eastAsia="en-US"/>
        </w:rPr>
      </w:pPr>
      <w:bookmarkStart w:id="2" w:name="_Hlk152565858"/>
      <w:bookmarkStart w:id="3" w:name="_Hlk153231600"/>
      <w:r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  <w:t>Table S1</w:t>
      </w:r>
      <w:bookmarkEnd w:id="2"/>
      <w:r>
        <w:rPr>
          <w:rFonts w:ascii="Times New Roman" w:hAnsi="Times New Roman" w:eastAsia="Calibri" w:cs="Times New Roman"/>
          <w:kern w:val="0"/>
          <w:sz w:val="22"/>
          <w:szCs w:val="21"/>
          <w:lang w:eastAsia="en-US"/>
        </w:rPr>
        <w:t xml:space="preserve"> </w:t>
      </w:r>
      <w:r>
        <w:rPr>
          <w:rFonts w:ascii="Times New Roman" w:hAnsi="Times New Roman" w:eastAsia="Calibri" w:cs="Times New Roman"/>
          <w:kern w:val="0"/>
          <w:szCs w:val="21"/>
          <w:lang w:eastAsia="en-US"/>
        </w:rPr>
        <w:t>Subsystem characterisation counts for GX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>Z039</w:t>
      </w:r>
      <w:r>
        <w:rPr>
          <w:rFonts w:ascii="Times New Roman" w:hAnsi="Times New Roman" w:eastAsia="Calibri" w:cs="Times New Roman"/>
          <w:kern w:val="0"/>
          <w:szCs w:val="21"/>
          <w:vertAlign w:val="superscript"/>
          <w:lang w:eastAsia="en-US"/>
        </w:rPr>
        <w:t>T</w:t>
      </w:r>
      <w:r>
        <w:rPr>
          <w:rFonts w:ascii="Times New Roman" w:hAnsi="Times New Roman" w:eastAsia="Calibri" w:cs="Times New Roman"/>
          <w:kern w:val="0"/>
          <w:szCs w:val="21"/>
          <w:lang w:eastAsia="en-US"/>
        </w:rPr>
        <w:t xml:space="preserve"> and related members of the genus </w:t>
      </w:r>
      <w:r>
        <w:rPr>
          <w:rFonts w:hint="default" w:ascii="Times New Roman" w:hAnsi="Times New Roman" w:cs="Times New Roman"/>
          <w:i/>
          <w:iCs/>
          <w:sz w:val="21"/>
          <w:szCs w:val="21"/>
          <w:lang w:val="en-US" w:eastAsia="zh-CN"/>
        </w:rPr>
        <w:t>Nocardioides</w:t>
      </w:r>
      <w:r>
        <w:rPr>
          <w:rFonts w:ascii="Times New Roman" w:hAnsi="Times New Roman" w:eastAsia="Calibri" w:cs="Times New Roman"/>
          <w:kern w:val="0"/>
          <w:szCs w:val="21"/>
          <w:lang w:eastAsia="en-US"/>
        </w:rPr>
        <w:t>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Strains:1，GXZ039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；2，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plantarum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NCIMB 12834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；3，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dongxiaopingii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S-1144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；4 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litoris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002-2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</w:t>
      </w:r>
    </w:p>
    <w:bookmarkEnd w:id="3"/>
    <w:tbl>
      <w:tblPr>
        <w:tblStyle w:val="6"/>
        <w:tblW w:w="1063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1863"/>
        <w:gridCol w:w="1950"/>
        <w:gridCol w:w="1762"/>
        <w:gridCol w:w="2125"/>
      </w:tblGrid>
      <w:tr w14:paraId="640A87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30" w:type="dxa"/>
            <w:vAlign w:val="center"/>
          </w:tcPr>
          <w:p w14:paraId="08A9F486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1"/>
                <w:lang w:eastAsia="en-US"/>
              </w:rPr>
            </w:pPr>
            <w:bookmarkStart w:id="4" w:name="_Hlk152545711"/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1"/>
                <w:lang w:eastAsia="en-US"/>
              </w:rPr>
              <w:t>Subsystem feature counts</w:t>
            </w:r>
            <w:bookmarkEnd w:id="4"/>
          </w:p>
        </w:tc>
        <w:tc>
          <w:tcPr>
            <w:tcW w:w="1863" w:type="dxa"/>
            <w:vAlign w:val="center"/>
          </w:tcPr>
          <w:p w14:paraId="46FA7605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0" w:type="dxa"/>
            <w:vAlign w:val="center"/>
          </w:tcPr>
          <w:p w14:paraId="787230D5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62" w:type="dxa"/>
          </w:tcPr>
          <w:p w14:paraId="69314593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25" w:type="dxa"/>
          </w:tcPr>
          <w:p w14:paraId="0C414991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0BB620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30" w:type="dxa"/>
            <w:vAlign w:val="center"/>
          </w:tcPr>
          <w:p w14:paraId="56361BDD">
            <w:pPr>
              <w:autoSpaceDE w:val="0"/>
              <w:autoSpaceDN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Cofactors, Vitamins, Prosthetic Groups, Pigments</w:t>
            </w:r>
          </w:p>
        </w:tc>
        <w:tc>
          <w:tcPr>
            <w:tcW w:w="1863" w:type="dxa"/>
          </w:tcPr>
          <w:p w14:paraId="489C6B17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164</w:t>
            </w:r>
          </w:p>
        </w:tc>
        <w:tc>
          <w:tcPr>
            <w:tcW w:w="1950" w:type="dxa"/>
          </w:tcPr>
          <w:p w14:paraId="4801E735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762" w:type="dxa"/>
          </w:tcPr>
          <w:p w14:paraId="05E17A49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2125" w:type="dxa"/>
          </w:tcPr>
          <w:p w14:paraId="0E6153DB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163</w:t>
            </w:r>
          </w:p>
        </w:tc>
      </w:tr>
      <w:tr w14:paraId="014C45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30" w:type="dxa"/>
          </w:tcPr>
          <w:p w14:paraId="34777B9F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Cell Wall and Capsule·</w:t>
            </w:r>
          </w:p>
        </w:tc>
        <w:tc>
          <w:tcPr>
            <w:tcW w:w="1863" w:type="dxa"/>
          </w:tcPr>
          <w:p w14:paraId="4DB3B6CF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950" w:type="dxa"/>
          </w:tcPr>
          <w:p w14:paraId="48B5F0B5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762" w:type="dxa"/>
          </w:tcPr>
          <w:p w14:paraId="10C6E7DE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125" w:type="dxa"/>
          </w:tcPr>
          <w:p w14:paraId="2AF66F0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</w:tr>
      <w:tr w14:paraId="42C59C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30" w:type="dxa"/>
          </w:tcPr>
          <w:p w14:paraId="5883DDE9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Virulence, Disease and Defense</w:t>
            </w:r>
          </w:p>
        </w:tc>
        <w:tc>
          <w:tcPr>
            <w:tcW w:w="1863" w:type="dxa"/>
          </w:tcPr>
          <w:p w14:paraId="737F557C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950" w:type="dxa"/>
          </w:tcPr>
          <w:p w14:paraId="13747BD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762" w:type="dxa"/>
          </w:tcPr>
          <w:p w14:paraId="56E385B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125" w:type="dxa"/>
          </w:tcPr>
          <w:p w14:paraId="4B1E8262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</w:tr>
      <w:tr w14:paraId="63F27C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30" w:type="dxa"/>
          </w:tcPr>
          <w:p w14:paraId="1378AAC7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Potassium metabolism</w:t>
            </w:r>
          </w:p>
        </w:tc>
        <w:tc>
          <w:tcPr>
            <w:tcW w:w="1863" w:type="dxa"/>
          </w:tcPr>
          <w:p w14:paraId="3E44E04F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50" w:type="dxa"/>
          </w:tcPr>
          <w:p w14:paraId="7420CF23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62" w:type="dxa"/>
          </w:tcPr>
          <w:p w14:paraId="213E147B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25" w:type="dxa"/>
          </w:tcPr>
          <w:p w14:paraId="4F942C69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5289EF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930" w:type="dxa"/>
          </w:tcPr>
          <w:p w14:paraId="1DDB57AE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Photosynthesis</w:t>
            </w:r>
          </w:p>
        </w:tc>
        <w:tc>
          <w:tcPr>
            <w:tcW w:w="1863" w:type="dxa"/>
          </w:tcPr>
          <w:p w14:paraId="3DFA858B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1950" w:type="dxa"/>
          </w:tcPr>
          <w:p w14:paraId="048B76EC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1762" w:type="dxa"/>
          </w:tcPr>
          <w:p w14:paraId="07066DCB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125" w:type="dxa"/>
          </w:tcPr>
          <w:p w14:paraId="5DCDD0C7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71E4C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930" w:type="dxa"/>
          </w:tcPr>
          <w:p w14:paraId="286693D3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iCs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Miscellaneous</w:t>
            </w:r>
          </w:p>
        </w:tc>
        <w:tc>
          <w:tcPr>
            <w:tcW w:w="1863" w:type="dxa"/>
          </w:tcPr>
          <w:p w14:paraId="25F6A31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950" w:type="dxa"/>
          </w:tcPr>
          <w:p w14:paraId="34594CB6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762" w:type="dxa"/>
          </w:tcPr>
          <w:p w14:paraId="5F641FAC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125" w:type="dxa"/>
          </w:tcPr>
          <w:p w14:paraId="232F0D89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</w:tr>
      <w:tr w14:paraId="1A9D45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930" w:type="dxa"/>
          </w:tcPr>
          <w:p w14:paraId="193B9F91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 Light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Phages, Prophages, Transposable elements, Plasmids</w:t>
            </w:r>
          </w:p>
        </w:tc>
        <w:tc>
          <w:tcPr>
            <w:tcW w:w="1863" w:type="dxa"/>
          </w:tcPr>
          <w:p w14:paraId="2C2BB3C1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50" w:type="dxa"/>
          </w:tcPr>
          <w:p w14:paraId="5D0A0D30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762" w:type="dxa"/>
          </w:tcPr>
          <w:p w14:paraId="7A23276D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25" w:type="dxa"/>
          </w:tcPr>
          <w:p w14:paraId="69EF83A7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DF1C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930" w:type="dxa"/>
          </w:tcPr>
          <w:p w14:paraId="3414885C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 Light" w:cs="Times New Roman"/>
                <w:kern w:val="0"/>
                <w:sz w:val="21"/>
                <w:szCs w:val="21"/>
                <w:highlight w:val="yellow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Membrane Transport</w:t>
            </w:r>
          </w:p>
        </w:tc>
        <w:tc>
          <w:tcPr>
            <w:tcW w:w="1863" w:type="dxa"/>
          </w:tcPr>
          <w:p w14:paraId="407BEBB3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950" w:type="dxa"/>
          </w:tcPr>
          <w:p w14:paraId="645FAE23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762" w:type="dxa"/>
          </w:tcPr>
          <w:p w14:paraId="517F2EC5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125" w:type="dxa"/>
          </w:tcPr>
          <w:p w14:paraId="2689C2BA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</w:tr>
      <w:tr w14:paraId="20DF0B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930" w:type="dxa"/>
          </w:tcPr>
          <w:p w14:paraId="3CDFD4C5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 Light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Iron acquisition and metabolism</w:t>
            </w:r>
          </w:p>
        </w:tc>
        <w:tc>
          <w:tcPr>
            <w:tcW w:w="1863" w:type="dxa"/>
          </w:tcPr>
          <w:p w14:paraId="0269C721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950" w:type="dxa"/>
          </w:tcPr>
          <w:p w14:paraId="3C57695A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62" w:type="dxa"/>
          </w:tcPr>
          <w:p w14:paraId="684807CF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25" w:type="dxa"/>
          </w:tcPr>
          <w:p w14:paraId="5E1BBA98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5B6D25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10AE236E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 Light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RNA Metabolism</w:t>
            </w:r>
          </w:p>
        </w:tc>
        <w:tc>
          <w:tcPr>
            <w:tcW w:w="1863" w:type="dxa"/>
          </w:tcPr>
          <w:p w14:paraId="7730C671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950" w:type="dxa"/>
          </w:tcPr>
          <w:p w14:paraId="78A94FAB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762" w:type="dxa"/>
          </w:tcPr>
          <w:p w14:paraId="0F6251BA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2125" w:type="dxa"/>
          </w:tcPr>
          <w:p w14:paraId="6F6163EB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45</w:t>
            </w:r>
          </w:p>
        </w:tc>
      </w:tr>
      <w:tr w14:paraId="06B552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77111FA9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Nucleosides and Nucleotides</w:t>
            </w:r>
          </w:p>
        </w:tc>
        <w:tc>
          <w:tcPr>
            <w:tcW w:w="1863" w:type="dxa"/>
          </w:tcPr>
          <w:p w14:paraId="34259579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950" w:type="dxa"/>
          </w:tcPr>
          <w:p w14:paraId="5A43E8CE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62" w:type="dxa"/>
          </w:tcPr>
          <w:p w14:paraId="494D4B63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25" w:type="dxa"/>
          </w:tcPr>
          <w:p w14:paraId="7D9FA695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</w:t>
            </w:r>
          </w:p>
        </w:tc>
      </w:tr>
      <w:tr w14:paraId="7502A5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4E3C9F58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Protein Metabolism</w:t>
            </w:r>
          </w:p>
        </w:tc>
        <w:tc>
          <w:tcPr>
            <w:tcW w:w="1863" w:type="dxa"/>
          </w:tcPr>
          <w:p w14:paraId="206B4F22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177</w:t>
            </w:r>
          </w:p>
        </w:tc>
        <w:tc>
          <w:tcPr>
            <w:tcW w:w="1950" w:type="dxa"/>
          </w:tcPr>
          <w:p w14:paraId="0A5F1EA9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18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62" w:type="dxa"/>
          </w:tcPr>
          <w:p w14:paraId="5790A5F6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2125" w:type="dxa"/>
          </w:tcPr>
          <w:p w14:paraId="5ED75DF2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182</w:t>
            </w:r>
          </w:p>
        </w:tc>
      </w:tr>
      <w:tr w14:paraId="3078DE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7349F80E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Cell Division and Cell Cycle</w:t>
            </w:r>
          </w:p>
        </w:tc>
        <w:tc>
          <w:tcPr>
            <w:tcW w:w="1863" w:type="dxa"/>
          </w:tcPr>
          <w:p w14:paraId="77C4E254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1950" w:type="dxa"/>
          </w:tcPr>
          <w:p w14:paraId="033CE49F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762" w:type="dxa"/>
          </w:tcPr>
          <w:p w14:paraId="121D9B21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125" w:type="dxa"/>
          </w:tcPr>
          <w:p w14:paraId="2F2945EF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3B500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6869856C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bookmarkStart w:id="5" w:name="_Hlk152587216"/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Motility and Chemotaxis</w:t>
            </w:r>
            <w:bookmarkEnd w:id="5"/>
          </w:p>
        </w:tc>
        <w:tc>
          <w:tcPr>
            <w:tcW w:w="1863" w:type="dxa"/>
          </w:tcPr>
          <w:p w14:paraId="6D6B4351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1950" w:type="dxa"/>
          </w:tcPr>
          <w:p w14:paraId="5CBB16B3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762" w:type="dxa"/>
          </w:tcPr>
          <w:p w14:paraId="200D4C51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125" w:type="dxa"/>
          </w:tcPr>
          <w:p w14:paraId="603C4ED9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CAE9B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  <w:vAlign w:val="center"/>
          </w:tcPr>
          <w:p w14:paraId="6DB05A12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Regulation and Cell signaling</w:t>
            </w:r>
          </w:p>
        </w:tc>
        <w:tc>
          <w:tcPr>
            <w:tcW w:w="1863" w:type="dxa"/>
          </w:tcPr>
          <w:p w14:paraId="0D20CF2C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950" w:type="dxa"/>
          </w:tcPr>
          <w:p w14:paraId="4EE24137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62" w:type="dxa"/>
          </w:tcPr>
          <w:p w14:paraId="443BA8AC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25" w:type="dxa"/>
          </w:tcPr>
          <w:p w14:paraId="22C5FBD1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73EEFA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0454DB53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Secondary Metabolism</w:t>
            </w:r>
          </w:p>
        </w:tc>
        <w:tc>
          <w:tcPr>
            <w:tcW w:w="1863" w:type="dxa"/>
          </w:tcPr>
          <w:p w14:paraId="4D087516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50" w:type="dxa"/>
          </w:tcPr>
          <w:p w14:paraId="1BB8BB2E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62" w:type="dxa"/>
          </w:tcPr>
          <w:p w14:paraId="100AC1FA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25" w:type="dxa"/>
          </w:tcPr>
          <w:p w14:paraId="351DE59F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 w14:paraId="5F5048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1D7AB16F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DNA Metabolism</w:t>
            </w:r>
          </w:p>
        </w:tc>
        <w:tc>
          <w:tcPr>
            <w:tcW w:w="1863" w:type="dxa"/>
          </w:tcPr>
          <w:p w14:paraId="52A3B7D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950" w:type="dxa"/>
          </w:tcPr>
          <w:p w14:paraId="64474D26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762" w:type="dxa"/>
          </w:tcPr>
          <w:p w14:paraId="66122A15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2125" w:type="dxa"/>
          </w:tcPr>
          <w:p w14:paraId="5E1F9CA4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</w:t>
            </w:r>
          </w:p>
        </w:tc>
      </w:tr>
      <w:tr w14:paraId="4B8BB8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3277DAD5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Fatty Acids, Lipids, and Isoprenoids</w:t>
            </w:r>
          </w:p>
        </w:tc>
        <w:tc>
          <w:tcPr>
            <w:tcW w:w="1863" w:type="dxa"/>
          </w:tcPr>
          <w:p w14:paraId="00AFAEC6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950" w:type="dxa"/>
          </w:tcPr>
          <w:p w14:paraId="56C7C0F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762" w:type="dxa"/>
          </w:tcPr>
          <w:p w14:paraId="266BFBD0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111</w:t>
            </w:r>
          </w:p>
        </w:tc>
        <w:tc>
          <w:tcPr>
            <w:tcW w:w="2125" w:type="dxa"/>
          </w:tcPr>
          <w:p w14:paraId="61F461C3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116</w:t>
            </w:r>
          </w:p>
        </w:tc>
      </w:tr>
      <w:tr w14:paraId="22F42F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59A31B8A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Nitrogen Metabolism</w:t>
            </w:r>
          </w:p>
        </w:tc>
        <w:tc>
          <w:tcPr>
            <w:tcW w:w="1863" w:type="dxa"/>
          </w:tcPr>
          <w:p w14:paraId="6E7D690C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950" w:type="dxa"/>
          </w:tcPr>
          <w:p w14:paraId="6A8F8E06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62" w:type="dxa"/>
          </w:tcPr>
          <w:p w14:paraId="476FB74C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25" w:type="dxa"/>
          </w:tcPr>
          <w:p w14:paraId="7B2FAB53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</w:tr>
      <w:tr w14:paraId="5062BC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690EA5D4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Dormancy and Sporulation</w:t>
            </w:r>
          </w:p>
        </w:tc>
        <w:tc>
          <w:tcPr>
            <w:tcW w:w="1863" w:type="dxa"/>
          </w:tcPr>
          <w:p w14:paraId="75EB5B0B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950" w:type="dxa"/>
          </w:tcPr>
          <w:p w14:paraId="7D70655D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762" w:type="dxa"/>
          </w:tcPr>
          <w:p w14:paraId="6CFA1F40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25" w:type="dxa"/>
          </w:tcPr>
          <w:p w14:paraId="1D6794D8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 w14:paraId="4004EF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28952CB5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Respiration</w:t>
            </w:r>
          </w:p>
        </w:tc>
        <w:tc>
          <w:tcPr>
            <w:tcW w:w="1863" w:type="dxa"/>
          </w:tcPr>
          <w:p w14:paraId="32179ADA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950" w:type="dxa"/>
          </w:tcPr>
          <w:p w14:paraId="5CD7EBAF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1762" w:type="dxa"/>
          </w:tcPr>
          <w:p w14:paraId="0231C57B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2125" w:type="dxa"/>
          </w:tcPr>
          <w:p w14:paraId="4E8FAD61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</w:tr>
      <w:tr w14:paraId="7BA55F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2F612E7A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Stress Response</w:t>
            </w:r>
          </w:p>
        </w:tc>
        <w:tc>
          <w:tcPr>
            <w:tcW w:w="1863" w:type="dxa"/>
          </w:tcPr>
          <w:p w14:paraId="5B261CCA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950" w:type="dxa"/>
          </w:tcPr>
          <w:p w14:paraId="5FF16AF8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762" w:type="dxa"/>
          </w:tcPr>
          <w:p w14:paraId="1C854EC9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125" w:type="dxa"/>
          </w:tcPr>
          <w:p w14:paraId="057F8919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</w:tr>
      <w:tr w14:paraId="6FEF0F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081DC98C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bookmarkStart w:id="6" w:name="OLE_LINK1"/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Metabolism of Aromatic Compounds</w:t>
            </w:r>
            <w:bookmarkEnd w:id="6"/>
          </w:p>
        </w:tc>
        <w:tc>
          <w:tcPr>
            <w:tcW w:w="1863" w:type="dxa"/>
          </w:tcPr>
          <w:p w14:paraId="597B989B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950" w:type="dxa"/>
          </w:tcPr>
          <w:p w14:paraId="40DEAB44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762" w:type="dxa"/>
          </w:tcPr>
          <w:p w14:paraId="20105B77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25" w:type="dxa"/>
          </w:tcPr>
          <w:p w14:paraId="412C21DE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076F77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4A30FA84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Amino Acids and Derivatives</w:t>
            </w:r>
          </w:p>
        </w:tc>
        <w:tc>
          <w:tcPr>
            <w:tcW w:w="1863" w:type="dxa"/>
          </w:tcPr>
          <w:p w14:paraId="18BD1671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307</w:t>
            </w:r>
          </w:p>
        </w:tc>
        <w:tc>
          <w:tcPr>
            <w:tcW w:w="1950" w:type="dxa"/>
          </w:tcPr>
          <w:p w14:paraId="1B005C86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251</w:t>
            </w:r>
          </w:p>
        </w:tc>
        <w:tc>
          <w:tcPr>
            <w:tcW w:w="1762" w:type="dxa"/>
          </w:tcPr>
          <w:p w14:paraId="32CF9B07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270</w:t>
            </w:r>
          </w:p>
        </w:tc>
        <w:tc>
          <w:tcPr>
            <w:tcW w:w="2125" w:type="dxa"/>
          </w:tcPr>
          <w:p w14:paraId="2F1182CD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255</w:t>
            </w:r>
          </w:p>
        </w:tc>
      </w:tr>
      <w:tr w14:paraId="799EDB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0A38C739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Sulfur Metabolism</w:t>
            </w:r>
          </w:p>
        </w:tc>
        <w:tc>
          <w:tcPr>
            <w:tcW w:w="1863" w:type="dxa"/>
          </w:tcPr>
          <w:p w14:paraId="36696847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50" w:type="dxa"/>
          </w:tcPr>
          <w:p w14:paraId="43808CFB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62" w:type="dxa"/>
          </w:tcPr>
          <w:p w14:paraId="31ADF27D">
            <w:pPr>
              <w:autoSpaceDE w:val="0"/>
              <w:autoSpaceDN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25" w:type="dxa"/>
          </w:tcPr>
          <w:p w14:paraId="4A43BD0F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</w:tr>
      <w:tr w14:paraId="713E18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30" w:type="dxa"/>
          </w:tcPr>
          <w:p w14:paraId="2A0681F8">
            <w:pPr>
              <w:autoSpaceDE w:val="0"/>
              <w:autoSpaceDN w:val="0"/>
              <w:spacing w:line="360" w:lineRule="auto"/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Phosphorus Metabolism</w:t>
            </w:r>
          </w:p>
        </w:tc>
        <w:tc>
          <w:tcPr>
            <w:tcW w:w="1863" w:type="dxa"/>
          </w:tcPr>
          <w:p w14:paraId="50F35184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950" w:type="dxa"/>
          </w:tcPr>
          <w:p w14:paraId="684407BC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762" w:type="dxa"/>
          </w:tcPr>
          <w:p w14:paraId="57E91EA6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eastAsia="en-US"/>
              </w:rPr>
              <w:t>25</w:t>
            </w:r>
          </w:p>
        </w:tc>
        <w:tc>
          <w:tcPr>
            <w:tcW w:w="2125" w:type="dxa"/>
          </w:tcPr>
          <w:p w14:paraId="0145B2B1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</w:tr>
      <w:tr w14:paraId="1C1EDC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930" w:type="dxa"/>
          </w:tcPr>
          <w:p w14:paraId="363F8CF0">
            <w:pPr>
              <w:autoSpaceDE w:val="0"/>
              <w:autoSpaceDN w:val="0"/>
              <w:spacing w:line="360" w:lineRule="auto"/>
              <w:rPr>
                <w:rFonts w:ascii="Times New Roman" w:hAnsi="Times New Roman" w:eastAsia="Calibri" w:cs="Times New Roman"/>
                <w:iCs/>
                <w:kern w:val="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1"/>
                <w:szCs w:val="21"/>
                <w:lang w:eastAsia="en-US"/>
              </w:rPr>
              <w:t>Carbohydrates</w:t>
            </w:r>
          </w:p>
        </w:tc>
        <w:tc>
          <w:tcPr>
            <w:tcW w:w="1863" w:type="dxa"/>
          </w:tcPr>
          <w:p w14:paraId="3F5C71A7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183</w:t>
            </w:r>
          </w:p>
        </w:tc>
        <w:tc>
          <w:tcPr>
            <w:tcW w:w="1950" w:type="dxa"/>
          </w:tcPr>
          <w:p w14:paraId="72B575DA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179</w:t>
            </w:r>
          </w:p>
        </w:tc>
        <w:tc>
          <w:tcPr>
            <w:tcW w:w="1762" w:type="dxa"/>
          </w:tcPr>
          <w:p w14:paraId="506BD15E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197</w:t>
            </w:r>
          </w:p>
        </w:tc>
        <w:tc>
          <w:tcPr>
            <w:tcW w:w="2125" w:type="dxa"/>
          </w:tcPr>
          <w:p w14:paraId="5D22E044">
            <w:pPr>
              <w:autoSpaceDE w:val="0"/>
              <w:autoSpaceDN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187</w:t>
            </w:r>
          </w:p>
        </w:tc>
      </w:tr>
    </w:tbl>
    <w:p w14:paraId="67949165">
      <w:pPr>
        <w:widowControl/>
        <w:autoSpaceDE w:val="0"/>
        <w:autoSpaceDN w:val="0"/>
        <w:jc w:val="left"/>
        <w:rPr>
          <w:rFonts w:ascii="Times New Roman" w:hAnsi="Times New Roman" w:eastAsia="宋体" w:cs="Times New Roman"/>
          <w:color w:val="231F20"/>
          <w:kern w:val="0"/>
          <w:sz w:val="16"/>
          <w:szCs w:val="16"/>
          <w:lang w:bidi="ar"/>
        </w:rPr>
      </w:pPr>
    </w:p>
    <w:p w14:paraId="7D721133"/>
    <w:p w14:paraId="2B4CA3DB"/>
    <w:p w14:paraId="668E0CA2">
      <w:pPr>
        <w:bidi w:val="0"/>
        <w:jc w:val="left"/>
        <w:rPr>
          <w:lang w:val="en-US" w:eastAsia="zh-CN"/>
        </w:rPr>
      </w:pPr>
    </w:p>
    <w:p w14:paraId="12F10A95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7AD997A3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67875356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2B79CBDE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63177007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4EE2B19A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0EBAFE37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</w:pPr>
    </w:p>
    <w:p w14:paraId="7E4DA034">
      <w:pPr>
        <w:autoSpaceDE w:val="0"/>
        <w:autoSpaceDN w:val="0"/>
        <w:spacing w:line="480" w:lineRule="auto"/>
        <w:jc w:val="left"/>
        <w:rPr>
          <w:rFonts w:ascii="Times New Roman" w:hAnsi="Times New Roman" w:eastAsia="Calibri" w:cs="Times New Roman"/>
          <w:kern w:val="0"/>
          <w:sz w:val="22"/>
          <w:szCs w:val="21"/>
          <w:lang w:eastAsia="en-US"/>
        </w:rPr>
      </w:pPr>
      <w:r>
        <w:rPr>
          <w:rFonts w:ascii="Times New Roman" w:hAnsi="Times New Roman" w:eastAsia="Calibri" w:cs="Times New Roman"/>
          <w:b/>
          <w:bCs/>
          <w:kern w:val="0"/>
          <w:sz w:val="22"/>
          <w:szCs w:val="21"/>
          <w:lang w:eastAsia="en-US"/>
        </w:rPr>
        <w:t>Table S2</w:t>
      </w:r>
      <w:r>
        <w:rPr>
          <w:rFonts w:ascii="Times New Roman" w:hAnsi="Times New Roman" w:eastAsia="Calibri" w:cs="Times New Roman"/>
          <w:kern w:val="0"/>
          <w:sz w:val="22"/>
          <w:szCs w:val="21"/>
          <w:lang w:eastAsia="en-US"/>
        </w:rPr>
        <w:t xml:space="preserve"> </w:t>
      </w:r>
      <w:r>
        <w:rPr>
          <w:rFonts w:ascii="Times New Roman" w:hAnsi="Times New Roman" w:eastAsia="Calibri" w:cs="Times New Roman"/>
          <w:kern w:val="0"/>
          <w:szCs w:val="21"/>
          <w:lang w:eastAsia="en-US"/>
        </w:rPr>
        <w:t>antiSMASH of GX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>Z039</w:t>
      </w:r>
      <w:r>
        <w:rPr>
          <w:rFonts w:ascii="Times New Roman" w:hAnsi="Times New Roman" w:eastAsia="Calibri" w:cs="Times New Roman"/>
          <w:kern w:val="0"/>
          <w:szCs w:val="21"/>
          <w:vertAlign w:val="superscript"/>
          <w:lang w:eastAsia="en-US"/>
        </w:rPr>
        <w:t>T</w:t>
      </w:r>
      <w:r>
        <w:rPr>
          <w:rFonts w:ascii="Times New Roman" w:hAnsi="Times New Roman" w:eastAsia="Calibri" w:cs="Times New Roman"/>
          <w:kern w:val="0"/>
          <w:szCs w:val="21"/>
          <w:lang w:eastAsia="en-US"/>
        </w:rPr>
        <w:t xml:space="preserve"> and related members of the genus </w:t>
      </w:r>
      <w:r>
        <w:rPr>
          <w:rFonts w:hint="eastAsia" w:ascii="Times New Roman" w:hAnsi="Times New Roman" w:eastAsia="宋体" w:cs="Times New Roman"/>
          <w:i/>
          <w:iCs/>
          <w:kern w:val="0"/>
          <w:szCs w:val="21"/>
          <w:lang w:val="en-US" w:eastAsia="zh-CN"/>
        </w:rPr>
        <w:t>Nocardioides</w:t>
      </w:r>
      <w:r>
        <w:rPr>
          <w:rFonts w:ascii="Times New Roman" w:hAnsi="Times New Roman" w:eastAsia="Calibri" w:cs="Times New Roman"/>
          <w:kern w:val="0"/>
          <w:szCs w:val="21"/>
          <w:lang w:eastAsia="en-US"/>
        </w:rPr>
        <w:t>.</w:t>
      </w:r>
    </w:p>
    <w:p w14:paraId="18AC1995">
      <w:pPr>
        <w:spacing w:line="79" w:lineRule="exact"/>
      </w:pPr>
    </w:p>
    <w:tbl>
      <w:tblPr>
        <w:tblStyle w:val="9"/>
        <w:tblW w:w="8396" w:type="dxa"/>
        <w:tblInd w:w="6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9"/>
        <w:gridCol w:w="1675"/>
        <w:gridCol w:w="1912"/>
        <w:gridCol w:w="1500"/>
        <w:gridCol w:w="1440"/>
      </w:tblGrid>
      <w:tr w14:paraId="701930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869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03F721BC">
            <w:pPr>
              <w:pStyle w:val="8"/>
              <w:spacing w:before="166" w:line="201" w:lineRule="auto"/>
              <w:ind w:left="116"/>
            </w:pPr>
            <w:r>
              <w:rPr>
                <w:b/>
                <w:bCs/>
              </w:rPr>
              <w:t>antiSMASH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spacing w:val="8"/>
              </w:rPr>
              <w:t>.7.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  <w:spacing w:val="8"/>
              </w:rPr>
              <w:t>1</w:t>
            </w:r>
          </w:p>
        </w:tc>
        <w:tc>
          <w:tcPr>
            <w:tcW w:w="1675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14610F27">
            <w:pPr>
              <w:pStyle w:val="8"/>
              <w:spacing w:before="170" w:line="195" w:lineRule="auto"/>
              <w:ind w:left="81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GXZ039</w:t>
            </w:r>
            <w:r>
              <w:rPr>
                <w:rFonts w:hint="eastAsia" w:eastAsia="宋体"/>
                <w:b/>
                <w:bCs/>
                <w:vertAlign w:val="superscript"/>
                <w:lang w:val="en-US" w:eastAsia="zh-CN"/>
              </w:rPr>
              <w:t>T</w:t>
            </w:r>
          </w:p>
        </w:tc>
        <w:tc>
          <w:tcPr>
            <w:tcW w:w="1912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7D1857A0">
            <w:pPr>
              <w:pStyle w:val="8"/>
              <w:spacing w:before="170" w:line="195" w:lineRule="auto"/>
              <w:ind w:left="621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position w:val="6"/>
                <w:sz w:val="20"/>
                <w:szCs w:val="20"/>
              </w:rPr>
              <w:t>12834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position w:val="12"/>
                <w:sz w:val="13"/>
                <w:szCs w:val="13"/>
              </w:rPr>
              <w:t>T</w:t>
            </w:r>
          </w:p>
        </w:tc>
        <w:tc>
          <w:tcPr>
            <w:tcW w:w="1500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5A2AAD42">
            <w:pPr>
              <w:pStyle w:val="8"/>
              <w:spacing w:before="169" w:line="195" w:lineRule="auto"/>
              <w:ind w:left="649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2"/>
                <w:sz w:val="20"/>
                <w:szCs w:val="20"/>
              </w:rPr>
              <w:t>S-1144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8"/>
                <w:sz w:val="13"/>
                <w:szCs w:val="13"/>
              </w:rPr>
              <w:t>T</w:t>
            </w:r>
          </w:p>
        </w:tc>
        <w:tc>
          <w:tcPr>
            <w:tcW w:w="1440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134016E4">
            <w:pPr>
              <w:pStyle w:val="8"/>
              <w:spacing w:before="170" w:line="195" w:lineRule="auto"/>
              <w:ind w:left="617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2"/>
                <w:sz w:val="20"/>
                <w:szCs w:val="20"/>
              </w:rPr>
              <w:t>002-2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8"/>
                <w:sz w:val="13"/>
                <w:szCs w:val="13"/>
              </w:rPr>
              <w:t>T</w:t>
            </w:r>
          </w:p>
        </w:tc>
      </w:tr>
      <w:tr w14:paraId="6C4CE2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869" w:type="dxa"/>
            <w:vAlign w:val="top"/>
          </w:tcPr>
          <w:p w14:paraId="79F70330">
            <w:pPr>
              <w:pStyle w:val="8"/>
              <w:spacing w:before="230" w:line="199" w:lineRule="auto"/>
              <w:ind w:left="115"/>
            </w:pPr>
            <w:r>
              <w:rPr>
                <w:spacing w:val="8"/>
              </w:rPr>
              <w:t>T1</w:t>
            </w:r>
            <w:r>
              <w:t>PKS</w:t>
            </w:r>
            <w:r>
              <w:rPr>
                <w:spacing w:val="8"/>
              </w:rPr>
              <w:t>*</w:t>
            </w:r>
          </w:p>
        </w:tc>
        <w:tc>
          <w:tcPr>
            <w:tcW w:w="1675" w:type="dxa"/>
            <w:vAlign w:val="top"/>
          </w:tcPr>
          <w:p w14:paraId="711F28DB">
            <w:pPr>
              <w:pStyle w:val="8"/>
              <w:spacing w:before="252" w:line="176" w:lineRule="auto"/>
              <w:ind w:left="782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912" w:type="dxa"/>
            <w:vAlign w:val="top"/>
          </w:tcPr>
          <w:p w14:paraId="6C8351CE">
            <w:pPr>
              <w:spacing w:before="296" w:line="138" w:lineRule="exact"/>
              <w:ind w:left="6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500" w:type="dxa"/>
            <w:vAlign w:val="top"/>
          </w:tcPr>
          <w:p w14:paraId="0F71E641">
            <w:pPr>
              <w:spacing w:before="296" w:line="138" w:lineRule="exact"/>
              <w:ind w:left="65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top"/>
          </w:tcPr>
          <w:p w14:paraId="61CCABFE">
            <w:pPr>
              <w:spacing w:before="296" w:line="138" w:lineRule="exact"/>
              <w:ind w:left="62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</w:tr>
      <w:tr w14:paraId="44B76B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869" w:type="dxa"/>
            <w:vAlign w:val="top"/>
          </w:tcPr>
          <w:p w14:paraId="6DD8E389">
            <w:pPr>
              <w:pStyle w:val="8"/>
              <w:spacing w:before="205" w:line="195" w:lineRule="auto"/>
              <w:ind w:left="106"/>
            </w:pPr>
            <w:r>
              <w:rPr>
                <w:spacing w:val="5"/>
              </w:rPr>
              <w:t>NRPS</w:t>
            </w:r>
          </w:p>
        </w:tc>
        <w:tc>
          <w:tcPr>
            <w:tcW w:w="1675" w:type="dxa"/>
            <w:vAlign w:val="top"/>
          </w:tcPr>
          <w:p w14:paraId="30DD04CF">
            <w:pPr>
              <w:pStyle w:val="8"/>
              <w:spacing w:before="223" w:line="176" w:lineRule="auto"/>
              <w:ind w:left="782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912" w:type="dxa"/>
            <w:vAlign w:val="top"/>
          </w:tcPr>
          <w:p w14:paraId="4E313BF2">
            <w:pPr>
              <w:spacing w:before="267" w:line="139" w:lineRule="exact"/>
              <w:ind w:left="6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500" w:type="dxa"/>
            <w:vAlign w:val="top"/>
          </w:tcPr>
          <w:p w14:paraId="05BCB52B">
            <w:pPr>
              <w:spacing w:before="267" w:line="139" w:lineRule="exact"/>
              <w:ind w:left="65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top"/>
          </w:tcPr>
          <w:p w14:paraId="6B44EA71">
            <w:pPr>
              <w:spacing w:before="267" w:line="139" w:lineRule="exact"/>
              <w:ind w:left="62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</w:tr>
      <w:tr w14:paraId="722A69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69" w:type="dxa"/>
            <w:vAlign w:val="top"/>
          </w:tcPr>
          <w:p w14:paraId="41D3FDB8">
            <w:pPr>
              <w:pStyle w:val="8"/>
              <w:spacing w:before="204" w:line="199" w:lineRule="auto"/>
              <w:ind w:left="106"/>
            </w:pPr>
            <w:r>
              <w:t>NAPAA</w:t>
            </w:r>
            <w:r>
              <w:rPr>
                <w:spacing w:val="21"/>
              </w:rPr>
              <w:t>*</w:t>
            </w:r>
          </w:p>
        </w:tc>
        <w:tc>
          <w:tcPr>
            <w:tcW w:w="1675" w:type="dxa"/>
            <w:vAlign w:val="top"/>
          </w:tcPr>
          <w:p w14:paraId="30A42E13">
            <w:pPr>
              <w:pStyle w:val="8"/>
              <w:spacing w:before="225" w:line="176" w:lineRule="auto"/>
              <w:ind w:left="782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912" w:type="dxa"/>
            <w:vAlign w:val="top"/>
          </w:tcPr>
          <w:p w14:paraId="05ADACB4">
            <w:pPr>
              <w:pStyle w:val="8"/>
              <w:spacing w:before="225" w:line="176" w:lineRule="auto"/>
              <w:ind w:left="613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500" w:type="dxa"/>
            <w:vAlign w:val="top"/>
          </w:tcPr>
          <w:p w14:paraId="1A6B143A">
            <w:pPr>
              <w:pStyle w:val="8"/>
              <w:spacing w:before="225" w:line="176" w:lineRule="auto"/>
              <w:ind w:left="637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440" w:type="dxa"/>
            <w:vAlign w:val="top"/>
          </w:tcPr>
          <w:p w14:paraId="51B6113D">
            <w:pPr>
              <w:pStyle w:val="8"/>
              <w:spacing w:before="225" w:line="176" w:lineRule="auto"/>
              <w:ind w:left="613"/>
              <w:jc w:val="center"/>
            </w:pPr>
            <w:r>
              <w:rPr>
                <w:spacing w:val="1"/>
              </w:rPr>
              <w:t>+</w:t>
            </w:r>
          </w:p>
        </w:tc>
      </w:tr>
      <w:tr w14:paraId="6C1543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869" w:type="dxa"/>
            <w:vAlign w:val="top"/>
          </w:tcPr>
          <w:p w14:paraId="4F79E21F">
            <w:pPr>
              <w:pStyle w:val="8"/>
              <w:spacing w:before="209" w:line="194" w:lineRule="auto"/>
              <w:ind w:left="115"/>
            </w:pPr>
            <w:r>
              <w:rPr>
                <w:spacing w:val="1"/>
              </w:rPr>
              <w:t>Terpene</w:t>
            </w:r>
          </w:p>
        </w:tc>
        <w:tc>
          <w:tcPr>
            <w:tcW w:w="1675" w:type="dxa"/>
            <w:vAlign w:val="top"/>
          </w:tcPr>
          <w:p w14:paraId="35D326C5">
            <w:pPr>
              <w:spacing w:before="268" w:line="138" w:lineRule="exact"/>
              <w:ind w:left="79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912" w:type="dxa"/>
            <w:vAlign w:val="top"/>
          </w:tcPr>
          <w:p w14:paraId="06B071EA">
            <w:pPr>
              <w:spacing w:before="268" w:line="138" w:lineRule="exact"/>
              <w:ind w:left="6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500" w:type="dxa"/>
            <w:vAlign w:val="top"/>
          </w:tcPr>
          <w:p w14:paraId="195B867E">
            <w:pPr>
              <w:pStyle w:val="8"/>
              <w:spacing w:before="224" w:line="176" w:lineRule="auto"/>
              <w:ind w:left="637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440" w:type="dxa"/>
            <w:vAlign w:val="top"/>
          </w:tcPr>
          <w:p w14:paraId="2EAB9FEF">
            <w:pPr>
              <w:pStyle w:val="8"/>
              <w:spacing w:before="224" w:line="176" w:lineRule="auto"/>
              <w:ind w:left="613"/>
              <w:jc w:val="center"/>
            </w:pPr>
            <w:r>
              <w:rPr>
                <w:spacing w:val="1"/>
              </w:rPr>
              <w:t>+</w:t>
            </w:r>
          </w:p>
        </w:tc>
      </w:tr>
      <w:tr w14:paraId="515FA9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869" w:type="dxa"/>
            <w:vAlign w:val="top"/>
          </w:tcPr>
          <w:p w14:paraId="1A5B1705">
            <w:pPr>
              <w:pStyle w:val="8"/>
              <w:spacing w:before="186" w:line="199" w:lineRule="auto"/>
              <w:ind w:left="115"/>
            </w:pPr>
            <w:r>
              <w:rPr>
                <w:spacing w:val="8"/>
              </w:rPr>
              <w:t>T3</w:t>
            </w:r>
            <w:r>
              <w:t>PKS</w:t>
            </w:r>
            <w:r>
              <w:rPr>
                <w:spacing w:val="8"/>
              </w:rPr>
              <w:t>*</w:t>
            </w:r>
          </w:p>
        </w:tc>
        <w:tc>
          <w:tcPr>
            <w:tcW w:w="1675" w:type="dxa"/>
            <w:vAlign w:val="top"/>
          </w:tcPr>
          <w:p w14:paraId="6609660E">
            <w:pPr>
              <w:spacing w:before="251" w:line="139" w:lineRule="exact"/>
              <w:ind w:left="79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912" w:type="dxa"/>
            <w:vAlign w:val="top"/>
          </w:tcPr>
          <w:p w14:paraId="17280918">
            <w:pPr>
              <w:pStyle w:val="8"/>
              <w:spacing w:before="207" w:line="176" w:lineRule="auto"/>
              <w:ind w:left="613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500" w:type="dxa"/>
            <w:vAlign w:val="top"/>
          </w:tcPr>
          <w:p w14:paraId="50E0045F">
            <w:pPr>
              <w:pStyle w:val="8"/>
              <w:spacing w:before="207" w:line="176" w:lineRule="auto"/>
              <w:ind w:left="637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440" w:type="dxa"/>
            <w:vAlign w:val="top"/>
          </w:tcPr>
          <w:p w14:paraId="0570BB3D">
            <w:pPr>
              <w:pStyle w:val="8"/>
              <w:spacing w:before="207" w:line="176" w:lineRule="auto"/>
              <w:ind w:left="613"/>
              <w:jc w:val="center"/>
            </w:pPr>
            <w:r>
              <w:rPr>
                <w:spacing w:val="1"/>
              </w:rPr>
              <w:t>+</w:t>
            </w:r>
          </w:p>
        </w:tc>
      </w:tr>
      <w:tr w14:paraId="0926A8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69" w:type="dxa"/>
            <w:tcBorders>
              <w:bottom w:val="single" w:color="000000" w:sz="10" w:space="0"/>
            </w:tcBorders>
            <w:vAlign w:val="top"/>
          </w:tcPr>
          <w:p w14:paraId="671D84E1">
            <w:pPr>
              <w:pStyle w:val="8"/>
              <w:spacing w:before="212" w:line="192" w:lineRule="auto"/>
              <w:ind w:left="112"/>
            </w:pPr>
            <w:r>
              <w:rPr>
                <w:spacing w:val="4"/>
              </w:rPr>
              <w:t>REE</w:t>
            </w:r>
          </w:p>
        </w:tc>
        <w:tc>
          <w:tcPr>
            <w:tcW w:w="1675" w:type="dxa"/>
            <w:tcBorders>
              <w:bottom w:val="single" w:color="000000" w:sz="10" w:space="0"/>
            </w:tcBorders>
            <w:vAlign w:val="top"/>
          </w:tcPr>
          <w:p w14:paraId="54094213">
            <w:pPr>
              <w:spacing w:before="271" w:line="139" w:lineRule="exact"/>
              <w:ind w:left="79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912" w:type="dxa"/>
            <w:tcBorders>
              <w:bottom w:val="single" w:color="000000" w:sz="10" w:space="0"/>
            </w:tcBorders>
            <w:vAlign w:val="top"/>
          </w:tcPr>
          <w:p w14:paraId="11B46D57">
            <w:pPr>
              <w:pStyle w:val="8"/>
              <w:spacing w:before="227" w:line="176" w:lineRule="auto"/>
              <w:ind w:left="613"/>
              <w:jc w:val="center"/>
            </w:pPr>
            <w:r>
              <w:rPr>
                <w:spacing w:val="1"/>
              </w:rPr>
              <w:t>+</w:t>
            </w:r>
          </w:p>
        </w:tc>
        <w:tc>
          <w:tcPr>
            <w:tcW w:w="1500" w:type="dxa"/>
            <w:tcBorders>
              <w:bottom w:val="single" w:color="000000" w:sz="10" w:space="0"/>
            </w:tcBorders>
            <w:vAlign w:val="top"/>
          </w:tcPr>
          <w:p w14:paraId="0F3C9490">
            <w:pPr>
              <w:spacing w:before="271" w:line="139" w:lineRule="exact"/>
              <w:ind w:left="65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bottom w:val="single" w:color="000000" w:sz="10" w:space="0"/>
            </w:tcBorders>
            <w:vAlign w:val="top"/>
          </w:tcPr>
          <w:p w14:paraId="541574BB">
            <w:pPr>
              <w:spacing w:before="271" w:line="139" w:lineRule="exact"/>
              <w:ind w:left="62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w w:val="125"/>
                <w:position w:val="-3"/>
                <w:sz w:val="20"/>
                <w:szCs w:val="20"/>
              </w:rPr>
              <w:t>-</w:t>
            </w:r>
          </w:p>
        </w:tc>
      </w:tr>
    </w:tbl>
    <w:p w14:paraId="41D188C2">
      <w:pPr>
        <w:spacing w:line="480" w:lineRule="auto"/>
        <w:rPr>
          <w:rFonts w:ascii="Times New Roman" w:hAnsi="Times New Roman" w:eastAsia="宋体" w:cs="Times New Roman"/>
          <w:iCs/>
          <w:szCs w:val="21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*</w:t>
      </w:r>
      <w:r>
        <w:rPr>
          <w:rFonts w:ascii="Times New Roman" w:hAnsi="Times New Roman" w:eastAsia="宋体" w:cs="Times New Roman"/>
          <w:iCs/>
          <w:szCs w:val="21"/>
        </w:rPr>
        <w:t xml:space="preserve">T3PKS: Type III Polyketide synthase. </w:t>
      </w:r>
      <w:r>
        <w:rPr>
          <w:rFonts w:ascii="Times New Roman" w:hAnsi="Times New Roman" w:eastAsia="DINNextLTPro-Medium" w:cs="Times New Roman"/>
          <w:iCs/>
          <w:color w:val="231F20"/>
          <w:kern w:val="0"/>
          <w:szCs w:val="21"/>
          <w:lang w:bidi="ar"/>
        </w:rPr>
        <w:t>NAPAA*</w:t>
      </w:r>
      <w:r>
        <w:rPr>
          <w:rFonts w:hint="eastAsia" w:ascii="Times New Roman" w:hAnsi="Times New Roman" w:eastAsia="宋体" w:cs="Times New Roman"/>
          <w:iCs/>
          <w:szCs w:val="21"/>
        </w:rPr>
        <w:t>：</w:t>
      </w:r>
      <w:r>
        <w:rPr>
          <w:rFonts w:ascii="Times New Roman" w:hAnsi="Times New Roman" w:eastAsia="宋体" w:cs="Times New Roman"/>
          <w:iCs/>
          <w:szCs w:val="21"/>
        </w:rPr>
        <w:t>Non-alpha poly-amino acids like e-Polylysin</w:t>
      </w:r>
    </w:p>
    <w:p w14:paraId="1AE5C9EB">
      <w:pPr>
        <w:spacing w:line="480" w:lineRule="auto"/>
        <w:rPr>
          <w:rFonts w:ascii="Times New Roman" w:hAnsi="Times New Roman" w:eastAsia="宋体" w:cs="Times New Roman"/>
          <w:iCs/>
          <w:szCs w:val="21"/>
        </w:rPr>
      </w:pPr>
      <w:bookmarkStart w:id="7" w:name="_GoBack"/>
      <w:bookmarkEnd w:id="7"/>
    </w:p>
    <w:p w14:paraId="3B200787">
      <w:pPr>
        <w:autoSpaceDE w:val="0"/>
        <w:autoSpaceDN w:val="0"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S3</w:t>
      </w:r>
      <w:r>
        <w:rPr>
          <w:rFonts w:ascii="Times New Roman" w:hAnsi="Times New Roman" w:cs="Times New Roman"/>
          <w:sz w:val="21"/>
          <w:szCs w:val="21"/>
        </w:rPr>
        <w:t xml:space="preserve"> The results of </w:t>
      </w:r>
      <w:r>
        <w:rPr>
          <w:rFonts w:ascii="Times New Roman" w:hAnsi="Times New Roman" w:eastAsia="宋体" w:cs="宋体"/>
          <w:sz w:val="21"/>
          <w:szCs w:val="21"/>
        </w:rPr>
        <w:t>conduct the COG category analysis of coding proteins</w:t>
      </w:r>
      <w:r>
        <w:rPr>
          <w:rFonts w:ascii="Times New Roman" w:hAnsi="Times New Roman" w:cs="Times New Roman"/>
          <w:sz w:val="21"/>
          <w:szCs w:val="21"/>
        </w:rPr>
        <w:t xml:space="preserve"> about GX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039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T</w:t>
      </w:r>
      <w:r>
        <w:rPr>
          <w:rFonts w:ascii="Times New Roman" w:hAnsi="Times New Roman" w:cs="Times New Roman"/>
          <w:sz w:val="21"/>
          <w:szCs w:val="21"/>
        </w:rPr>
        <w:t xml:space="preserve"> and reference strains of the genus </w:t>
      </w:r>
      <w:r>
        <w:rPr>
          <w:rFonts w:hint="eastAsia" w:ascii="Times New Roman" w:hAnsi="Times New Roman" w:eastAsia="宋体" w:cs="Times New Roman"/>
          <w:i/>
          <w:iCs/>
          <w:kern w:val="0"/>
          <w:szCs w:val="21"/>
          <w:lang w:val="en-US" w:eastAsia="zh-CN"/>
        </w:rPr>
        <w:t>Nocardioides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Strains:1，GXZ039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；2，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plantarum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NCIMB 12834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；3，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dongxiaopingii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S-1144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；4 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litoris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002-2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</w:t>
      </w:r>
    </w:p>
    <w:tbl>
      <w:tblPr>
        <w:tblStyle w:val="11"/>
        <w:tblW w:w="9439" w:type="dxa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9"/>
        <w:gridCol w:w="1463"/>
        <w:gridCol w:w="1362"/>
        <w:gridCol w:w="1413"/>
        <w:gridCol w:w="1012"/>
      </w:tblGrid>
      <w:tr w14:paraId="5A66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7F80F5"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unctional-Categories</w:t>
            </w:r>
          </w:p>
        </w:tc>
        <w:tc>
          <w:tcPr>
            <w:tcW w:w="146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82F74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55CC3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3" w:type="dxa"/>
            <w:tcBorders>
              <w:top w:val="single" w:color="auto" w:sz="12" w:space="0"/>
              <w:bottom w:val="single" w:color="auto" w:sz="12" w:space="0"/>
            </w:tcBorders>
          </w:tcPr>
          <w:p w14:paraId="4A8931C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12" w:type="dxa"/>
            <w:tcBorders>
              <w:top w:val="single" w:color="auto" w:sz="12" w:space="0"/>
              <w:bottom w:val="single" w:color="auto" w:sz="12" w:space="0"/>
            </w:tcBorders>
          </w:tcPr>
          <w:p w14:paraId="40A1DD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4</w:t>
            </w:r>
          </w:p>
        </w:tc>
      </w:tr>
      <w:tr w14:paraId="7406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tcBorders>
              <w:top w:val="single" w:color="auto" w:sz="12" w:space="0"/>
            </w:tcBorders>
            <w:vAlign w:val="center"/>
          </w:tcPr>
          <w:p w14:paraId="06DD1638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RNA processing and modification</w:t>
            </w:r>
          </w:p>
        </w:tc>
        <w:tc>
          <w:tcPr>
            <w:tcW w:w="1463" w:type="dxa"/>
            <w:tcBorders>
              <w:top w:val="single" w:color="auto" w:sz="12" w:space="0"/>
            </w:tcBorders>
            <w:vAlign w:val="center"/>
          </w:tcPr>
          <w:p w14:paraId="6AAA0DE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top w:val="single" w:color="auto" w:sz="12" w:space="0"/>
            </w:tcBorders>
            <w:vAlign w:val="center"/>
          </w:tcPr>
          <w:p w14:paraId="18E338A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3" w:type="dxa"/>
            <w:tcBorders>
              <w:top w:val="single" w:color="auto" w:sz="12" w:space="0"/>
            </w:tcBorders>
            <w:vAlign w:val="center"/>
          </w:tcPr>
          <w:p w14:paraId="6001E05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12" w:type="dxa"/>
            <w:tcBorders>
              <w:top w:val="single" w:color="auto" w:sz="12" w:space="0"/>
            </w:tcBorders>
            <w:vAlign w:val="center"/>
          </w:tcPr>
          <w:p w14:paraId="379DE7D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4D89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389E7008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Chromatin structure and dynamics</w:t>
            </w:r>
          </w:p>
        </w:tc>
        <w:tc>
          <w:tcPr>
            <w:tcW w:w="1463" w:type="dxa"/>
            <w:vAlign w:val="center"/>
          </w:tcPr>
          <w:p w14:paraId="313CAC5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62" w:type="dxa"/>
            <w:vAlign w:val="center"/>
          </w:tcPr>
          <w:p w14:paraId="7FAC39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3" w:type="dxa"/>
            <w:vAlign w:val="center"/>
          </w:tcPr>
          <w:p w14:paraId="0D222BC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012" w:type="dxa"/>
            <w:vAlign w:val="center"/>
          </w:tcPr>
          <w:p w14:paraId="2427A62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31A3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76A8C18F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Energy production and conversion</w:t>
            </w:r>
          </w:p>
        </w:tc>
        <w:tc>
          <w:tcPr>
            <w:tcW w:w="1463" w:type="dxa"/>
            <w:vAlign w:val="center"/>
          </w:tcPr>
          <w:p w14:paraId="43168D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238</w:t>
            </w:r>
          </w:p>
        </w:tc>
        <w:tc>
          <w:tcPr>
            <w:tcW w:w="1362" w:type="dxa"/>
            <w:vAlign w:val="center"/>
          </w:tcPr>
          <w:p w14:paraId="5335A5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244</w:t>
            </w:r>
          </w:p>
        </w:tc>
        <w:tc>
          <w:tcPr>
            <w:tcW w:w="1413" w:type="dxa"/>
            <w:vAlign w:val="center"/>
          </w:tcPr>
          <w:p w14:paraId="4C130E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216</w:t>
            </w:r>
          </w:p>
        </w:tc>
        <w:tc>
          <w:tcPr>
            <w:tcW w:w="1012" w:type="dxa"/>
            <w:vAlign w:val="center"/>
          </w:tcPr>
          <w:p w14:paraId="7611AE9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225</w:t>
            </w:r>
          </w:p>
        </w:tc>
      </w:tr>
      <w:tr w14:paraId="578CE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54FC7912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Cell cycle control, cell division, chromosome partitioning</w:t>
            </w:r>
          </w:p>
        </w:tc>
        <w:tc>
          <w:tcPr>
            <w:tcW w:w="1463" w:type="dxa"/>
            <w:vAlign w:val="center"/>
          </w:tcPr>
          <w:p w14:paraId="74BD94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362" w:type="dxa"/>
            <w:vAlign w:val="center"/>
          </w:tcPr>
          <w:p w14:paraId="2804964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413" w:type="dxa"/>
            <w:vAlign w:val="center"/>
          </w:tcPr>
          <w:p w14:paraId="53064A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012" w:type="dxa"/>
            <w:vAlign w:val="center"/>
          </w:tcPr>
          <w:p w14:paraId="52E6F81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53</w:t>
            </w:r>
          </w:p>
        </w:tc>
      </w:tr>
      <w:tr w14:paraId="2FE4F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189" w:type="dxa"/>
            <w:vAlign w:val="center"/>
          </w:tcPr>
          <w:p w14:paraId="3AA0859C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Amino acid transport and metabolism</w:t>
            </w:r>
          </w:p>
        </w:tc>
        <w:tc>
          <w:tcPr>
            <w:tcW w:w="1463" w:type="dxa"/>
            <w:vAlign w:val="center"/>
          </w:tcPr>
          <w:p w14:paraId="3B328BE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411</w:t>
            </w:r>
          </w:p>
        </w:tc>
        <w:tc>
          <w:tcPr>
            <w:tcW w:w="1362" w:type="dxa"/>
            <w:vAlign w:val="center"/>
          </w:tcPr>
          <w:p w14:paraId="1D2D519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345</w:t>
            </w:r>
          </w:p>
        </w:tc>
        <w:tc>
          <w:tcPr>
            <w:tcW w:w="1413" w:type="dxa"/>
            <w:vAlign w:val="center"/>
          </w:tcPr>
          <w:p w14:paraId="6EA0DF2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358</w:t>
            </w:r>
          </w:p>
        </w:tc>
        <w:tc>
          <w:tcPr>
            <w:tcW w:w="1012" w:type="dxa"/>
            <w:vAlign w:val="center"/>
          </w:tcPr>
          <w:p w14:paraId="4F70AF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326</w:t>
            </w:r>
          </w:p>
        </w:tc>
      </w:tr>
      <w:tr w14:paraId="44904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65BE1E91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Nucleotide transport and metabolism</w:t>
            </w:r>
          </w:p>
        </w:tc>
        <w:tc>
          <w:tcPr>
            <w:tcW w:w="1463" w:type="dxa"/>
            <w:vAlign w:val="center"/>
          </w:tcPr>
          <w:p w14:paraId="49A77FA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362" w:type="dxa"/>
            <w:vAlign w:val="center"/>
          </w:tcPr>
          <w:p w14:paraId="39DA42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413" w:type="dxa"/>
            <w:vAlign w:val="center"/>
          </w:tcPr>
          <w:p w14:paraId="053DBC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1012" w:type="dxa"/>
            <w:vAlign w:val="center"/>
          </w:tcPr>
          <w:p w14:paraId="3E6B9C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89</w:t>
            </w:r>
          </w:p>
        </w:tc>
      </w:tr>
      <w:tr w14:paraId="6DD7F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60347CEC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Carbohydrate transport and metabolism</w:t>
            </w:r>
          </w:p>
        </w:tc>
        <w:tc>
          <w:tcPr>
            <w:tcW w:w="1463" w:type="dxa"/>
            <w:vAlign w:val="center"/>
          </w:tcPr>
          <w:p w14:paraId="58A959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222</w:t>
            </w:r>
          </w:p>
        </w:tc>
        <w:tc>
          <w:tcPr>
            <w:tcW w:w="1362" w:type="dxa"/>
            <w:vAlign w:val="center"/>
          </w:tcPr>
          <w:p w14:paraId="73E509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245</w:t>
            </w:r>
          </w:p>
        </w:tc>
        <w:tc>
          <w:tcPr>
            <w:tcW w:w="1413" w:type="dxa"/>
            <w:vAlign w:val="center"/>
          </w:tcPr>
          <w:p w14:paraId="34B591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256</w:t>
            </w:r>
          </w:p>
        </w:tc>
        <w:tc>
          <w:tcPr>
            <w:tcW w:w="1012" w:type="dxa"/>
            <w:vAlign w:val="center"/>
          </w:tcPr>
          <w:p w14:paraId="4395062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241</w:t>
            </w:r>
          </w:p>
        </w:tc>
      </w:tr>
      <w:tr w14:paraId="17376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189" w:type="dxa"/>
            <w:vAlign w:val="center"/>
          </w:tcPr>
          <w:p w14:paraId="4A9083CD">
            <w:pPr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Coenzyme transport and metabolism</w:t>
            </w:r>
          </w:p>
        </w:tc>
        <w:tc>
          <w:tcPr>
            <w:tcW w:w="1463" w:type="dxa"/>
            <w:vAlign w:val="center"/>
          </w:tcPr>
          <w:p w14:paraId="251D3E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1362" w:type="dxa"/>
            <w:vAlign w:val="center"/>
          </w:tcPr>
          <w:p w14:paraId="6DEB8F8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413" w:type="dxa"/>
            <w:vAlign w:val="center"/>
          </w:tcPr>
          <w:p w14:paraId="00EDDE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1012" w:type="dxa"/>
            <w:vAlign w:val="center"/>
          </w:tcPr>
          <w:p w14:paraId="6D0C0D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145</w:t>
            </w:r>
          </w:p>
        </w:tc>
      </w:tr>
      <w:tr w14:paraId="0EBF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3AB0A834">
            <w:pPr>
              <w:spacing w:line="360" w:lineRule="auto"/>
              <w:rPr>
                <w:rFonts w:ascii="Times New Roman" w:hAnsi="Times New Roman" w:eastAsia="等线 Light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Lipid transport and metabolism</w:t>
            </w:r>
          </w:p>
        </w:tc>
        <w:tc>
          <w:tcPr>
            <w:tcW w:w="1463" w:type="dxa"/>
            <w:vAlign w:val="center"/>
          </w:tcPr>
          <w:p w14:paraId="2631973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233</w:t>
            </w:r>
          </w:p>
        </w:tc>
        <w:tc>
          <w:tcPr>
            <w:tcW w:w="1362" w:type="dxa"/>
            <w:vAlign w:val="center"/>
          </w:tcPr>
          <w:p w14:paraId="578358B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234</w:t>
            </w:r>
          </w:p>
        </w:tc>
        <w:tc>
          <w:tcPr>
            <w:tcW w:w="1413" w:type="dxa"/>
            <w:vAlign w:val="center"/>
          </w:tcPr>
          <w:p w14:paraId="64EF841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224</w:t>
            </w:r>
          </w:p>
        </w:tc>
        <w:tc>
          <w:tcPr>
            <w:tcW w:w="1012" w:type="dxa"/>
            <w:vAlign w:val="center"/>
          </w:tcPr>
          <w:p w14:paraId="68F783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255</w:t>
            </w:r>
          </w:p>
        </w:tc>
      </w:tr>
      <w:tr w14:paraId="11B79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89" w:type="dxa"/>
            <w:vAlign w:val="center"/>
          </w:tcPr>
          <w:p w14:paraId="59F01D76">
            <w:pPr>
              <w:spacing w:line="360" w:lineRule="auto"/>
              <w:rPr>
                <w:rFonts w:ascii="Times New Roman" w:hAnsi="Times New Roman" w:eastAsia="等线 Light" w:cs="Times New Roman"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Translation, ribosomal structure and biogenesis</w:t>
            </w:r>
          </w:p>
        </w:tc>
        <w:tc>
          <w:tcPr>
            <w:tcW w:w="1463" w:type="dxa"/>
            <w:vAlign w:val="center"/>
          </w:tcPr>
          <w:p w14:paraId="6BA72F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184</w:t>
            </w:r>
          </w:p>
        </w:tc>
        <w:tc>
          <w:tcPr>
            <w:tcW w:w="1362" w:type="dxa"/>
            <w:vAlign w:val="center"/>
          </w:tcPr>
          <w:p w14:paraId="07E86A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413" w:type="dxa"/>
            <w:vAlign w:val="center"/>
          </w:tcPr>
          <w:p w14:paraId="7A3E30F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177</w:t>
            </w:r>
          </w:p>
        </w:tc>
        <w:tc>
          <w:tcPr>
            <w:tcW w:w="1012" w:type="dxa"/>
            <w:vAlign w:val="center"/>
          </w:tcPr>
          <w:p w14:paraId="2024AA3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191</w:t>
            </w:r>
          </w:p>
        </w:tc>
      </w:tr>
      <w:tr w14:paraId="129F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189" w:type="dxa"/>
            <w:vAlign w:val="center"/>
          </w:tcPr>
          <w:p w14:paraId="175A4B7A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 Light" w:cs="Times New Roman"/>
                <w:sz w:val="21"/>
                <w:szCs w:val="21"/>
              </w:rPr>
              <w:t>Transcription</w:t>
            </w:r>
          </w:p>
        </w:tc>
        <w:tc>
          <w:tcPr>
            <w:tcW w:w="1463" w:type="dxa"/>
            <w:vAlign w:val="center"/>
          </w:tcPr>
          <w:p w14:paraId="7E0E3BE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402</w:t>
            </w:r>
          </w:p>
        </w:tc>
        <w:tc>
          <w:tcPr>
            <w:tcW w:w="1362" w:type="dxa"/>
            <w:vAlign w:val="center"/>
          </w:tcPr>
          <w:p w14:paraId="031D93D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378</w:t>
            </w:r>
          </w:p>
        </w:tc>
        <w:tc>
          <w:tcPr>
            <w:tcW w:w="1413" w:type="dxa"/>
            <w:vAlign w:val="center"/>
          </w:tcPr>
          <w:p w14:paraId="20BD87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375</w:t>
            </w:r>
          </w:p>
        </w:tc>
        <w:tc>
          <w:tcPr>
            <w:tcW w:w="1012" w:type="dxa"/>
            <w:vAlign w:val="center"/>
          </w:tcPr>
          <w:p w14:paraId="2F041B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367</w:t>
            </w:r>
          </w:p>
        </w:tc>
      </w:tr>
      <w:tr w14:paraId="1436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74CD82AC">
            <w:pPr>
              <w:spacing w:line="360" w:lineRule="auto"/>
              <w:rPr>
                <w:rFonts w:ascii="Times New Roman" w:hAnsi="Times New Roman" w:eastAsia="等线 Light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Replication, recombination and repair</w:t>
            </w:r>
          </w:p>
        </w:tc>
        <w:tc>
          <w:tcPr>
            <w:tcW w:w="1463" w:type="dxa"/>
            <w:vAlign w:val="center"/>
          </w:tcPr>
          <w:p w14:paraId="0B1AE7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214</w:t>
            </w:r>
          </w:p>
        </w:tc>
        <w:tc>
          <w:tcPr>
            <w:tcW w:w="1362" w:type="dxa"/>
            <w:vAlign w:val="center"/>
          </w:tcPr>
          <w:p w14:paraId="22419C5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413" w:type="dxa"/>
            <w:vAlign w:val="center"/>
          </w:tcPr>
          <w:p w14:paraId="4A18670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188</w:t>
            </w:r>
          </w:p>
        </w:tc>
        <w:tc>
          <w:tcPr>
            <w:tcW w:w="1012" w:type="dxa"/>
            <w:vAlign w:val="center"/>
          </w:tcPr>
          <w:p w14:paraId="7F7011F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203</w:t>
            </w:r>
          </w:p>
        </w:tc>
      </w:tr>
      <w:tr w14:paraId="2F70F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749D5ED1">
            <w:pPr>
              <w:spacing w:line="360" w:lineRule="auto"/>
              <w:rPr>
                <w:rFonts w:ascii="Times New Roman" w:hAnsi="Times New Roman" w:eastAsia="等线 Light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Cell wall/membrane/envelope biogenesis</w:t>
            </w:r>
          </w:p>
        </w:tc>
        <w:tc>
          <w:tcPr>
            <w:tcW w:w="1463" w:type="dxa"/>
            <w:vAlign w:val="top"/>
          </w:tcPr>
          <w:p w14:paraId="544B70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182</w:t>
            </w:r>
          </w:p>
        </w:tc>
        <w:tc>
          <w:tcPr>
            <w:tcW w:w="1362" w:type="dxa"/>
          </w:tcPr>
          <w:p w14:paraId="6D1BA97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197</w:t>
            </w:r>
          </w:p>
        </w:tc>
        <w:tc>
          <w:tcPr>
            <w:tcW w:w="1413" w:type="dxa"/>
          </w:tcPr>
          <w:p w14:paraId="5940433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194</w:t>
            </w:r>
          </w:p>
        </w:tc>
        <w:tc>
          <w:tcPr>
            <w:tcW w:w="1012" w:type="dxa"/>
          </w:tcPr>
          <w:p w14:paraId="2280F7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197</w:t>
            </w:r>
          </w:p>
        </w:tc>
      </w:tr>
      <w:tr w14:paraId="7224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4099CBBB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Cell motility</w:t>
            </w:r>
          </w:p>
        </w:tc>
        <w:tc>
          <w:tcPr>
            <w:tcW w:w="1463" w:type="dxa"/>
            <w:vAlign w:val="top"/>
          </w:tcPr>
          <w:p w14:paraId="67298AD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362" w:type="dxa"/>
          </w:tcPr>
          <w:p w14:paraId="3FC0460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3" w:type="dxa"/>
          </w:tcPr>
          <w:p w14:paraId="4E4A5D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012" w:type="dxa"/>
          </w:tcPr>
          <w:p w14:paraId="40EAD80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23</w:t>
            </w:r>
          </w:p>
        </w:tc>
      </w:tr>
      <w:tr w14:paraId="1835D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00D0D033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Posttranslational modification, protein turnover, chaperones</w:t>
            </w:r>
          </w:p>
        </w:tc>
        <w:tc>
          <w:tcPr>
            <w:tcW w:w="1463" w:type="dxa"/>
            <w:vAlign w:val="top"/>
          </w:tcPr>
          <w:p w14:paraId="65CFD5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362" w:type="dxa"/>
          </w:tcPr>
          <w:p w14:paraId="7132C07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413" w:type="dxa"/>
          </w:tcPr>
          <w:p w14:paraId="430FAB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012" w:type="dxa"/>
          </w:tcPr>
          <w:p w14:paraId="2177774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103</w:t>
            </w:r>
          </w:p>
        </w:tc>
      </w:tr>
      <w:tr w14:paraId="144FD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666E1E09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Inorganic ion transport and metabolism</w:t>
            </w:r>
          </w:p>
        </w:tc>
        <w:tc>
          <w:tcPr>
            <w:tcW w:w="1463" w:type="dxa"/>
            <w:vAlign w:val="top"/>
          </w:tcPr>
          <w:p w14:paraId="2983395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224</w:t>
            </w:r>
          </w:p>
        </w:tc>
        <w:tc>
          <w:tcPr>
            <w:tcW w:w="1362" w:type="dxa"/>
          </w:tcPr>
          <w:p w14:paraId="2A3B213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222</w:t>
            </w:r>
          </w:p>
        </w:tc>
        <w:tc>
          <w:tcPr>
            <w:tcW w:w="1413" w:type="dxa"/>
          </w:tcPr>
          <w:p w14:paraId="3976CCD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212</w:t>
            </w:r>
          </w:p>
        </w:tc>
        <w:tc>
          <w:tcPr>
            <w:tcW w:w="1012" w:type="dxa"/>
          </w:tcPr>
          <w:p w14:paraId="092F962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225</w:t>
            </w:r>
          </w:p>
        </w:tc>
      </w:tr>
      <w:tr w14:paraId="3FB47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371FD33A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Secondary metabolites biosynthesis, transport and catabolism</w:t>
            </w:r>
          </w:p>
        </w:tc>
        <w:tc>
          <w:tcPr>
            <w:tcW w:w="1463" w:type="dxa"/>
            <w:vAlign w:val="top"/>
          </w:tcPr>
          <w:p w14:paraId="5AF725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175</w:t>
            </w:r>
          </w:p>
        </w:tc>
        <w:tc>
          <w:tcPr>
            <w:tcW w:w="1362" w:type="dxa"/>
          </w:tcPr>
          <w:p w14:paraId="566DFE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184</w:t>
            </w:r>
          </w:p>
        </w:tc>
        <w:tc>
          <w:tcPr>
            <w:tcW w:w="1413" w:type="dxa"/>
          </w:tcPr>
          <w:p w14:paraId="54C555A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1012" w:type="dxa"/>
          </w:tcPr>
          <w:p w14:paraId="3CD23D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183</w:t>
            </w:r>
          </w:p>
        </w:tc>
      </w:tr>
      <w:tr w14:paraId="3C92F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2A6FABC7">
            <w:pPr>
              <w:spacing w:line="360" w:lineRule="auto"/>
              <w:rPr>
                <w:rFonts w:ascii="Times New Roman" w:hAnsi="Times New Roman" w:eastAsia="等线 Light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General function prediction only</w:t>
            </w:r>
          </w:p>
        </w:tc>
        <w:tc>
          <w:tcPr>
            <w:tcW w:w="1463" w:type="dxa"/>
            <w:vAlign w:val="center"/>
          </w:tcPr>
          <w:p w14:paraId="191DABF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362" w:type="dxa"/>
            <w:vAlign w:val="center"/>
          </w:tcPr>
          <w:p w14:paraId="225ADE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13" w:type="dxa"/>
            <w:vAlign w:val="center"/>
          </w:tcPr>
          <w:p w14:paraId="132312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012" w:type="dxa"/>
            <w:vAlign w:val="center"/>
          </w:tcPr>
          <w:p w14:paraId="4E9BC03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8869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7E43D9F3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Function unknown</w:t>
            </w:r>
          </w:p>
        </w:tc>
        <w:tc>
          <w:tcPr>
            <w:tcW w:w="1463" w:type="dxa"/>
            <w:vAlign w:val="center"/>
          </w:tcPr>
          <w:p w14:paraId="0C0D426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655</w:t>
            </w:r>
          </w:p>
        </w:tc>
        <w:tc>
          <w:tcPr>
            <w:tcW w:w="1362" w:type="dxa"/>
            <w:vAlign w:val="center"/>
          </w:tcPr>
          <w:p w14:paraId="73B93E7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808</w:t>
            </w:r>
          </w:p>
        </w:tc>
        <w:tc>
          <w:tcPr>
            <w:tcW w:w="1413" w:type="dxa"/>
            <w:vAlign w:val="center"/>
          </w:tcPr>
          <w:p w14:paraId="249E14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787</w:t>
            </w:r>
          </w:p>
        </w:tc>
        <w:tc>
          <w:tcPr>
            <w:tcW w:w="1012" w:type="dxa"/>
            <w:vAlign w:val="center"/>
          </w:tcPr>
          <w:p w14:paraId="019C78F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845</w:t>
            </w:r>
          </w:p>
        </w:tc>
      </w:tr>
      <w:tr w14:paraId="548A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09AECEA8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Signal transduction mechanisms</w:t>
            </w:r>
          </w:p>
        </w:tc>
        <w:tc>
          <w:tcPr>
            <w:tcW w:w="1463" w:type="dxa"/>
            <w:vAlign w:val="center"/>
          </w:tcPr>
          <w:p w14:paraId="123AC1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178</w:t>
            </w:r>
          </w:p>
        </w:tc>
        <w:tc>
          <w:tcPr>
            <w:tcW w:w="1362" w:type="dxa"/>
            <w:vAlign w:val="center"/>
          </w:tcPr>
          <w:p w14:paraId="7327977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9</w:t>
            </w:r>
          </w:p>
        </w:tc>
        <w:tc>
          <w:tcPr>
            <w:tcW w:w="1413" w:type="dxa"/>
            <w:vAlign w:val="center"/>
          </w:tcPr>
          <w:p w14:paraId="50EBDE8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203</w:t>
            </w:r>
          </w:p>
        </w:tc>
        <w:tc>
          <w:tcPr>
            <w:tcW w:w="1012" w:type="dxa"/>
            <w:vAlign w:val="center"/>
          </w:tcPr>
          <w:p w14:paraId="03AB0F4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198</w:t>
            </w:r>
          </w:p>
        </w:tc>
      </w:tr>
      <w:tr w14:paraId="0F13A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4532AE0D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Intracellular trafficking, secretion, and vesicular transport</w:t>
            </w:r>
          </w:p>
        </w:tc>
        <w:tc>
          <w:tcPr>
            <w:tcW w:w="1463" w:type="dxa"/>
            <w:vAlign w:val="center"/>
          </w:tcPr>
          <w:p w14:paraId="444C013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1362" w:type="dxa"/>
            <w:vAlign w:val="center"/>
          </w:tcPr>
          <w:p w14:paraId="32D7625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413" w:type="dxa"/>
            <w:vAlign w:val="center"/>
          </w:tcPr>
          <w:p w14:paraId="0BE36DE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012" w:type="dxa"/>
            <w:vAlign w:val="center"/>
          </w:tcPr>
          <w:p w14:paraId="325477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67</w:t>
            </w:r>
          </w:p>
        </w:tc>
      </w:tr>
      <w:tr w14:paraId="017A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1A1B319F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Defense mechanisms</w:t>
            </w:r>
          </w:p>
        </w:tc>
        <w:tc>
          <w:tcPr>
            <w:tcW w:w="1463" w:type="dxa"/>
            <w:vAlign w:val="center"/>
          </w:tcPr>
          <w:p w14:paraId="204B600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1362" w:type="dxa"/>
            <w:vAlign w:val="center"/>
          </w:tcPr>
          <w:p w14:paraId="06AEC58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413" w:type="dxa"/>
            <w:vAlign w:val="center"/>
          </w:tcPr>
          <w:p w14:paraId="79DCAA9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1012" w:type="dxa"/>
            <w:vAlign w:val="center"/>
          </w:tcPr>
          <w:p w14:paraId="2E93117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74</w:t>
            </w:r>
          </w:p>
        </w:tc>
      </w:tr>
      <w:tr w14:paraId="2DC8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vAlign w:val="center"/>
          </w:tcPr>
          <w:p w14:paraId="3B7CB482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Extracellular structures</w:t>
            </w:r>
          </w:p>
        </w:tc>
        <w:tc>
          <w:tcPr>
            <w:tcW w:w="1463" w:type="dxa"/>
            <w:vAlign w:val="center"/>
          </w:tcPr>
          <w:p w14:paraId="3A25A5A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Align w:val="center"/>
          </w:tcPr>
          <w:p w14:paraId="5151145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13" w:type="dxa"/>
            <w:vAlign w:val="center"/>
          </w:tcPr>
          <w:p w14:paraId="2E86468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012" w:type="dxa"/>
            <w:vAlign w:val="center"/>
          </w:tcPr>
          <w:p w14:paraId="7ACEE32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3682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89" w:type="dxa"/>
            <w:vAlign w:val="center"/>
          </w:tcPr>
          <w:p w14:paraId="547C5802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Nuclear structure</w:t>
            </w:r>
          </w:p>
        </w:tc>
        <w:tc>
          <w:tcPr>
            <w:tcW w:w="1463" w:type="dxa"/>
            <w:vAlign w:val="center"/>
          </w:tcPr>
          <w:p w14:paraId="414914F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362" w:type="dxa"/>
            <w:vAlign w:val="center"/>
          </w:tcPr>
          <w:p w14:paraId="2BB682E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13" w:type="dxa"/>
            <w:vAlign w:val="center"/>
          </w:tcPr>
          <w:p w14:paraId="13C8A7B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012" w:type="dxa"/>
            <w:vAlign w:val="center"/>
          </w:tcPr>
          <w:p w14:paraId="6B32648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AD9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89" w:type="dxa"/>
            <w:tcBorders>
              <w:bottom w:val="single" w:color="auto" w:sz="12" w:space="0"/>
            </w:tcBorders>
            <w:vAlign w:val="center"/>
          </w:tcPr>
          <w:p w14:paraId="3A86EAD9">
            <w:pPr>
              <w:spacing w:line="360" w:lineRule="auto"/>
              <w:rPr>
                <w:rFonts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Cs/>
                <w:sz w:val="21"/>
                <w:szCs w:val="21"/>
              </w:rPr>
              <w:t>Cytoskeleton</w:t>
            </w:r>
          </w:p>
        </w:tc>
        <w:tc>
          <w:tcPr>
            <w:tcW w:w="1463" w:type="dxa"/>
            <w:tcBorders>
              <w:bottom w:val="single" w:color="auto" w:sz="12" w:space="0"/>
            </w:tcBorders>
            <w:vAlign w:val="center"/>
          </w:tcPr>
          <w:p w14:paraId="64EC493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bottom w:val="single" w:color="auto" w:sz="12" w:space="0"/>
            </w:tcBorders>
            <w:vAlign w:val="center"/>
          </w:tcPr>
          <w:p w14:paraId="57C1C0A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3" w:type="dxa"/>
            <w:tcBorders>
              <w:bottom w:val="single" w:color="auto" w:sz="12" w:space="0"/>
            </w:tcBorders>
          </w:tcPr>
          <w:p w14:paraId="3F07F82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12" w:type="dxa"/>
            <w:tcBorders>
              <w:bottom w:val="single" w:color="auto" w:sz="12" w:space="0"/>
            </w:tcBorders>
          </w:tcPr>
          <w:p w14:paraId="2E78EC0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0F0AD09D">
      <w:pPr>
        <w:bidi w:val="0"/>
      </w:pPr>
    </w:p>
    <w:p w14:paraId="07660FCD">
      <w:pPr>
        <w:autoSpaceDE w:val="0"/>
        <w:autoSpaceDN w:val="0"/>
        <w:spacing w:line="480" w:lineRule="auto"/>
        <w:jc w:val="left"/>
        <w:rPr>
          <w:rFonts w:ascii="Times New Roman" w:hAnsi="Times New Roman" w:eastAsia="宋体" w:cs="Times New Roman"/>
          <w:kern w:val="2"/>
          <w:sz w:val="21"/>
          <w:szCs w:val="21"/>
          <w:lang w:eastAsia="zh-CN"/>
        </w:rPr>
      </w:pPr>
      <w:r>
        <w:rPr>
          <w:rFonts w:ascii="Times New Roman" w:hAnsi="Times New Roman" w:eastAsia="Calibri" w:cs="Times New Roman"/>
          <w:b/>
          <w:bCs/>
          <w:iCs w:val="0"/>
          <w:kern w:val="0"/>
          <w:sz w:val="22"/>
          <w:szCs w:val="21"/>
          <w:lang w:eastAsia="en-US"/>
        </w:rPr>
        <w:t xml:space="preserve">Table </w:t>
      </w:r>
      <w:r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eastAsia="Calibri" w:cs="Times New Roman"/>
          <w:b/>
          <w:bCs/>
          <w:iCs w:val="0"/>
          <w:kern w:val="0"/>
          <w:sz w:val="22"/>
          <w:szCs w:val="21"/>
          <w:lang w:eastAsia="en-US"/>
        </w:rPr>
        <w:t xml:space="preserve">4 </w:t>
      </w:r>
      <w:r>
        <w:rPr>
          <w:rFonts w:ascii="Times New Roman" w:hAnsi="Times New Roman" w:eastAsia="Calibri" w:cs="Times New Roman"/>
          <w:iCs w:val="0"/>
          <w:kern w:val="0"/>
          <w:sz w:val="21"/>
          <w:szCs w:val="21"/>
          <w:lang w:eastAsia="en-US"/>
        </w:rPr>
        <w:t>Cellular fatty acid composition of GX</w:t>
      </w:r>
      <w:r>
        <w:rPr>
          <w:rFonts w:hint="eastAsia" w:ascii="Times New Roman" w:hAnsi="Times New Roman" w:eastAsia="宋体" w:cs="Times New Roman"/>
          <w:iCs w:val="0"/>
          <w:kern w:val="0"/>
          <w:sz w:val="21"/>
          <w:szCs w:val="21"/>
          <w:lang w:val="en-US" w:eastAsia="zh-CN"/>
        </w:rPr>
        <w:t>Z039</w:t>
      </w:r>
      <w:r>
        <w:rPr>
          <w:rFonts w:ascii="Times New Roman" w:hAnsi="Times New Roman" w:eastAsia="Calibri" w:cs="Times New Roman"/>
          <w:iCs w:val="0"/>
          <w:kern w:val="0"/>
          <w:sz w:val="21"/>
          <w:szCs w:val="21"/>
          <w:vertAlign w:val="superscript"/>
          <w:lang w:eastAsia="en-US"/>
        </w:rPr>
        <w:t>T</w:t>
      </w:r>
      <w:r>
        <w:rPr>
          <w:rFonts w:ascii="Times New Roman" w:hAnsi="Times New Roman" w:eastAsia="Calibri" w:cs="Times New Roman"/>
          <w:iCs w:val="0"/>
          <w:kern w:val="0"/>
          <w:sz w:val="21"/>
          <w:szCs w:val="21"/>
          <w:lang w:eastAsia="en-US"/>
        </w:rPr>
        <w:t xml:space="preserve"> and related strains.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Strains:1，GXZ039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；2，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plantarum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NCIMB 12834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；3，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dongxiaopingii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S-1144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；4 ，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Nocardioides litoris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002-2</w:t>
      </w:r>
      <w:r>
        <w:rPr>
          <w:rFonts w:hint="eastAsia" w:ascii="Times New Roman" w:hAnsi="Times New Roman" w:eastAsia="宋体" w:cs="Times New Roman"/>
          <w:sz w:val="21"/>
          <w:szCs w:val="21"/>
          <w:vertAlign w:val="superscript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.TR, trace level (&lt;1 %); ND, not detected.</w:t>
      </w:r>
    </w:p>
    <w:tbl>
      <w:tblPr>
        <w:tblStyle w:val="10"/>
        <w:tblW w:w="476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1273"/>
        <w:gridCol w:w="1798"/>
        <w:gridCol w:w="1540"/>
        <w:gridCol w:w="1326"/>
      </w:tblGrid>
      <w:tr w14:paraId="0307D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top w:val="single" w:color="auto" w:sz="12" w:space="0"/>
              <w:left w:val="nil"/>
              <w:bottom w:val="single" w:color="auto" w:sz="12" w:space="0"/>
            </w:tcBorders>
          </w:tcPr>
          <w:p w14:paraId="5F39DF27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eastAsia="zh-CN"/>
              </w:rPr>
              <w:t>Fatty acids (%)</w:t>
            </w:r>
          </w:p>
        </w:tc>
        <w:tc>
          <w:tcPr>
            <w:tcW w:w="775" w:type="pct"/>
            <w:tcBorders>
              <w:top w:val="single" w:color="auto" w:sz="12" w:space="0"/>
              <w:bottom w:val="single" w:color="auto" w:sz="12" w:space="0"/>
            </w:tcBorders>
          </w:tcPr>
          <w:p w14:paraId="4A32CA36">
            <w:pPr>
              <w:autoSpaceDE/>
              <w:autoSpaceDN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95" w:type="pct"/>
            <w:tcBorders>
              <w:top w:val="single" w:color="auto" w:sz="12" w:space="0"/>
              <w:bottom w:val="single" w:color="auto" w:sz="12" w:space="0"/>
            </w:tcBorders>
          </w:tcPr>
          <w:p w14:paraId="19845ACD">
            <w:pPr>
              <w:autoSpaceDE/>
              <w:autoSpaceDN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38" w:type="pct"/>
            <w:tcBorders>
              <w:top w:val="single" w:color="auto" w:sz="12" w:space="0"/>
              <w:bottom w:val="single" w:color="auto" w:sz="12" w:space="0"/>
              <w:right w:val="nil"/>
            </w:tcBorders>
          </w:tcPr>
          <w:p w14:paraId="059C3481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7" w:type="pct"/>
            <w:tcBorders>
              <w:top w:val="single" w:color="auto" w:sz="12" w:space="0"/>
              <w:bottom w:val="single" w:color="auto" w:sz="12" w:space="0"/>
              <w:right w:val="nil"/>
            </w:tcBorders>
          </w:tcPr>
          <w:p w14:paraId="2D48DE48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kern w:val="2"/>
                <w:sz w:val="21"/>
                <w:szCs w:val="21"/>
                <w:lang w:val="en-US" w:eastAsia="zh-CN"/>
              </w:rPr>
              <w:t>4</w:t>
            </w:r>
          </w:p>
        </w:tc>
      </w:tr>
      <w:tr w14:paraId="3A29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top w:val="single" w:color="auto" w:sz="12" w:space="0"/>
              <w:left w:val="nil"/>
            </w:tcBorders>
          </w:tcPr>
          <w:p w14:paraId="3F9BF8C2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:0</w:t>
            </w:r>
          </w:p>
        </w:tc>
        <w:tc>
          <w:tcPr>
            <w:tcW w:w="775" w:type="pct"/>
            <w:tcBorders>
              <w:top w:val="single" w:color="auto" w:sz="12" w:space="0"/>
            </w:tcBorders>
          </w:tcPr>
          <w:p w14:paraId="5DA2F661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095" w:type="pct"/>
            <w:tcBorders>
              <w:top w:val="single" w:color="auto" w:sz="12" w:space="0"/>
            </w:tcBorders>
          </w:tcPr>
          <w:p w14:paraId="4FD2C127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TR</w:t>
            </w:r>
          </w:p>
        </w:tc>
        <w:tc>
          <w:tcPr>
            <w:tcW w:w="938" w:type="pct"/>
            <w:tcBorders>
              <w:top w:val="single" w:color="auto" w:sz="12" w:space="0"/>
              <w:right w:val="nil"/>
            </w:tcBorders>
          </w:tcPr>
          <w:p w14:paraId="6348CDCE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807" w:type="pct"/>
            <w:tcBorders>
              <w:top w:val="single" w:color="auto" w:sz="12" w:space="0"/>
              <w:right w:val="nil"/>
            </w:tcBorders>
          </w:tcPr>
          <w:p w14:paraId="7F94E5BE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2.4</w:t>
            </w:r>
          </w:p>
        </w:tc>
      </w:tr>
      <w:tr w14:paraId="6857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22EAF132">
            <w:pPr>
              <w:autoSpaceDE/>
              <w:autoSpaceDN/>
              <w:spacing w:line="360" w:lineRule="auto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0</w:t>
            </w:r>
          </w:p>
        </w:tc>
        <w:tc>
          <w:tcPr>
            <w:tcW w:w="775" w:type="pct"/>
          </w:tcPr>
          <w:p w14:paraId="2A33D379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1095" w:type="pct"/>
          </w:tcPr>
          <w:p w14:paraId="2144874D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938" w:type="pct"/>
            <w:tcBorders>
              <w:right w:val="nil"/>
            </w:tcBorders>
          </w:tcPr>
          <w:p w14:paraId="5D074D3E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807" w:type="pct"/>
            <w:tcBorders>
              <w:right w:val="nil"/>
            </w:tcBorders>
          </w:tcPr>
          <w:p w14:paraId="0444D12A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3.9</w:t>
            </w:r>
          </w:p>
        </w:tc>
      </w:tr>
      <w:tr w14:paraId="3655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1F70CF2C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:0</w:t>
            </w:r>
          </w:p>
        </w:tc>
        <w:tc>
          <w:tcPr>
            <w:tcW w:w="775" w:type="pct"/>
          </w:tcPr>
          <w:p w14:paraId="45C88AE6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095" w:type="pct"/>
          </w:tcPr>
          <w:p w14:paraId="39857112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938" w:type="pct"/>
            <w:tcBorders>
              <w:right w:val="nil"/>
            </w:tcBorders>
          </w:tcPr>
          <w:p w14:paraId="4F4F9F5F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12.2</w:t>
            </w:r>
          </w:p>
        </w:tc>
        <w:tc>
          <w:tcPr>
            <w:tcW w:w="807" w:type="pct"/>
            <w:tcBorders>
              <w:right w:val="nil"/>
            </w:tcBorders>
          </w:tcPr>
          <w:p w14:paraId="6A54B1EE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6.9</w:t>
            </w:r>
          </w:p>
        </w:tc>
      </w:tr>
      <w:tr w14:paraId="1713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3" w:type="pct"/>
            <w:tcBorders>
              <w:left w:val="nil"/>
            </w:tcBorders>
          </w:tcPr>
          <w:p w14:paraId="29F0AE4A">
            <w:pPr>
              <w:autoSpaceDE/>
              <w:autoSpaceDN/>
              <w:spacing w:line="360" w:lineRule="auto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 xml:space="preserve">17:0 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baseline"/>
                <w:lang w:val="en-US" w:eastAsia="zh-CN"/>
              </w:rPr>
              <w:t>10-methyl</w:t>
            </w:r>
          </w:p>
        </w:tc>
        <w:tc>
          <w:tcPr>
            <w:tcW w:w="775" w:type="pct"/>
          </w:tcPr>
          <w:p w14:paraId="115B12B8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3.6</w:t>
            </w:r>
          </w:p>
        </w:tc>
        <w:tc>
          <w:tcPr>
            <w:tcW w:w="1095" w:type="pct"/>
          </w:tcPr>
          <w:p w14:paraId="6DE9DB68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9.6</w:t>
            </w:r>
          </w:p>
        </w:tc>
        <w:tc>
          <w:tcPr>
            <w:tcW w:w="938" w:type="pct"/>
            <w:tcBorders>
              <w:right w:val="nil"/>
            </w:tcBorders>
          </w:tcPr>
          <w:p w14:paraId="3F931852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8.7</w:t>
            </w:r>
          </w:p>
        </w:tc>
        <w:tc>
          <w:tcPr>
            <w:tcW w:w="807" w:type="pct"/>
            <w:tcBorders>
              <w:right w:val="nil"/>
            </w:tcBorders>
          </w:tcPr>
          <w:p w14:paraId="06F89E4D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4.8</w:t>
            </w:r>
          </w:p>
        </w:tc>
      </w:tr>
      <w:tr w14:paraId="0A08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1A387AF5">
            <w:pPr>
              <w:autoSpaceDE/>
              <w:autoSpaceDN/>
              <w:spacing w:line="360" w:lineRule="auto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:0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 10-methyl(TBSA)</w:t>
            </w:r>
          </w:p>
        </w:tc>
        <w:tc>
          <w:tcPr>
            <w:tcW w:w="775" w:type="pct"/>
          </w:tcPr>
          <w:p w14:paraId="03D1B60A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1095" w:type="pct"/>
          </w:tcPr>
          <w:p w14:paraId="1F41577B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12.4</w:t>
            </w:r>
          </w:p>
        </w:tc>
        <w:tc>
          <w:tcPr>
            <w:tcW w:w="938" w:type="pct"/>
            <w:tcBorders>
              <w:right w:val="nil"/>
            </w:tcBorders>
          </w:tcPr>
          <w:p w14:paraId="28C5C5DA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807" w:type="pct"/>
            <w:tcBorders>
              <w:right w:val="nil"/>
            </w:tcBorders>
          </w:tcPr>
          <w:p w14:paraId="5AA71167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3.5</w:t>
            </w:r>
          </w:p>
        </w:tc>
      </w:tr>
      <w:tr w14:paraId="7399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3C3C5262">
            <w:pPr>
              <w:autoSpaceDE/>
              <w:autoSpaceDN/>
              <w:spacing w:line="360" w:lineRule="auto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:1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ω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21"/>
                <w:szCs w:val="21"/>
                <w:lang w:val="en-US" w:eastAsia="zh-CN"/>
              </w:rPr>
              <w:t>6c</w:t>
            </w:r>
          </w:p>
        </w:tc>
        <w:tc>
          <w:tcPr>
            <w:tcW w:w="775" w:type="pct"/>
          </w:tcPr>
          <w:p w14:paraId="71314CEB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11.6</w:t>
            </w:r>
          </w:p>
        </w:tc>
        <w:tc>
          <w:tcPr>
            <w:tcW w:w="1095" w:type="pct"/>
          </w:tcPr>
          <w:p w14:paraId="0B60D2FA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938" w:type="pct"/>
            <w:tcBorders>
              <w:right w:val="nil"/>
            </w:tcBorders>
          </w:tcPr>
          <w:p w14:paraId="1C8A8130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5.5</w:t>
            </w:r>
          </w:p>
        </w:tc>
        <w:tc>
          <w:tcPr>
            <w:tcW w:w="807" w:type="pct"/>
            <w:tcBorders>
              <w:right w:val="nil"/>
            </w:tcBorders>
          </w:tcPr>
          <w:p w14:paraId="42B89C87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28.4</w:t>
            </w:r>
          </w:p>
        </w:tc>
      </w:tr>
      <w:tr w14:paraId="1995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3" w:type="pct"/>
            <w:tcBorders>
              <w:left w:val="nil"/>
            </w:tcBorders>
          </w:tcPr>
          <w:p w14:paraId="4E691DBD">
            <w:pPr>
              <w:autoSpaceDE/>
              <w:autoSpaceDN/>
              <w:spacing w:line="360" w:lineRule="auto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 xml:space="preserve">1 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ω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775" w:type="pct"/>
          </w:tcPr>
          <w:p w14:paraId="31A6C3F6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4.2</w:t>
            </w:r>
          </w:p>
        </w:tc>
        <w:tc>
          <w:tcPr>
            <w:tcW w:w="1095" w:type="pct"/>
          </w:tcPr>
          <w:p w14:paraId="65B88836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6.4</w:t>
            </w:r>
          </w:p>
        </w:tc>
        <w:tc>
          <w:tcPr>
            <w:tcW w:w="938" w:type="pct"/>
            <w:tcBorders>
              <w:right w:val="nil"/>
            </w:tcBorders>
          </w:tcPr>
          <w:p w14:paraId="734E6345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807" w:type="pct"/>
            <w:tcBorders>
              <w:right w:val="nil"/>
            </w:tcBorders>
          </w:tcPr>
          <w:p w14:paraId="7F193CC7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20.4</w:t>
            </w:r>
          </w:p>
        </w:tc>
      </w:tr>
      <w:tr w14:paraId="33297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3" w:type="pct"/>
            <w:tcBorders>
              <w:left w:val="nil"/>
            </w:tcBorders>
          </w:tcPr>
          <w:p w14:paraId="13203E4F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 xml:space="preserve">1 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ω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775" w:type="pct"/>
          </w:tcPr>
          <w:p w14:paraId="5362F74E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095" w:type="pct"/>
          </w:tcPr>
          <w:p w14:paraId="1FEBD83A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9.6</w:t>
            </w:r>
          </w:p>
        </w:tc>
        <w:tc>
          <w:tcPr>
            <w:tcW w:w="938" w:type="pct"/>
            <w:tcBorders>
              <w:right w:val="nil"/>
            </w:tcBorders>
          </w:tcPr>
          <w:p w14:paraId="6D490A2F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9.5</w:t>
            </w:r>
          </w:p>
        </w:tc>
        <w:tc>
          <w:tcPr>
            <w:tcW w:w="807" w:type="pct"/>
            <w:tcBorders>
              <w:right w:val="nil"/>
            </w:tcBorders>
          </w:tcPr>
          <w:p w14:paraId="2303029E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12.6</w:t>
            </w:r>
          </w:p>
        </w:tc>
      </w:tr>
      <w:tr w14:paraId="15D3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2BB75A7E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iso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-C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:0</w:t>
            </w:r>
          </w:p>
        </w:tc>
        <w:tc>
          <w:tcPr>
            <w:tcW w:w="775" w:type="pct"/>
          </w:tcPr>
          <w:p w14:paraId="34174D52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1.4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95" w:type="pct"/>
          </w:tcPr>
          <w:p w14:paraId="7CFE0971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3.6</w:t>
            </w:r>
          </w:p>
        </w:tc>
        <w:tc>
          <w:tcPr>
            <w:tcW w:w="938" w:type="pct"/>
            <w:tcBorders>
              <w:right w:val="nil"/>
            </w:tcBorders>
          </w:tcPr>
          <w:p w14:paraId="38BD3F45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1.7</w:t>
            </w:r>
          </w:p>
        </w:tc>
        <w:tc>
          <w:tcPr>
            <w:tcW w:w="807" w:type="pct"/>
            <w:tcBorders>
              <w:right w:val="nil"/>
            </w:tcBorders>
          </w:tcPr>
          <w:p w14:paraId="5442E094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TR</w:t>
            </w:r>
          </w:p>
        </w:tc>
      </w:tr>
      <w:tr w14:paraId="2826D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25EA1E94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iso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-C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:0</w:t>
            </w:r>
          </w:p>
        </w:tc>
        <w:tc>
          <w:tcPr>
            <w:tcW w:w="775" w:type="pct"/>
          </w:tcPr>
          <w:p w14:paraId="21A3EA76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39.3</w:t>
            </w:r>
          </w:p>
        </w:tc>
        <w:tc>
          <w:tcPr>
            <w:tcW w:w="1095" w:type="pct"/>
          </w:tcPr>
          <w:p w14:paraId="28666A6A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20.1</w:t>
            </w:r>
          </w:p>
        </w:tc>
        <w:tc>
          <w:tcPr>
            <w:tcW w:w="938" w:type="pct"/>
            <w:tcBorders>
              <w:right w:val="nil"/>
            </w:tcBorders>
          </w:tcPr>
          <w:p w14:paraId="7C0D2B29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24.9</w:t>
            </w:r>
          </w:p>
        </w:tc>
        <w:tc>
          <w:tcPr>
            <w:tcW w:w="807" w:type="pct"/>
            <w:tcBorders>
              <w:right w:val="nil"/>
            </w:tcBorders>
          </w:tcPr>
          <w:p w14:paraId="621BF172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31.7</w:t>
            </w:r>
          </w:p>
        </w:tc>
      </w:tr>
      <w:tr w14:paraId="3943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3" w:type="pct"/>
            <w:tcBorders>
              <w:left w:val="nil"/>
            </w:tcBorders>
          </w:tcPr>
          <w:p w14:paraId="7E3F51E4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iso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-C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17:0</w:t>
            </w:r>
          </w:p>
        </w:tc>
        <w:tc>
          <w:tcPr>
            <w:tcW w:w="775" w:type="pct"/>
          </w:tcPr>
          <w:p w14:paraId="5E35872C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TR</w:t>
            </w:r>
          </w:p>
        </w:tc>
        <w:tc>
          <w:tcPr>
            <w:tcW w:w="1095" w:type="pct"/>
          </w:tcPr>
          <w:p w14:paraId="468F79D4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11.1</w:t>
            </w:r>
          </w:p>
        </w:tc>
        <w:tc>
          <w:tcPr>
            <w:tcW w:w="938" w:type="pct"/>
            <w:tcBorders>
              <w:right w:val="nil"/>
            </w:tcBorders>
          </w:tcPr>
          <w:p w14:paraId="09418180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807" w:type="pct"/>
            <w:tcBorders>
              <w:right w:val="nil"/>
            </w:tcBorders>
          </w:tcPr>
          <w:p w14:paraId="1032DEAB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TR</w:t>
            </w:r>
          </w:p>
        </w:tc>
      </w:tr>
      <w:tr w14:paraId="6AEB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3" w:type="pct"/>
            <w:tcBorders>
              <w:left w:val="nil"/>
            </w:tcBorders>
          </w:tcPr>
          <w:p w14:paraId="03684767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anteiso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-C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:0</w:t>
            </w:r>
          </w:p>
        </w:tc>
        <w:tc>
          <w:tcPr>
            <w:tcW w:w="775" w:type="pct"/>
          </w:tcPr>
          <w:p w14:paraId="5DE05AD2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10.9</w:t>
            </w:r>
          </w:p>
        </w:tc>
        <w:tc>
          <w:tcPr>
            <w:tcW w:w="1095" w:type="pct"/>
          </w:tcPr>
          <w:p w14:paraId="56919F17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938" w:type="pct"/>
            <w:tcBorders>
              <w:right w:val="nil"/>
            </w:tcBorders>
          </w:tcPr>
          <w:p w14:paraId="38F63475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807" w:type="pct"/>
            <w:tcBorders>
              <w:right w:val="nil"/>
            </w:tcBorders>
          </w:tcPr>
          <w:p w14:paraId="523A4AAB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ND</w:t>
            </w:r>
          </w:p>
        </w:tc>
      </w:tr>
      <w:tr w14:paraId="18FB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83" w:type="pct"/>
            <w:tcBorders>
              <w:left w:val="nil"/>
            </w:tcBorders>
          </w:tcPr>
          <w:p w14:paraId="127BFB9D">
            <w:pPr>
              <w:autoSpaceDE/>
              <w:autoSpaceDN/>
              <w:spacing w:line="360" w:lineRule="auto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  <w:t>anteiso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lang w:eastAsia="zh-CN"/>
              </w:rPr>
              <w:t>-C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  <w:lang w:eastAsia="zh-CN"/>
              </w:rPr>
              <w:t>17:0</w:t>
            </w:r>
          </w:p>
        </w:tc>
        <w:tc>
          <w:tcPr>
            <w:tcW w:w="775" w:type="pct"/>
          </w:tcPr>
          <w:p w14:paraId="39707533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8.38</w:t>
            </w:r>
          </w:p>
        </w:tc>
        <w:tc>
          <w:tcPr>
            <w:tcW w:w="1095" w:type="pct"/>
          </w:tcPr>
          <w:p w14:paraId="2A4D0417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938" w:type="pct"/>
            <w:tcBorders>
              <w:right w:val="nil"/>
            </w:tcBorders>
          </w:tcPr>
          <w:p w14:paraId="67A2A2AC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807" w:type="pct"/>
            <w:tcBorders>
              <w:right w:val="nil"/>
            </w:tcBorders>
          </w:tcPr>
          <w:p w14:paraId="62081A29">
            <w:pPr>
              <w:autoSpaceDE/>
              <w:autoSpaceDN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2"/>
                <w:sz w:val="21"/>
                <w:szCs w:val="21"/>
                <w:lang w:val="en-US" w:eastAsia="zh-CN"/>
              </w:rPr>
              <w:t>TR</w:t>
            </w:r>
          </w:p>
        </w:tc>
      </w:tr>
    </w:tbl>
    <w:p w14:paraId="4B5592F0">
      <w:pPr>
        <w:autoSpaceDE/>
        <w:autoSpaceDN/>
        <w:jc w:val="both"/>
        <w:rPr>
          <w:rFonts w:ascii="Times New Roman" w:hAnsi="Times New Roman" w:eastAsia="宋体" w:cs="Times New Roman"/>
          <w:kern w:val="2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kern w:val="2"/>
          <w:sz w:val="21"/>
          <w:szCs w:val="21"/>
          <w:lang w:eastAsia="zh-CN"/>
        </w:rPr>
        <w:drawing>
          <wp:inline distT="0" distB="0" distL="114300" distR="114300">
            <wp:extent cx="4158615" cy="2783205"/>
            <wp:effectExtent l="0" t="0" r="13335" b="17145"/>
            <wp:docPr id="7" name="图片 7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D149">
      <w:pPr>
        <w:rPr>
          <w:rFonts w:ascii="Times New Roman" w:hAnsi="Times New Roman" w:eastAsia="Georgia" w:cs="Times New Roman"/>
          <w:color w:val="333333"/>
          <w:sz w:val="24"/>
          <w:szCs w:val="24"/>
          <w:shd w:val="clear" w:color="auto" w:fill="FCFCFC"/>
          <w:lang w:eastAsia="zh-CN"/>
        </w:rPr>
      </w:pPr>
    </w:p>
    <w:p w14:paraId="2514DF15">
      <w:pPr>
        <w:bidi w:val="0"/>
        <w:jc w:val="left"/>
        <w:rPr>
          <w:rFonts w:hint="eastAsia" w:ascii="Times New Roman" w:hAnsi="Times New Roman" w:eastAsia="宋体" w:cs="Times New Roman"/>
          <w:iCs w:val="0"/>
          <w:kern w:val="0"/>
          <w:sz w:val="21"/>
          <w:szCs w:val="21"/>
          <w:lang w:val="en-US" w:eastAsia="zh-CN"/>
        </w:rPr>
        <w:sectPr>
          <w:footerReference r:id="rId3" w:type="default"/>
          <w:pgSz w:w="11906" w:h="16839"/>
          <w:pgMar w:top="1431" w:right="1717" w:bottom="1889" w:left="1785" w:header="0" w:footer="1724" w:gutter="0"/>
          <w:cols w:space="720" w:num="1"/>
        </w:sectPr>
      </w:pPr>
      <w:r>
        <w:rPr>
          <w:rFonts w:ascii="Times New Roman" w:hAnsi="Times New Roman" w:cs="Times New Roman"/>
          <w:b/>
          <w:sz w:val="21"/>
          <w:szCs w:val="21"/>
        </w:rPr>
        <w:t xml:space="preserve">Fig. 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eastAsia="zh-CN"/>
        </w:rPr>
        <w:t>S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 xml:space="preserve">4 </w:t>
      </w:r>
      <w:r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iCs w:val="0"/>
          <w:kern w:val="0"/>
          <w:sz w:val="21"/>
          <w:szCs w:val="21"/>
          <w:lang w:eastAsia="en-US"/>
        </w:rPr>
        <w:t>ε－PL standard curve determined by trypan blue detection</w:t>
      </w:r>
    </w:p>
    <w:p w14:paraId="500BE995">
      <w:pPr>
        <w:bidi w:val="0"/>
        <w:jc w:val="left"/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73675" cy="2635250"/>
            <wp:effectExtent l="0" t="0" r="3175" b="12700"/>
            <wp:docPr id="8" name="图片 8" descr="77e2583942ab3da3e8ea62774eb0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7e2583942ab3da3e8ea62774eb01b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BF27">
      <w:pPr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cs="Times New Roman"/>
          <w:b/>
          <w:szCs w:val="21"/>
        </w:rPr>
        <w:t xml:space="preserve">Fig. </w:t>
      </w:r>
      <w:r>
        <w:rPr>
          <w:rFonts w:hint="eastAsia" w:ascii="Times New Roman" w:hAnsi="Times New Roman" w:eastAsia="宋体" w:cs="Times New Roman"/>
          <w:b/>
          <w:szCs w:val="21"/>
          <w:lang w:eastAsia="zh-CN"/>
        </w:rPr>
        <w:t>S</w:t>
      </w:r>
      <w:r>
        <w:rPr>
          <w:rFonts w:hint="eastAsia" w:ascii="Times New Roman" w:hAnsi="Times New Roman" w:eastAsia="宋体" w:cs="Times New Roman"/>
          <w:b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Cs w:val="2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eastAsia="zh-CN"/>
        </w:rPr>
        <w:t>Polar lipids of GX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val="en-US" w:eastAsia="zh-CN"/>
        </w:rPr>
        <w:t>Z039</w:t>
      </w:r>
      <w:r>
        <w:rPr>
          <w:rFonts w:hint="eastAsia" w:ascii="Times New Roman" w:hAnsi="Times New Roman" w:eastAsia="宋体" w:cs="Times New Roman"/>
          <w:bCs/>
          <w:sz w:val="21"/>
          <w:szCs w:val="21"/>
          <w:vertAlign w:val="superscript"/>
          <w:lang w:eastAsia="zh-CN"/>
        </w:rPr>
        <w:t>T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eastAsia="zh-CN"/>
        </w:rPr>
        <w:t xml:space="preserve">. Polar lipids of strain separated by two-dimensional TLC and detected with molybdenum blue reagent </w:t>
      </w:r>
      <w:r>
        <w:rPr>
          <w:rFonts w:ascii="Times New Roman" w:hAnsi="Times New Roman" w:eastAsia="宋体" w:cs="Times New Roman"/>
          <w:bCs/>
          <w:sz w:val="21"/>
          <w:szCs w:val="21"/>
          <w:lang w:eastAsia="zh-CN"/>
        </w:rPr>
        <w:t xml:space="preserve">(A), molybdenum blue reagent; (B), molybdophosphoric acid reagent; 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eastAsia="zh-CN"/>
        </w:rPr>
        <w:t>All data presented are from this study.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INNextLTPro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E8200">
    <w:pPr>
      <w:spacing w:line="169" w:lineRule="auto"/>
      <w:ind w:left="426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56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ZTVkNTI2NGNmNjE4MzgzMjQ2YzYwZjFhM2Y4ZDQifQ=="/>
  </w:docVars>
  <w:rsids>
    <w:rsidRoot w:val="6AE227C8"/>
    <w:rsid w:val="12B112A1"/>
    <w:rsid w:val="221D4887"/>
    <w:rsid w:val="39921882"/>
    <w:rsid w:val="425C2554"/>
    <w:rsid w:val="56E359C1"/>
    <w:rsid w:val="607B17DC"/>
    <w:rsid w:val="6AE2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网格型2"/>
    <w:basedOn w:val="5"/>
    <w:qFormat/>
    <w:uiPriority w:val="3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"/>
    <w:basedOn w:val="5"/>
    <w:qFormat/>
    <w:uiPriority w:val="39"/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704</Words>
  <Characters>3607</Characters>
  <Lines>0</Lines>
  <Paragraphs>0</Paragraphs>
  <TotalTime>90</TotalTime>
  <ScaleCrop>false</ScaleCrop>
  <LinksUpToDate>false</LinksUpToDate>
  <CharactersWithSpaces>3961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2024-10-18T02:09:00Z</dcterms:created>
  <dc:creator>susu</dc:creator>
  <cp:lastModifiedBy>susu</cp:lastModifiedBy>
  <dcterms:modified xsi:type="dcterms:W3CDTF">2024-10-25T07:02:19Z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2D85C228E0C943EFA998B6B0D8DD0644_13</vt:lpwstr>
  </property>
</Properties>
</file>