
<file path=[Content_Types].xml><?xml version="1.0" encoding="utf-8"?>
<Types xmlns="http://schemas.openxmlformats.org/package/2006/content-types">
  <Default Extension="jpeg" ContentType="image/jpeg"/>
  <Default Extension="JPG" ContentType="image/.jp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BD72F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00" w:afterLines="-2147483648" w:afterAutospacing="1" w:line="440" w:lineRule="exact"/>
        <w:textAlignment w:val="auto"/>
        <w:rPr>
          <w:rFonts w:hint="default" w:ascii="Times New Roman" w:hAnsi="Times New Roman" w:cs="Times New Roman"/>
          <w:b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highlight w:val="none"/>
          <w:lang w:val="en-US" w:eastAsia="zh-CN"/>
        </w:rPr>
        <w:t>Bisphenols Exposure Correlated with Metabolic Syndrome Incidence via Inflammatory Response: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highlight w:val="none"/>
          <w:lang w:val="en-US" w:eastAsia="zh-CN"/>
        </w:rPr>
        <w:t>Evidence from NHANES 2013-2015</w:t>
      </w:r>
    </w:p>
    <w:p w14:paraId="490BC0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00" w:afterLines="-2147483648" w:afterAutospacing="1" w:line="440" w:lineRule="exact"/>
        <w:textAlignment w:val="auto"/>
        <w:rPr>
          <w:rFonts w:hint="default" w:eastAsiaTheme="minorEastAsia"/>
          <w:color w:val="auto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lang w:val="en-US" w:eastAsia="zh-CN"/>
        </w:rPr>
        <w:t>Xiaoting Li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vertAlign w:val="superscript"/>
          <w:lang w:val="en-US" w:eastAsia="zh-CN"/>
        </w:rPr>
        <w:t>1</w:t>
      </w:r>
      <w:r>
        <w:rPr>
          <w:rFonts w:ascii="Times New Roman" w:hAnsi="Times New Roman" w:eastAsia="Times New Roman Uni" w:cs="Times New Roman"/>
          <w:b/>
          <w:bCs/>
          <w:color w:val="auto"/>
          <w:vertAlign w:val="superscript"/>
        </w:rPr>
        <w:t>†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lang w:val="en-US" w:eastAsia="zh-CN"/>
        </w:rPr>
        <w:t>, Zhiyuan Dong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vertAlign w:val="superscript"/>
          <w:lang w:val="en-US" w:eastAsia="zh-CN"/>
        </w:rPr>
        <w:t>1</w:t>
      </w:r>
      <w:r>
        <w:rPr>
          <w:rFonts w:ascii="Times New Roman" w:hAnsi="Times New Roman" w:eastAsia="Times New Roman Uni" w:cs="Times New Roman"/>
          <w:b/>
          <w:bCs/>
          <w:color w:val="auto"/>
          <w:vertAlign w:val="superscript"/>
        </w:rPr>
        <w:t>†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lang w:val="en-US" w:eastAsia="zh-CN"/>
        </w:rPr>
        <w:t>, Liping He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lang w:val="en-US" w:eastAsia="zh-CN"/>
        </w:rPr>
        <w:t>Xiaoming Ji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vertAlign w:val="superscript"/>
          <w:lang w:val="en-US" w:eastAsia="zh-CN"/>
        </w:rPr>
        <w:t>2*</w:t>
      </w:r>
    </w:p>
    <w:p w14:paraId="570E4617">
      <w:pPr>
        <w:spacing w:after="100" w:afterAutospacing="1" w:line="440" w:lineRule="exact"/>
        <w:rPr>
          <w:rFonts w:hint="eastAsia" w:eastAsiaTheme="minorEastAsia"/>
          <w:color w:val="auto"/>
          <w:lang w:eastAsia="zh-CN"/>
        </w:rPr>
      </w:pPr>
    </w:p>
    <w:p w14:paraId="0BBA9EC2">
      <w:pPr>
        <w:numPr>
          <w:ilvl w:val="0"/>
          <w:numId w:val="1"/>
        </w:numPr>
        <w:spacing w:after="100" w:afterAutospacing="1" w:line="440" w:lineRule="exact"/>
        <w:rPr>
          <w:rFonts w:hint="default" w:ascii="Times New Roman" w:hAnsi="Times New Roman" w:cs="Times New Roman" w:eastAsiaTheme="minorEastAsia"/>
          <w:color w:val="auto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lang w:val="en-US" w:eastAsia="zh-CN"/>
        </w:rPr>
        <w:t>Department of Nutrition and Food Safety, School of Public Health, Nanjing Medical University, Nanjing, China.</w:t>
      </w:r>
    </w:p>
    <w:p w14:paraId="595FCBE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00" w:afterLines="-2147483648" w:afterAutospacing="1" w:line="440" w:lineRule="exact"/>
        <w:textAlignment w:val="auto"/>
        <w:rPr>
          <w:rFonts w:hint="default" w:ascii="Times New Roman" w:hAnsi="Times New Roman" w:cs="Times New Roman"/>
          <w:b/>
          <w:bCs/>
          <w:color w:val="auto"/>
          <w:sz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lang w:val="en-US" w:eastAsia="zh-CN"/>
        </w:rPr>
        <w:t>Department of Occupational</w:t>
      </w:r>
      <w:r>
        <w:rPr>
          <w:rFonts w:hint="eastAsia" w:ascii="Times New Roman" w:hAnsi="Times New Roman" w:cs="Times New Roman"/>
          <w:color w:val="auto"/>
          <w:lang w:val="en-US" w:eastAsia="zh-CN"/>
        </w:rPr>
        <w:t xml:space="preserve"> Medicine </w:t>
      </w:r>
      <w:r>
        <w:rPr>
          <w:rFonts w:hint="default" w:ascii="Times New Roman" w:hAnsi="Times New Roman" w:cs="Times New Roman" w:eastAsiaTheme="minorEastAsia"/>
          <w:color w:val="auto"/>
          <w:lang w:val="en-US" w:eastAsia="zh-CN"/>
        </w:rPr>
        <w:t xml:space="preserve">and Environmental Health, School of Public Health, Nanjing Medical University, Nanjing 211166, China. </w:t>
      </w:r>
      <w:r>
        <w:rPr>
          <w:rFonts w:hint="eastAsia" w:ascii="Times New Roman" w:hAnsi="Times New Roman" w:cs="Times New Roman"/>
          <w:b/>
          <w:bCs/>
          <w:color w:val="auto"/>
          <w:sz w:val="24"/>
          <w:highlight w:val="none"/>
          <w:lang w:val="en-US" w:eastAsia="zh-CN"/>
        </w:rPr>
        <w:t xml:space="preserve">  </w:t>
      </w:r>
    </w:p>
    <w:p w14:paraId="7EA714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00" w:afterLines="-2147483648" w:afterAutospacing="1" w:line="440" w:lineRule="exact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highlight w:val="none"/>
          <w:lang w:val="en-US" w:eastAsia="zh-CN"/>
        </w:rPr>
        <w:t xml:space="preserve">† 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lang w:val="en-US" w:eastAsia="zh-CN"/>
        </w:rPr>
        <w:t>contributing equally</w:t>
      </w:r>
      <w:bookmarkStart w:id="0" w:name="_GoBack"/>
      <w:bookmarkEnd w:id="0"/>
    </w:p>
    <w:p w14:paraId="19BFEF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00" w:afterLines="-2147483648" w:afterAutospacing="1" w:line="440" w:lineRule="exact"/>
        <w:textAlignment w:val="auto"/>
        <w:rPr>
          <w:rFonts w:hint="default" w:ascii="Times New Roman" w:hAnsi="Times New Roman" w:cs="Times New Roman"/>
          <w:b/>
          <w:bCs/>
          <w:color w:val="auto"/>
          <w:sz w:val="24"/>
          <w:highlight w:val="none"/>
          <w:lang w:val="en-US" w:eastAsia="zh-CN"/>
        </w:rPr>
      </w:pPr>
    </w:p>
    <w:p w14:paraId="217948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00" w:afterLines="-2147483648" w:afterAutospacing="1" w:line="440" w:lineRule="exact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highlight w:val="none"/>
          <w:lang w:val="en-US" w:eastAsia="zh-CN"/>
        </w:rPr>
        <w:t>* Corresponding Author: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lang w:val="en-US" w:eastAsia="zh-CN"/>
        </w:rPr>
        <w:t xml:space="preserve"> Xiaoming Ji, Department of Occupational Medicine and Environmental Health,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lang w:val="en-US" w:eastAsia="zh-CN"/>
        </w:rPr>
        <w:t>School of Public Health, Nanjing Medical University, 101 Longmian Avenue, Nanjing, 211166, China. Tel: 025-86868417, E-mail: xmji@njmu.edu.cn</w:t>
      </w:r>
    </w:p>
    <w:p w14:paraId="689C1134">
      <w:pPr>
        <w:rPr>
          <w:rFonts w:hint="eastAsia" w:eastAsiaTheme="minorEastAsia"/>
          <w:lang w:eastAsia="zh-CN"/>
        </w:rPr>
      </w:pPr>
    </w:p>
    <w:p w14:paraId="6C1DEFF0">
      <w:pPr>
        <w:rPr>
          <w:rFonts w:hint="eastAsia" w:eastAsiaTheme="minorEastAsia"/>
          <w:lang w:eastAsia="zh-CN"/>
        </w:rPr>
      </w:pPr>
    </w:p>
    <w:p w14:paraId="691D6FEB">
      <w:pPr>
        <w:rPr>
          <w:rFonts w:hint="eastAsia" w:eastAsiaTheme="minorEastAsia"/>
          <w:lang w:eastAsia="zh-CN"/>
        </w:rPr>
      </w:pPr>
    </w:p>
    <w:p w14:paraId="36C06F0B">
      <w:pPr>
        <w:rPr>
          <w:rFonts w:hint="eastAsia" w:eastAsiaTheme="minorEastAsia"/>
          <w:lang w:eastAsia="zh-CN"/>
        </w:rPr>
      </w:pPr>
    </w:p>
    <w:p w14:paraId="4AD1405D">
      <w:pPr>
        <w:rPr>
          <w:rFonts w:hint="eastAsia" w:eastAsiaTheme="minorEastAsia"/>
          <w:lang w:eastAsia="zh-CN"/>
        </w:rPr>
      </w:pPr>
    </w:p>
    <w:p w14:paraId="4AAEA171">
      <w:pPr>
        <w:rPr>
          <w:rFonts w:hint="eastAsia" w:eastAsiaTheme="minorEastAsia"/>
          <w:lang w:eastAsia="zh-CN"/>
        </w:rPr>
      </w:pPr>
    </w:p>
    <w:p w14:paraId="01FFCF6C">
      <w:pPr>
        <w:rPr>
          <w:rFonts w:hint="eastAsia" w:eastAsiaTheme="minorEastAsia"/>
          <w:lang w:eastAsia="zh-CN"/>
        </w:rPr>
      </w:pPr>
    </w:p>
    <w:p w14:paraId="6EEA209E">
      <w:pPr>
        <w:rPr>
          <w:rFonts w:hint="eastAsia" w:eastAsiaTheme="minorEastAsia"/>
          <w:lang w:eastAsia="zh-CN"/>
        </w:rPr>
      </w:pPr>
    </w:p>
    <w:p w14:paraId="6CD97683">
      <w:pPr>
        <w:rPr>
          <w:rFonts w:hint="eastAsia" w:eastAsiaTheme="minorEastAsia"/>
          <w:lang w:eastAsia="zh-CN"/>
        </w:rPr>
      </w:pPr>
    </w:p>
    <w:p w14:paraId="44C889EB">
      <w:pPr>
        <w:rPr>
          <w:rFonts w:hint="eastAsia" w:eastAsiaTheme="minorEastAsia"/>
          <w:lang w:eastAsia="zh-CN"/>
        </w:rPr>
      </w:pPr>
    </w:p>
    <w:p w14:paraId="207A4E72">
      <w:pPr>
        <w:rPr>
          <w:rFonts w:hint="eastAsia" w:eastAsiaTheme="minorEastAsia"/>
          <w:lang w:eastAsia="zh-CN"/>
        </w:rPr>
      </w:pPr>
    </w:p>
    <w:p w14:paraId="18B49674">
      <w:pPr>
        <w:rPr>
          <w:rFonts w:hint="eastAsia" w:eastAsiaTheme="minorEastAsia"/>
          <w:lang w:eastAsia="zh-CN"/>
        </w:rPr>
      </w:pPr>
    </w:p>
    <w:p w14:paraId="4D34E535">
      <w:pPr>
        <w:rPr>
          <w:rFonts w:hint="eastAsia" w:eastAsiaTheme="minorEastAsia"/>
          <w:lang w:eastAsia="zh-CN"/>
        </w:rPr>
      </w:pPr>
    </w:p>
    <w:p w14:paraId="7D22B486">
      <w:pPr>
        <w:rPr>
          <w:rFonts w:hint="eastAsia" w:eastAsiaTheme="minorEastAsia"/>
          <w:lang w:eastAsia="zh-CN"/>
        </w:rPr>
      </w:pPr>
    </w:p>
    <w:p w14:paraId="0DC21E7D">
      <w:pPr>
        <w:rPr>
          <w:rFonts w:hint="eastAsia" w:eastAsiaTheme="minorEastAsia"/>
          <w:lang w:eastAsia="zh-CN"/>
        </w:rPr>
      </w:pPr>
    </w:p>
    <w:p w14:paraId="2A839515">
      <w:pPr>
        <w:rPr>
          <w:rFonts w:hint="eastAsia" w:eastAsiaTheme="minorEastAsia"/>
          <w:lang w:eastAsia="zh-CN"/>
        </w:rPr>
      </w:pPr>
    </w:p>
    <w:p w14:paraId="5E558B2E">
      <w:pPr>
        <w:rPr>
          <w:rFonts w:hint="eastAsia" w:eastAsiaTheme="minorEastAsia"/>
          <w:lang w:eastAsia="zh-CN"/>
        </w:rPr>
      </w:pPr>
    </w:p>
    <w:p w14:paraId="622D7498">
      <w:pPr>
        <w:rPr>
          <w:rFonts w:hint="eastAsia" w:eastAsiaTheme="minorEastAsia"/>
          <w:lang w:eastAsia="zh-CN"/>
        </w:rPr>
      </w:pPr>
    </w:p>
    <w:p w14:paraId="6168274D">
      <w:pPr>
        <w:rPr>
          <w:rFonts w:hint="eastAsia" w:eastAsiaTheme="minorEastAsia"/>
          <w:lang w:eastAsia="zh-CN"/>
        </w:rPr>
      </w:pPr>
    </w:p>
    <w:p w14:paraId="6056B291">
      <w:pPr>
        <w:rPr>
          <w:rFonts w:hint="eastAsia" w:eastAsiaTheme="minorEastAsia"/>
          <w:lang w:eastAsia="zh-CN"/>
        </w:rPr>
      </w:pPr>
    </w:p>
    <w:p w14:paraId="00D51073">
      <w:pPr>
        <w:rPr>
          <w:rFonts w:hint="eastAsia" w:eastAsiaTheme="minorEastAsia"/>
          <w:lang w:eastAsia="zh-CN"/>
        </w:rPr>
      </w:pPr>
    </w:p>
    <w:p w14:paraId="0BFEC124">
      <w:pPr>
        <w:rPr>
          <w:rFonts w:hint="eastAsia" w:eastAsiaTheme="minorEastAsia"/>
          <w:lang w:eastAsia="zh-CN"/>
        </w:rPr>
      </w:pPr>
    </w:p>
    <w:p w14:paraId="32BF0D97">
      <w:pPr>
        <w:rPr>
          <w:rFonts w:hint="eastAsia" w:eastAsiaTheme="minorEastAsia"/>
          <w:lang w:eastAsia="zh-CN"/>
        </w:rPr>
      </w:pPr>
    </w:p>
    <w:p w14:paraId="46E24432">
      <w:pPr>
        <w:jc w:val="center"/>
        <w:rPr>
          <w:rFonts w:hint="eastAsia" w:eastAsiaTheme="minorEastAsia"/>
          <w:lang w:eastAsia="zh-CN"/>
        </w:rPr>
      </w:pPr>
    </w:p>
    <w:p w14:paraId="21854D85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255770" cy="3571875"/>
            <wp:effectExtent l="0" t="0" r="11430" b="9525"/>
            <wp:docPr id="1" name="图片 1" descr="Fig.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55770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1BF5E">
      <w:pPr>
        <w:jc w:val="both"/>
        <w:rPr>
          <w:rFonts w:hint="eastAsia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Fig. S1. Flowchart of the study population. Abbreviations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lang w:val="en-US" w:eastAsia="zh-CN"/>
        </w:rPr>
        <w:t xml:space="preserve">BPA: Bisphenol A, BPS: Bisphenol S, Mets: metabolic syndrome, SII: systemic immune-inflammation index, OBS: oxidative balance score. </w:t>
      </w:r>
    </w:p>
    <w:p w14:paraId="2F4C9355">
      <w:pPr>
        <w:jc w:val="both"/>
        <w:rPr>
          <w:rFonts w:hint="eastAsia" w:ascii="Times New Roman" w:hAnsi="Times New Roman" w:cs="Times New Roman"/>
          <w:lang w:val="en-US" w:eastAsia="zh-CN"/>
        </w:rPr>
      </w:pPr>
    </w:p>
    <w:p w14:paraId="09BCA2A5">
      <w:pPr>
        <w:jc w:val="both"/>
        <w:rPr>
          <w:rFonts w:hint="eastAsia" w:ascii="Times New Roman" w:hAnsi="Times New Roman" w:cs="Times New Roman"/>
          <w:lang w:val="en-US" w:eastAsia="zh-CN"/>
        </w:rPr>
      </w:pPr>
    </w:p>
    <w:p w14:paraId="64B5E58A">
      <w:pPr>
        <w:jc w:val="both"/>
        <w:rPr>
          <w:rFonts w:hint="eastAsia" w:ascii="Times New Roman" w:hAnsi="Times New Roman" w:cs="Times New Roman"/>
          <w:lang w:val="en-US" w:eastAsia="zh-CN"/>
        </w:rPr>
      </w:pPr>
    </w:p>
    <w:p w14:paraId="27121169">
      <w:pPr>
        <w:jc w:val="both"/>
        <w:rPr>
          <w:rFonts w:hint="eastAsia" w:ascii="Times New Roman" w:hAnsi="Times New Roman" w:cs="Times New Roman"/>
          <w:lang w:val="en-US" w:eastAsia="zh-CN"/>
        </w:rPr>
      </w:pPr>
    </w:p>
    <w:p w14:paraId="6A20D498">
      <w:pPr>
        <w:jc w:val="both"/>
        <w:rPr>
          <w:rFonts w:hint="eastAsia" w:ascii="Times New Roman" w:hAnsi="Times New Roman" w:cs="Times New Roman"/>
          <w:lang w:val="en-US" w:eastAsia="zh-CN"/>
        </w:rPr>
      </w:pPr>
    </w:p>
    <w:p w14:paraId="2C448AB4">
      <w:pPr>
        <w:jc w:val="both"/>
        <w:rPr>
          <w:rFonts w:hint="eastAsia" w:ascii="Times New Roman" w:hAnsi="Times New Roman" w:cs="Times New Roman"/>
          <w:lang w:val="en-US" w:eastAsia="zh-CN"/>
        </w:rPr>
      </w:pPr>
    </w:p>
    <w:p w14:paraId="50953A19">
      <w:pPr>
        <w:jc w:val="both"/>
        <w:rPr>
          <w:rFonts w:hint="eastAsia" w:ascii="Times New Roman" w:hAnsi="Times New Roman" w:cs="Times New Roman"/>
          <w:lang w:val="en-US" w:eastAsia="zh-CN"/>
        </w:rPr>
      </w:pPr>
    </w:p>
    <w:p w14:paraId="3D48111C">
      <w:pPr>
        <w:jc w:val="both"/>
        <w:rPr>
          <w:rFonts w:hint="eastAsia" w:ascii="Times New Roman" w:hAnsi="Times New Roman" w:cs="Times New Roman"/>
          <w:lang w:val="en-US" w:eastAsia="zh-CN"/>
        </w:rPr>
      </w:pPr>
    </w:p>
    <w:p w14:paraId="07DC8F57">
      <w:pPr>
        <w:jc w:val="both"/>
        <w:rPr>
          <w:rFonts w:hint="eastAsia" w:ascii="Times New Roman" w:hAnsi="Times New Roman" w:cs="Times New Roman"/>
          <w:lang w:val="en-US" w:eastAsia="zh-CN"/>
        </w:rPr>
      </w:pPr>
    </w:p>
    <w:p w14:paraId="1C3A7F2F">
      <w:pPr>
        <w:jc w:val="both"/>
        <w:rPr>
          <w:rFonts w:hint="eastAsia" w:ascii="Times New Roman" w:hAnsi="Times New Roman" w:cs="Times New Roman"/>
          <w:lang w:val="en-US" w:eastAsia="zh-CN"/>
        </w:rPr>
      </w:pPr>
    </w:p>
    <w:p w14:paraId="50FDDC2D">
      <w:pPr>
        <w:jc w:val="both"/>
        <w:rPr>
          <w:rFonts w:hint="eastAsia" w:ascii="Times New Roman" w:hAnsi="Times New Roman" w:cs="Times New Roman"/>
          <w:lang w:val="en-US" w:eastAsia="zh-CN"/>
        </w:rPr>
      </w:pPr>
    </w:p>
    <w:p w14:paraId="092D6EDF">
      <w:pPr>
        <w:jc w:val="both"/>
        <w:rPr>
          <w:rFonts w:hint="eastAsia" w:ascii="Times New Roman" w:hAnsi="Times New Roman" w:cs="Times New Roman"/>
          <w:lang w:val="en-US" w:eastAsia="zh-CN"/>
        </w:rPr>
      </w:pPr>
    </w:p>
    <w:p w14:paraId="131B3030">
      <w:pPr>
        <w:jc w:val="both"/>
        <w:rPr>
          <w:rFonts w:hint="eastAsia" w:ascii="Times New Roman" w:hAnsi="Times New Roman" w:cs="Times New Roman"/>
          <w:lang w:val="en-US" w:eastAsia="zh-CN"/>
        </w:rPr>
      </w:pPr>
    </w:p>
    <w:p w14:paraId="10B5514C">
      <w:pPr>
        <w:jc w:val="both"/>
        <w:rPr>
          <w:rFonts w:hint="eastAsia" w:ascii="Times New Roman" w:hAnsi="Times New Roman" w:cs="Times New Roman"/>
          <w:lang w:val="en-US" w:eastAsia="zh-CN"/>
        </w:rPr>
      </w:pPr>
    </w:p>
    <w:p w14:paraId="120C0549">
      <w:pPr>
        <w:jc w:val="both"/>
        <w:rPr>
          <w:rFonts w:hint="eastAsia" w:ascii="Times New Roman" w:hAnsi="Times New Roman" w:cs="Times New Roman"/>
          <w:lang w:val="en-US" w:eastAsia="zh-CN"/>
        </w:rPr>
      </w:pPr>
    </w:p>
    <w:p w14:paraId="16A979B1">
      <w:pPr>
        <w:jc w:val="both"/>
        <w:rPr>
          <w:rFonts w:hint="eastAsia" w:ascii="Times New Roman" w:hAnsi="Times New Roman" w:cs="Times New Roman"/>
          <w:lang w:val="en-US" w:eastAsia="zh-CN"/>
        </w:rPr>
      </w:pPr>
    </w:p>
    <w:p w14:paraId="067FB99D">
      <w:pPr>
        <w:jc w:val="both"/>
        <w:rPr>
          <w:rFonts w:hint="eastAsia" w:ascii="Times New Roman" w:hAnsi="Times New Roman" w:cs="Times New Roman"/>
          <w:lang w:val="en-US" w:eastAsia="zh-CN"/>
        </w:rPr>
      </w:pPr>
    </w:p>
    <w:p w14:paraId="76DBF46C">
      <w:pPr>
        <w:jc w:val="both"/>
        <w:rPr>
          <w:rFonts w:hint="eastAsia" w:ascii="Times New Roman" w:hAnsi="Times New Roman" w:cs="Times New Roman"/>
          <w:lang w:val="en-US" w:eastAsia="zh-CN"/>
        </w:rPr>
      </w:pPr>
    </w:p>
    <w:p w14:paraId="38264456">
      <w:pPr>
        <w:jc w:val="both"/>
        <w:rPr>
          <w:rFonts w:hint="eastAsia" w:ascii="Times New Roman" w:hAnsi="Times New Roman" w:cs="Times New Roman"/>
          <w:lang w:val="en-US" w:eastAsia="zh-CN"/>
        </w:rPr>
      </w:pPr>
    </w:p>
    <w:p w14:paraId="1540D486">
      <w:pPr>
        <w:jc w:val="both"/>
        <w:rPr>
          <w:rFonts w:hint="eastAsia" w:ascii="Times New Roman" w:hAnsi="Times New Roman" w:cs="Times New Roman"/>
          <w:lang w:val="en-US" w:eastAsia="zh-CN"/>
        </w:rPr>
      </w:pPr>
    </w:p>
    <w:p w14:paraId="004CD32C">
      <w:pPr>
        <w:jc w:val="both"/>
        <w:rPr>
          <w:rFonts w:hint="eastAsia" w:ascii="Times New Roman" w:hAnsi="Times New Roman" w:cs="Times New Roman"/>
          <w:lang w:val="en-US" w:eastAsia="zh-CN"/>
        </w:rPr>
      </w:pPr>
    </w:p>
    <w:p w14:paraId="26F79DAE">
      <w:pPr>
        <w:jc w:val="both"/>
        <w:rPr>
          <w:rFonts w:hint="eastAsia" w:ascii="Times New Roman" w:hAnsi="Times New Roman" w:cs="Times New Roman"/>
          <w:lang w:val="en-US" w:eastAsia="zh-CN"/>
        </w:rPr>
      </w:pPr>
    </w:p>
    <w:p w14:paraId="6828D974">
      <w:pPr>
        <w:jc w:val="both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Table 1. Baseline characteristics according to Mets, NHANES 2013 to 2015 (n = 1135).</w:t>
      </w:r>
    </w:p>
    <w:p w14:paraId="30403698">
      <w:pPr>
        <w:jc w:val="both"/>
        <w:rPr>
          <w:rFonts w:hint="eastAsia" w:ascii="Times New Roman" w:hAnsi="Times New Roman" w:cs="Times New Roman"/>
          <w:lang w:val="en-US" w:eastAsia="zh-CN"/>
        </w:rPr>
      </w:pPr>
    </w:p>
    <w:tbl>
      <w:tblPr>
        <w:tblStyle w:val="3"/>
        <w:tblW w:w="810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32"/>
        <w:gridCol w:w="1234"/>
        <w:gridCol w:w="1591"/>
        <w:gridCol w:w="2228"/>
        <w:gridCol w:w="1016"/>
      </w:tblGrid>
      <w:tr w14:paraId="4B383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C85CE20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</w:p>
        </w:tc>
        <w:tc>
          <w:tcPr>
            <w:tcW w:w="123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B51CA27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Non-Mets</w:t>
            </w:r>
          </w:p>
        </w:tc>
        <w:tc>
          <w:tcPr>
            <w:tcW w:w="159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486FDE9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Mets</w:t>
            </w:r>
          </w:p>
        </w:tc>
        <w:tc>
          <w:tcPr>
            <w:tcW w:w="222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6E98B98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Standardize diff.</w:t>
            </w:r>
          </w:p>
        </w:tc>
        <w:tc>
          <w:tcPr>
            <w:tcW w:w="101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260D541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 value</w:t>
            </w:r>
          </w:p>
        </w:tc>
      </w:tr>
      <w:tr w14:paraId="71B32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single" w:color="auto" w:sz="4" w:space="0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A8E39EB">
            <w:pPr>
              <w:pStyle w:val="2"/>
              <w:keepNext w:val="0"/>
              <w:keepLines w:val="0"/>
              <w:widowControl/>
              <w:suppressLineNumbers w:val="0"/>
              <w:rPr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234" w:type="dxa"/>
            <w:tcBorders>
              <w:top w:val="single" w:color="auto" w:sz="4" w:space="0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F3B0494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45.71 ± 17.34</w:t>
            </w:r>
          </w:p>
        </w:tc>
        <w:tc>
          <w:tcPr>
            <w:tcW w:w="1591" w:type="dxa"/>
            <w:tcBorders>
              <w:top w:val="single" w:color="auto" w:sz="4" w:space="0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497004A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53.22 ± 15.71</w:t>
            </w:r>
          </w:p>
        </w:tc>
        <w:tc>
          <w:tcPr>
            <w:tcW w:w="2228" w:type="dxa"/>
            <w:tcBorders>
              <w:top w:val="single" w:color="auto" w:sz="4" w:space="0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F1E1765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0.454 (0.453, 0.454)</w:t>
            </w:r>
          </w:p>
        </w:tc>
        <w:tc>
          <w:tcPr>
            <w:tcW w:w="1016" w:type="dxa"/>
            <w:tcBorders>
              <w:top w:val="single" w:color="auto" w:sz="4" w:space="0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45EEECE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&lt;0.00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</w:tr>
      <w:tr w14:paraId="66F39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23B5715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Log BPA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34E21F8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0.36 ± 0.98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88644E5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0.40 ± 0.96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7C52071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0.051 (0.051, 0.052)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DF13077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0.40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</w:tr>
      <w:tr w14:paraId="025C1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961BD22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Log BPS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80F230F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-0.32 ± 1.05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C8214D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-0.22 ± 1.06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06047AA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0.097 (0.096, 0.097)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C5DFB0B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</w:tr>
      <w:tr w14:paraId="447FF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D5E2147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Log SII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E6CA50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6.04 ± 0.52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15F4AEB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6.16 ± 0.50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F4DBF2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0.225 (0.224, 0.225)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8D211BF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&lt;0.00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</w:tr>
      <w:tr w14:paraId="0758E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94D74BB">
            <w:pPr>
              <w:pStyle w:val="2"/>
              <w:keepNext w:val="0"/>
              <w:keepLines w:val="0"/>
              <w:widowControl/>
              <w:suppressLineNumbers w:val="0"/>
              <w:rPr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OBS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EF9E475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19.09 ± 9.05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EC2A153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17.67 ± 7.95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4252EA2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0.167 (0.166, 0.167)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C00763A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14:paraId="2C753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4DFF923">
            <w:pPr>
              <w:pStyle w:val="2"/>
              <w:keepNext w:val="0"/>
              <w:keepLines w:val="0"/>
              <w:widowControl/>
              <w:suppressLineNumbers w:val="0"/>
              <w:rPr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BMI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3B05F63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27.06 ± 5.75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41064D4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34.07 ± 6.97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E2BA8B2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1.098 (1.097, 1.098)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93D5BB5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14:paraId="31A51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FB62F57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BFP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36D4665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32.00 ± 9.32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445EC96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40.76 ± 8.40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35B74B6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0.987 (0.986, 0.987)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1F362B8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14:paraId="79D06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D57D37A">
            <w:pPr>
              <w:pStyle w:val="2"/>
              <w:keepNext w:val="0"/>
              <w:keepLines w:val="0"/>
              <w:widowControl/>
              <w:suppressLineNumbers w:val="0"/>
              <w:rPr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LAP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5CE8CC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32.02 ± 22.85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A7016D5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95.47 ± 65.92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B61C17A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1.286 (1.286, 1.287)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9B5BDDB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14:paraId="2F721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18D0209">
            <w:pPr>
              <w:pStyle w:val="2"/>
              <w:keepNext w:val="0"/>
              <w:keepLines w:val="0"/>
              <w:widowControl/>
              <w:suppressLineNumbers w:val="0"/>
              <w:rPr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VAI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5AE962F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1.14 ± 0.85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3C79AAF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3.11 ± 2.79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E0A1580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0.955 (0.955, 0.956)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8E8BD07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14:paraId="386CB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5A1C437">
            <w:pPr>
              <w:pStyle w:val="2"/>
              <w:keepNext w:val="0"/>
              <w:keepLines w:val="0"/>
              <w:widowControl/>
              <w:suppressLineNumbers w:val="0"/>
              <w:rPr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TG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C9C5DE1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95.77 ± 57.90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9D1AC06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182.69 ± 121.73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1E1DC31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0.912 (0.911, 0.912)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5EEFFF8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14:paraId="0FD09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B581E78">
            <w:pPr>
              <w:pStyle w:val="2"/>
              <w:keepNext w:val="0"/>
              <w:keepLines w:val="0"/>
              <w:widowControl/>
              <w:suppressLineNumbers w:val="0"/>
              <w:rPr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HDL-C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431F442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60.13 ± 17.66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8877A56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44.79 ± 12.45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D09DAC8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1.004 (1.004, 1.005)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66385E2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14:paraId="78E12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3060327"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eastAsiaTheme="minorEastAsia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GL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u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557DED3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5.49 ± 1.01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13434DE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7.00 ± 2.54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A4E9F4E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0.783 (0.782, 0.783)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42A557A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14:paraId="7A0B5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69F283D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Gender 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8F647CF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788FB1D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1F16872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DF8A460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0.980</w:t>
            </w:r>
          </w:p>
        </w:tc>
      </w:tr>
      <w:tr w14:paraId="2C5DC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565539E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ale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9D6E170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53.45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FE1A3C2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53.53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2EBF713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0.002 (0.001, 0.002)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552649B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</w:tr>
      <w:tr w14:paraId="0C6E2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EBC6C75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emale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4F0408A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46.55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F554C82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46.47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AA68162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0.002 (0.001, 0.002)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BFC2A7E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</w:tr>
      <w:tr w14:paraId="09ADC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5850CD9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R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ace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3DC9C37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49ADB4A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E44C6F1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D6BD25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0.229</w:t>
            </w:r>
          </w:p>
        </w:tc>
      </w:tr>
      <w:tr w14:paraId="6B575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277E76A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Mexican American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9A1CD9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7.78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A264AE0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9.13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AC4F35D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0.048 (0.048, 0.049)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E0F8121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</w:tr>
      <w:tr w14:paraId="5E05B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BC85BE7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Non-Hispanic 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White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92A10BF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63.31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F1ADA27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66.65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6964F71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0.070 (0.070, 0.071)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CF5A578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</w:tr>
      <w:tr w14:paraId="58495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D596B6D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Non-Hispanic 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Black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E1351F3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13.14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ADB63E2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9.49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A28201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0.115 (0.115, 0.116)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9DC2FCF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</w:tr>
      <w:tr w14:paraId="15643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9B3C7EE"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Others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0F9A927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15.77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6F68B33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14.72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7F0C3A0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0.029 (0.029, 0.030)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47C1E84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</w:tr>
      <w:tr w14:paraId="7F1EE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83ABF96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Education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A1035DF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BAE85D5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FA5D4FD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96AB144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0.28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6</w:t>
            </w:r>
          </w:p>
        </w:tc>
      </w:tr>
      <w:tr w14:paraId="02EA92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D18CB4F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College graduate 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4F6F8F0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63.85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14A22DB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59.17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08011CE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0.096 (0.096, 0.097)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4A5CF6D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</w:tr>
      <w:tr w14:paraId="45DA6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F24961A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High school 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C12A022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21.07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1926DE4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23.91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4A555DE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0.068 (0.068, 0.068)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558014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</w:tr>
      <w:tr w14:paraId="64891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817A9CA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Less than 9th grade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A605E0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15.08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1180940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16.92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A7609AE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0.050 (0.050, 0.051)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33AD0A9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</w:tr>
      <w:tr w14:paraId="5B6F5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7965ACA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Hypertension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44E7F1D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DA3125D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E0430C6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438AC75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14:paraId="2B33F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9CB73E5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009B781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71.52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873274A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39.68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5BB8F4D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0.677 (0.676, 0.677)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084DB80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</w:tr>
      <w:tr w14:paraId="4DFC5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69D08C2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Y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es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F4D35D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28.48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F892762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60.32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65C2DDA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0.677 (0.676, 0.677)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11AA4B8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</w:tr>
      <w:tr w14:paraId="2BE272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B665234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Hyperlipidemia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F5633A1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1D517FA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605D260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A2607F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14:paraId="0D4FA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2392181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546264A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44.05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F6E9E37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8.23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6B06541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0.893 (0.892, 0.893)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FF3EAB2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</w:tr>
      <w:tr w14:paraId="773DC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single" w:color="auto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D71555B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Y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es</w:t>
            </w:r>
          </w:p>
        </w:tc>
        <w:tc>
          <w:tcPr>
            <w:tcW w:w="1234" w:type="dxa"/>
            <w:tcBorders>
              <w:top w:val="nil"/>
              <w:bottom w:val="single" w:color="auto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C3B3659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55.95</w:t>
            </w:r>
          </w:p>
        </w:tc>
        <w:tc>
          <w:tcPr>
            <w:tcW w:w="1591" w:type="dxa"/>
            <w:tcBorders>
              <w:top w:val="nil"/>
              <w:bottom w:val="single" w:color="auto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13EA446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91.77</w:t>
            </w:r>
          </w:p>
        </w:tc>
        <w:tc>
          <w:tcPr>
            <w:tcW w:w="2228" w:type="dxa"/>
            <w:tcBorders>
              <w:top w:val="nil"/>
              <w:bottom w:val="single" w:color="auto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7EA0ADF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0.893 (0.892, 0.893)</w:t>
            </w:r>
          </w:p>
        </w:tc>
        <w:tc>
          <w:tcPr>
            <w:tcW w:w="1016" w:type="dxa"/>
            <w:tcBorders>
              <w:top w:val="nil"/>
              <w:bottom w:val="single" w:color="auto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460B562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</w:tr>
      <w:tr w14:paraId="4A75D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single" w:color="auto" w:sz="4" w:space="0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23C2C8D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016F0216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Obese</w:t>
            </w:r>
          </w:p>
        </w:tc>
        <w:tc>
          <w:tcPr>
            <w:tcW w:w="1234" w:type="dxa"/>
            <w:tcBorders>
              <w:top w:val="single" w:color="auto" w:sz="4" w:space="0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1B204F3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91" w:type="dxa"/>
            <w:tcBorders>
              <w:top w:val="single" w:color="auto" w:sz="4" w:space="0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99C5BBE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  <w:p w14:paraId="24F5A2E0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tcBorders>
              <w:top w:val="single" w:color="auto" w:sz="4" w:space="0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72DC6BB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color="auto" w:sz="4" w:space="0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848A417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78563A30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14:paraId="58FD6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09F5345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F8ADE95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76.01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06BA8EF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26.76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D68D209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1.132 (1.132, 1.133)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051897F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</w:tr>
      <w:tr w14:paraId="1936D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88A6B98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Y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es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55DABEA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23.99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AD3F4AE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73.24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1D91D23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1.132 (1.132, 1.133)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DB2EADB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</w:tr>
      <w:tr w14:paraId="0EAC4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F67012C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Smoke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7E24F4F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72DD3C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9EA5700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1D3AEC6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0.434</w:t>
            </w:r>
          </w:p>
        </w:tc>
      </w:tr>
      <w:tr w14:paraId="2C06C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C7728BC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ever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40A88BB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56.38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C41D292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53.94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C9DF5F5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0.049 (0.049, 0.050)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8D8346D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</w:tr>
      <w:tr w14:paraId="5D453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AB62C1B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ormer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C43DCC5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24.51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91E3416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27.95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B3485E6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0.078 (0.078, 0.079)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E767172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</w:tr>
      <w:tr w14:paraId="35A93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F1EB585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ow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BA0795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19.11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5DB2A04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18.11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58B3BCA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0.026 (0.025, 0.026)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C12D390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</w:tr>
      <w:tr w14:paraId="517B3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8D31CB2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Alcohol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A7BB948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441C549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79B0150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8901B95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&lt;0.00</w:t>
            </w:r>
          </w:p>
        </w:tc>
      </w:tr>
      <w:tr w14:paraId="415EE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027C2E2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ever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2732DFB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10.85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242EBC5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11.91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9EA3232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0.034 (0.033, 0.034)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C6C8D95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</w:tr>
      <w:tr w14:paraId="51BF7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8A22D75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ormer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BF8BA93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11.88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AF5C479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20.51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4149847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0.236 (0.235, 0.236)</w:t>
            </w:r>
          </w:p>
        </w:tc>
        <w:tc>
          <w:tcPr>
            <w:tcW w:w="1016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5EE865D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</w:tr>
      <w:tr w14:paraId="380DF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032" w:type="dxa"/>
            <w:tcBorders>
              <w:top w:val="nil"/>
              <w:bottom w:val="single" w:color="auto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91DE0CD">
            <w:pPr>
              <w:pStyle w:val="2"/>
              <w:keepNext w:val="0"/>
              <w:keepLines w:val="0"/>
              <w:widowControl/>
              <w:suppressLineNumbers w:val="0"/>
              <w:rPr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ow</w:t>
            </w:r>
          </w:p>
        </w:tc>
        <w:tc>
          <w:tcPr>
            <w:tcW w:w="1234" w:type="dxa"/>
            <w:tcBorders>
              <w:top w:val="nil"/>
              <w:bottom w:val="single" w:color="auto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36CEB2D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77.27</w:t>
            </w:r>
          </w:p>
        </w:tc>
        <w:tc>
          <w:tcPr>
            <w:tcW w:w="1591" w:type="dxa"/>
            <w:tcBorders>
              <w:top w:val="nil"/>
              <w:bottom w:val="single" w:color="auto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0BA6BB9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67.58</w:t>
            </w:r>
          </w:p>
        </w:tc>
        <w:tc>
          <w:tcPr>
            <w:tcW w:w="2228" w:type="dxa"/>
            <w:tcBorders>
              <w:top w:val="nil"/>
              <w:bottom w:val="single" w:color="auto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B976EFE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0.218 (0.218, 0.219)</w:t>
            </w:r>
          </w:p>
        </w:tc>
        <w:tc>
          <w:tcPr>
            <w:tcW w:w="1016" w:type="dxa"/>
            <w:tcBorders>
              <w:top w:val="nil"/>
              <w:bottom w:val="single" w:color="auto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D4C4E44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</w:tr>
    </w:tbl>
    <w:p w14:paraId="2311FE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BPA: Bisphenol A, BPS: Bisphenol S, Mets: metabolic syndrome, SII: systemic immune-inflammation index, OBS: oxidative balance score. HDL-C: Cholesterol - HDL, TG: triglyceride, GLu: fasting glucose, BMI: body mass index, BFP: body fat percentage, LAP: lipid accumulation product, and VAI: visceral adiposity index. </w:t>
      </w:r>
    </w:p>
    <w:p w14:paraId="2674D95F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3196E091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7D0F3B9A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67B32BA6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1BAA7AB5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4A3BAF69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27C44B70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13B69FB8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2D2B1CE1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3CB8CF1F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4BA687EA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586A3923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50B038D1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400EBB29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32947355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249378DD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20670BD3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5A873BE7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2BC1D09E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69A61F10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22B286F6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15FCDD88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676EE9DA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47868307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p w14:paraId="243D3B9F">
      <w:pPr>
        <w:jc w:val="center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lang w:val="en-US" w:eastAsia="zh-CN"/>
        </w:rPr>
        <w:drawing>
          <wp:inline distT="0" distB="0" distL="114300" distR="114300">
            <wp:extent cx="3705225" cy="3916680"/>
            <wp:effectExtent l="0" t="0" r="9525" b="7620"/>
            <wp:docPr id="2" name="图片 2" descr="BPS与Mets的分层分析 [已恢复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PS与Mets的分层分析 [已恢复]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391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C635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Times New Roman" w:hAnsi="Times New Roman" w:cs="Times New Roman"/>
          <w:highlight w:val="none"/>
          <w:lang w:val="en-US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Fig. S2. Forest plot of stratified analyses of the interaction of obesity-related biomarkers with BPS exposure.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 xml:space="preserve">Each strata were adjusted for </w:t>
      </w:r>
      <w:r>
        <w:rPr>
          <w:rFonts w:hint="eastAsia" w:ascii="Times New Roman" w:hAnsi="Times New Roman" w:cs="Times New Roman"/>
          <w:highlight w:val="none"/>
        </w:rPr>
        <w:t xml:space="preserve">age, sex, race, education; </w:t>
      </w:r>
      <w:r>
        <w:rPr>
          <w:rFonts w:hint="eastAsia" w:ascii="Times New Roman" w:hAnsi="Times New Roman" w:cs="Times New Roman"/>
          <w:lang w:val="en-US" w:eastAsia="zh-CN"/>
        </w:rPr>
        <w:t>BMI: body mass index, BFP: body fat percentage, LAP: lipid accumulation product, VAI: visceral adiposity index, TG: triglyceride, HDL-C: Cholesterol - HDL, GLu: fasting glucose.</w:t>
      </w:r>
    </w:p>
    <w:p w14:paraId="67606E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6" w:afterLines="-2147483648" w:line="440" w:lineRule="exact"/>
        <w:textAlignment w:val="auto"/>
        <w:rPr>
          <w:rFonts w:hint="eastAsia" w:ascii="Times New Roman" w:hAnsi="Times New Roman" w:cs="Times New Roman" w:eastAsiaTheme="minorEastAsia"/>
          <w:highlight w:val="none"/>
          <w:lang w:val="en-US" w:eastAsia="zh-CN"/>
        </w:rPr>
      </w:pPr>
    </w:p>
    <w:p w14:paraId="0EEA1C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6" w:afterLines="-2147483648" w:line="440" w:lineRule="exact"/>
        <w:textAlignment w:val="auto"/>
        <w:rPr>
          <w:rFonts w:hint="eastAsia" w:ascii="Times New Roman" w:hAnsi="Times New Roman" w:cs="Times New Roman" w:eastAsiaTheme="minorEastAsia"/>
          <w:highlight w:val="none"/>
          <w:lang w:val="en-US" w:eastAsia="zh-CN"/>
        </w:rPr>
      </w:pPr>
    </w:p>
    <w:p w14:paraId="42A73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6" w:afterLines="-2147483648" w:line="440" w:lineRule="exact"/>
        <w:textAlignment w:val="auto"/>
        <w:rPr>
          <w:rFonts w:hint="eastAsia" w:ascii="Times New Roman" w:hAnsi="Times New Roman" w:cs="Times New Roman" w:eastAsiaTheme="minorEastAsia"/>
          <w:highlight w:val="none"/>
          <w:lang w:val="en-US" w:eastAsia="zh-CN"/>
        </w:rPr>
      </w:pPr>
    </w:p>
    <w:p w14:paraId="6BD682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6" w:afterLines="-2147483648" w:line="440" w:lineRule="exact"/>
        <w:textAlignment w:val="auto"/>
        <w:rPr>
          <w:rFonts w:hint="eastAsia" w:ascii="Times New Roman" w:hAnsi="Times New Roman" w:cs="Times New Roman" w:eastAsiaTheme="minorEastAsia"/>
          <w:highlight w:val="none"/>
          <w:lang w:val="en-US" w:eastAsia="zh-CN"/>
        </w:rPr>
      </w:pPr>
    </w:p>
    <w:p w14:paraId="514384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6" w:afterLines="-2147483648" w:line="440" w:lineRule="exact"/>
        <w:textAlignment w:val="auto"/>
        <w:rPr>
          <w:rFonts w:hint="eastAsia" w:ascii="Times New Roman" w:hAnsi="Times New Roman" w:cs="Times New Roman" w:eastAsiaTheme="minorEastAsia"/>
          <w:highlight w:val="none"/>
          <w:lang w:val="en-US" w:eastAsia="zh-CN"/>
        </w:rPr>
      </w:pPr>
    </w:p>
    <w:p w14:paraId="2BA1EB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6" w:afterLines="-2147483648" w:line="440" w:lineRule="exact"/>
        <w:textAlignment w:val="auto"/>
        <w:rPr>
          <w:rFonts w:hint="eastAsia" w:ascii="Times New Roman" w:hAnsi="Times New Roman" w:cs="Times New Roman" w:eastAsiaTheme="minorEastAsia"/>
          <w:highlight w:val="none"/>
          <w:lang w:val="en-US" w:eastAsia="zh-CN"/>
        </w:rPr>
      </w:pPr>
    </w:p>
    <w:p w14:paraId="211EF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6" w:afterLines="-2147483648" w:line="440" w:lineRule="exact"/>
        <w:textAlignment w:val="auto"/>
        <w:rPr>
          <w:rFonts w:hint="eastAsia" w:ascii="Times New Roman" w:hAnsi="Times New Roman" w:cs="Times New Roman" w:eastAsiaTheme="minorEastAsia"/>
          <w:highlight w:val="none"/>
          <w:lang w:val="en-US" w:eastAsia="zh-CN"/>
        </w:rPr>
      </w:pPr>
    </w:p>
    <w:p w14:paraId="72935B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6" w:afterLines="-2147483648" w:line="440" w:lineRule="exact"/>
        <w:textAlignment w:val="auto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A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ssociation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s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 xml:space="preserve"> between the combined BPS exposure with 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SII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 xml:space="preserve"> and risk of Mets.</w:t>
      </w:r>
    </w:p>
    <w:tbl>
      <w:tblPr>
        <w:tblStyle w:val="3"/>
        <w:tblW w:w="87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013"/>
        <w:gridCol w:w="1376"/>
        <w:gridCol w:w="825"/>
        <w:gridCol w:w="240"/>
        <w:gridCol w:w="971"/>
        <w:gridCol w:w="1288"/>
        <w:gridCol w:w="812"/>
        <w:gridCol w:w="913"/>
      </w:tblGrid>
      <w:tr w14:paraId="7F166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1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1717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2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6BB0A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Low</w:t>
            </w:r>
          </w:p>
        </w:tc>
        <w:tc>
          <w:tcPr>
            <w:tcW w:w="24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FD52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07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73B5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High</w:t>
            </w:r>
          </w:p>
        </w:tc>
        <w:tc>
          <w:tcPr>
            <w:tcW w:w="913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75EA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for</w:t>
            </w:r>
          </w:p>
          <w:p w14:paraId="51B89B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interaction</w:t>
            </w:r>
          </w:p>
        </w:tc>
      </w:tr>
      <w:tr w14:paraId="31C4D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31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07B92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Variables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7D3A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N(%)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B19B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OR (95%CI)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591C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-value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B0E00A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A615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N(%)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59EC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OR (95%CI)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C2FD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-value</w:t>
            </w:r>
          </w:p>
        </w:tc>
        <w:tc>
          <w:tcPr>
            <w:tcW w:w="913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518B0D2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BDC8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B04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BPS Log quartile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9F22A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4F7F5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51C5C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7A159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D9282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8F6C5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D231F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9F9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101</w:t>
            </w:r>
          </w:p>
        </w:tc>
      </w:tr>
      <w:tr w14:paraId="04996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E4E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605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130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33.88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380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7B2C9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A4C6A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A4D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152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36.06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F8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5924F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67A8C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7F8B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106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4A6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30.44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AE2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0.89 (0.42, 1.87)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42B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0.752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914CF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562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117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45.27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B4D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1.70 (0.86, 3.36) 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DD3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0.1243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AB797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450D18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E7F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124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44.60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54D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1.57 (0.79, 3.12)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979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0.195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A54FD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889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169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42.02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456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1.43 (0.76, 2.69) 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6CE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0.2704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339EF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CDE8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1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37D46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Q4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AE119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31.49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0413E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0.82 (0.42, 1.63) 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1043B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5C03FE2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28289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130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46.96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25DC8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1.99 (1.02, 3.86) 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D66DB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0.0427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E94EE2B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</w:tbl>
    <w:p w14:paraId="6B2F6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100" w:afterLines="-2147483648" w:afterAutospacing="1" w:line="440" w:lineRule="exact"/>
        <w:textAlignment w:val="auto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Adjusted for age, gender, education, race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 xml:space="preserve">, </w:t>
      </w:r>
      <w:r>
        <w:rPr>
          <w:rFonts w:ascii="Times New Roman" w:hAnsi="Times New Roman" w:eastAsiaTheme="minorEastAsia"/>
          <w:color w:val="auto"/>
          <w:kern w:val="24"/>
          <w:sz w:val="21"/>
          <w:szCs w:val="21"/>
        </w:rPr>
        <w:t>BMI, alcohol and smoke.</w:t>
      </w:r>
    </w:p>
    <w:p w14:paraId="3CAE27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6" w:afterLines="-2147483648" w:line="440" w:lineRule="exact"/>
        <w:textAlignment w:val="auto"/>
        <w:rPr>
          <w:rFonts w:hint="eastAsia" w:ascii="Times New Roman" w:hAnsi="Times New Roman" w:cs="Times New Roman" w:eastAsiaTheme="minorEastAsia"/>
          <w:highlight w:val="none"/>
          <w:lang w:val="en-US" w:eastAsia="zh-CN"/>
        </w:rPr>
      </w:pPr>
    </w:p>
    <w:p w14:paraId="672F832C"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Uni">
    <w:altName w:val="Arial Unicode MS"/>
    <w:panose1 w:val="00000000000000000000"/>
    <w:charset w:val="86"/>
    <w:family w:val="roman"/>
    <w:pitch w:val="default"/>
    <w:sig w:usb0="00000000" w:usb1="00000000" w:usb2="0000003E" w:usb3="00000000" w:csb0="001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5CE6B7"/>
    <w:multiLevelType w:val="singleLevel"/>
    <w:tmpl w:val="FD5CE6B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hYTk5YjkxZTllNDUyMjk5ZDM3ZjVlY2M0Zjc0NDIifQ=="/>
  </w:docVars>
  <w:rsids>
    <w:rsidRoot w:val="198226FB"/>
    <w:rsid w:val="073017BC"/>
    <w:rsid w:val="0A51055F"/>
    <w:rsid w:val="163665F8"/>
    <w:rsid w:val="166811C8"/>
    <w:rsid w:val="198226FB"/>
    <w:rsid w:val="1FFC047B"/>
    <w:rsid w:val="21AB5A90"/>
    <w:rsid w:val="21DC57D6"/>
    <w:rsid w:val="33EF3198"/>
    <w:rsid w:val="3AFF4360"/>
    <w:rsid w:val="548F2F67"/>
    <w:rsid w:val="566952FF"/>
    <w:rsid w:val="624F6BEC"/>
    <w:rsid w:val="6D283F36"/>
    <w:rsid w:val="6EA77E3A"/>
    <w:rsid w:val="70BB05FF"/>
    <w:rsid w:val="73F47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tiff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583</Words>
  <Characters>3201</Characters>
  <Lines>0</Lines>
  <Paragraphs>0</Paragraphs>
  <TotalTime>0</TotalTime>
  <ScaleCrop>false</ScaleCrop>
  <LinksUpToDate>false</LinksUpToDate>
  <CharactersWithSpaces>3593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2024-06-21T00:29:00Z</dcterms:created>
  <dc:creator>lixt</dc:creator>
  <cp:lastModifiedBy>xiaoming</cp:lastModifiedBy>
  <dcterms:modified xsi:type="dcterms:W3CDTF">2024-10-25T06:15:38Z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3B137BEC03DE46C882A1B5E9827F7BD0_13</vt:lpwstr>
  </property>
</Properties>
</file>