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6BA" w:rsidRPr="00A71829" w:rsidRDefault="00DF46BA" w:rsidP="00A71829">
      <w:r w:rsidRPr="00A71829">
        <w:rPr>
          <w:sz w:val="28"/>
        </w:rPr>
        <w:t>Supplementary</w:t>
      </w:r>
      <w:r w:rsidR="00303082" w:rsidRPr="00A71829">
        <w:rPr>
          <w:rFonts w:hint="eastAsia"/>
          <w:sz w:val="28"/>
        </w:rPr>
        <w:t xml:space="preserve"> </w:t>
      </w:r>
      <w:r w:rsidR="00303082" w:rsidRPr="00A71829">
        <w:rPr>
          <w:sz w:val="28"/>
        </w:rPr>
        <w:t>figures</w:t>
      </w:r>
      <w:r w:rsidR="00A71829">
        <w:rPr>
          <w:rFonts w:hint="eastAsia"/>
          <w:sz w:val="28"/>
        </w:rPr>
        <w:t xml:space="preserve">: </w:t>
      </w:r>
      <w:r w:rsidR="00A71829">
        <w:rPr>
          <w:sz w:val="28"/>
        </w:rPr>
        <w:t>Incidence of thrombocy</w:t>
      </w:r>
      <w:r w:rsidR="0014568E">
        <w:rPr>
          <w:sz w:val="28"/>
        </w:rPr>
        <w:t>topenia stratified by renal function or duration of linezolid</w:t>
      </w:r>
    </w:p>
    <w:p w:rsidR="00DF46BA" w:rsidRDefault="00DF46BA">
      <w:pPr>
        <w:widowControl/>
      </w:pPr>
    </w:p>
    <w:p w:rsidR="00A71829" w:rsidRDefault="00303082">
      <w:r w:rsidRPr="00DF46BA">
        <w:t>Supplement</w:t>
      </w:r>
      <w:r>
        <w:t xml:space="preserve"> figure S1</w:t>
      </w:r>
    </w:p>
    <w:p w:rsidR="0055046E" w:rsidRDefault="008E6275" w:rsidP="00E60443">
      <w:pPr>
        <w:jc w:val="center"/>
      </w:pPr>
      <w:r>
        <w:rPr>
          <w:noProof/>
        </w:rPr>
        <w:drawing>
          <wp:inline distT="0" distB="0" distL="0" distR="0">
            <wp:extent cx="6120000" cy="3442408"/>
            <wp:effectExtent l="19050" t="19050" r="14605" b="2476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 1S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44240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03082" w:rsidRDefault="00303082" w:rsidP="00303082">
      <w:r>
        <w:rPr>
          <w:rFonts w:hint="eastAsia"/>
        </w:rPr>
        <w:t>F</w:t>
      </w:r>
      <w:r>
        <w:t>igure S1.</w:t>
      </w:r>
    </w:p>
    <w:p w:rsidR="00303082" w:rsidRDefault="00303082" w:rsidP="00303082">
      <w:pPr>
        <w:jc w:val="both"/>
      </w:pPr>
      <w:r>
        <w:t xml:space="preserve">Enrolled </w:t>
      </w:r>
      <w:r w:rsidRPr="003E70B9">
        <w:t xml:space="preserve">patients were classified into four groups according to </w:t>
      </w:r>
      <w:r>
        <w:t>renal function, including</w:t>
      </w:r>
      <w:r w:rsidRPr="003E70B9">
        <w:t xml:space="preserve"> </w:t>
      </w:r>
      <w:r w:rsidR="00DF6CCE">
        <w:t>creatinine clearance (</w:t>
      </w:r>
      <w:r w:rsidRPr="003E70B9">
        <w:t>CrCL</w:t>
      </w:r>
      <w:r w:rsidR="00DF6CCE">
        <w:t>)</w:t>
      </w:r>
      <w:r w:rsidRPr="007052CF">
        <w:t>≥</w:t>
      </w:r>
      <w:r>
        <w:t xml:space="preserve"> </w:t>
      </w:r>
      <w:r w:rsidRPr="003E70B9">
        <w:t>60</w:t>
      </w:r>
      <w:r>
        <w:t>, 60&gt; CrCL</w:t>
      </w:r>
      <w:r w:rsidRPr="007052CF">
        <w:t>≥</w:t>
      </w:r>
      <w:r>
        <w:t xml:space="preserve"> 3</w:t>
      </w:r>
      <w:r w:rsidRPr="003E70B9">
        <w:t>0</w:t>
      </w:r>
      <w:r>
        <w:rPr>
          <w:rFonts w:hint="eastAsia"/>
        </w:rPr>
        <w:t>,</w:t>
      </w:r>
      <w:r>
        <w:t xml:space="preserve"> CrCL&lt; 30 </w:t>
      </w:r>
      <w:r w:rsidRPr="003E70B9">
        <w:t>mL/min</w:t>
      </w:r>
      <w:r>
        <w:t xml:space="preserve">, and </w:t>
      </w:r>
      <w:r w:rsidRPr="003E70B9">
        <w:t>renal replacement therapy (RRT)</w:t>
      </w:r>
      <w:r>
        <w:t xml:space="preserve">. Patients received </w:t>
      </w:r>
      <w:r w:rsidR="00DF6CCE">
        <w:rPr>
          <w:rFonts w:hint="eastAsia"/>
        </w:rPr>
        <w:t>RRT</w:t>
      </w:r>
      <w:r>
        <w:t xml:space="preserve"> were with higher</w:t>
      </w:r>
      <w:r w:rsidRPr="003E70B9">
        <w:t xml:space="preserve"> </w:t>
      </w:r>
      <w:r w:rsidR="001A2DC0">
        <w:t xml:space="preserve">risk </w:t>
      </w:r>
      <w:r w:rsidRPr="003E70B9">
        <w:t>to develop thrombocytopenia</w:t>
      </w:r>
      <w:r>
        <w:t xml:space="preserve"> </w:t>
      </w:r>
      <w:r w:rsidRPr="003E70B9">
        <w:t xml:space="preserve">(with vs without RRT: 79.2% vs 44.6%, </w:t>
      </w:r>
      <w:r w:rsidR="000B6F53" w:rsidRPr="000B6F53">
        <w:rPr>
          <w:i/>
        </w:rPr>
        <w:t>P</w:t>
      </w:r>
      <w:r w:rsidRPr="003E70B9">
        <w:t>=0.0032).</w:t>
      </w:r>
      <w:r>
        <w:rPr>
          <w:rFonts w:hint="eastAsia"/>
        </w:rPr>
        <w:t xml:space="preserve"> </w:t>
      </w:r>
      <w:r w:rsidRPr="003E70B9">
        <w:t>But, there was no significant difference between CrCL</w:t>
      </w:r>
      <w:r w:rsidRPr="007052CF">
        <w:t>≥</w:t>
      </w:r>
      <w:r>
        <w:t xml:space="preserve"> </w:t>
      </w:r>
      <w:r w:rsidRPr="003E70B9">
        <w:t>60</w:t>
      </w:r>
      <w:r>
        <w:t>, 60 &gt;CrCL</w:t>
      </w:r>
      <w:r w:rsidRPr="007052CF">
        <w:t>≥</w:t>
      </w:r>
      <w:r>
        <w:t xml:space="preserve"> 3</w:t>
      </w:r>
      <w:r w:rsidRPr="003E70B9">
        <w:t>0</w:t>
      </w:r>
      <w:r>
        <w:rPr>
          <w:rFonts w:hint="eastAsia"/>
        </w:rPr>
        <w:t>,</w:t>
      </w:r>
      <w:r>
        <w:t xml:space="preserve"> CrCL&lt; 30 </w:t>
      </w:r>
      <w:r w:rsidRPr="003E70B9">
        <w:t>mL/min</w:t>
      </w:r>
      <w:r>
        <w:rPr>
          <w:rFonts w:hint="eastAsia"/>
        </w:rPr>
        <w:t>.</w:t>
      </w:r>
    </w:p>
    <w:p w:rsidR="0055046E" w:rsidRDefault="0055046E"/>
    <w:p w:rsidR="0014568E" w:rsidRDefault="0014568E"/>
    <w:p w:rsidR="0014568E" w:rsidRDefault="0014568E"/>
    <w:p w:rsidR="0014568E" w:rsidRDefault="0014568E"/>
    <w:p w:rsidR="0014568E" w:rsidRDefault="0014568E"/>
    <w:p w:rsidR="0014568E" w:rsidRDefault="0014568E"/>
    <w:p w:rsidR="0014568E" w:rsidRDefault="0014568E"/>
    <w:p w:rsidR="0014568E" w:rsidRDefault="0014568E"/>
    <w:p w:rsidR="0014568E" w:rsidRDefault="0014568E"/>
    <w:p w:rsidR="0014568E" w:rsidRDefault="0014568E"/>
    <w:p w:rsidR="0014568E" w:rsidRDefault="0014568E"/>
    <w:p w:rsidR="0014568E" w:rsidRDefault="0014568E"/>
    <w:p w:rsidR="0014568E" w:rsidRDefault="0014568E"/>
    <w:p w:rsidR="0014568E" w:rsidRDefault="0014568E"/>
    <w:p w:rsidR="0014568E" w:rsidRDefault="0014568E"/>
    <w:p w:rsidR="0014568E" w:rsidRDefault="0014568E"/>
    <w:p w:rsidR="0014568E" w:rsidRDefault="0014568E">
      <w:pPr>
        <w:rPr>
          <w:rFonts w:hint="eastAsia"/>
        </w:rPr>
      </w:pPr>
    </w:p>
    <w:p w:rsidR="0014568E" w:rsidRPr="00A71829" w:rsidRDefault="0014568E" w:rsidP="0014568E">
      <w:r w:rsidRPr="00A71829">
        <w:rPr>
          <w:sz w:val="28"/>
        </w:rPr>
        <w:lastRenderedPageBreak/>
        <w:t>Supplementary</w:t>
      </w:r>
      <w:r w:rsidRPr="00A71829">
        <w:rPr>
          <w:rFonts w:hint="eastAsia"/>
          <w:sz w:val="28"/>
        </w:rPr>
        <w:t xml:space="preserve"> </w:t>
      </w:r>
      <w:r w:rsidRPr="00A71829">
        <w:rPr>
          <w:sz w:val="28"/>
        </w:rPr>
        <w:t>figures</w:t>
      </w:r>
      <w:r>
        <w:rPr>
          <w:rFonts w:hint="eastAsia"/>
          <w:sz w:val="28"/>
        </w:rPr>
        <w:t xml:space="preserve">: </w:t>
      </w:r>
      <w:r>
        <w:rPr>
          <w:sz w:val="28"/>
        </w:rPr>
        <w:t>Incidence of thrombocytopenia stratified by renal function or duration of linezolid</w:t>
      </w:r>
    </w:p>
    <w:p w:rsidR="0014568E" w:rsidRPr="0014568E" w:rsidRDefault="0014568E">
      <w:pPr>
        <w:rPr>
          <w:rFonts w:hint="eastAsia"/>
        </w:rPr>
      </w:pPr>
      <w:bookmarkStart w:id="0" w:name="_GoBack"/>
      <w:bookmarkEnd w:id="0"/>
    </w:p>
    <w:p w:rsidR="00303082" w:rsidRDefault="00303082" w:rsidP="00303082">
      <w:r w:rsidRPr="00DF46BA">
        <w:t>Supplement</w:t>
      </w:r>
      <w:r>
        <w:t xml:space="preserve"> figure S2</w:t>
      </w:r>
    </w:p>
    <w:p w:rsidR="00303082" w:rsidRPr="00303082" w:rsidRDefault="00303082">
      <w:r>
        <w:rPr>
          <w:noProof/>
        </w:rPr>
        <w:drawing>
          <wp:inline distT="0" distB="0" distL="0" distR="0" wp14:anchorId="16D6AE8F" wp14:editId="44F35062">
            <wp:extent cx="6120000" cy="3442408"/>
            <wp:effectExtent l="19050" t="19050" r="14605" b="2476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e 2S_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44240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03082" w:rsidRDefault="0055046E" w:rsidP="00303082">
      <w:r>
        <w:rPr>
          <w:rFonts w:hint="eastAsia"/>
        </w:rPr>
        <w:t>F</w:t>
      </w:r>
      <w:r w:rsidR="00303082">
        <w:t xml:space="preserve">igure </w:t>
      </w:r>
      <w:r>
        <w:t>S</w:t>
      </w:r>
      <w:r w:rsidR="00303082">
        <w:t>2</w:t>
      </w:r>
      <w:r>
        <w:t>.</w:t>
      </w:r>
    </w:p>
    <w:p w:rsidR="00303082" w:rsidRDefault="00303082" w:rsidP="00303082">
      <w:pPr>
        <w:jc w:val="both"/>
      </w:pPr>
      <w:r>
        <w:t xml:space="preserve">All </w:t>
      </w:r>
      <w:r w:rsidRPr="003E70B9">
        <w:t>patients were also classified into two groups accordin</w:t>
      </w:r>
      <w:r>
        <w:t>g to the duration of linezolid, including 14</w:t>
      </w:r>
      <w:r>
        <w:rPr>
          <w:color w:val="000000" w:themeColor="text1"/>
        </w:rPr>
        <w:t>&gt;</w:t>
      </w:r>
      <w:r w:rsidRPr="003E70B9">
        <w:t>d</w:t>
      </w:r>
      <w:r>
        <w:t>uration</w:t>
      </w:r>
      <w:r w:rsidRPr="007052CF">
        <w:t>≥</w:t>
      </w:r>
      <w:r>
        <w:t xml:space="preserve"> 5 and duration≥ 14 days</w:t>
      </w:r>
      <w:r w:rsidRPr="003E70B9">
        <w:t>.</w:t>
      </w:r>
      <w:r>
        <w:t xml:space="preserve"> </w:t>
      </w:r>
      <w:r w:rsidRPr="008D7226">
        <w:t>Pat</w:t>
      </w:r>
      <w:r>
        <w:t>ients with duration</w:t>
      </w:r>
      <w:r w:rsidRPr="007052CF">
        <w:t>≥</w:t>
      </w:r>
      <w:r>
        <w:t xml:space="preserve"> </w:t>
      </w:r>
      <w:r w:rsidRPr="008D7226">
        <w:t>14 days were with higher risk of thrombocytopenia (14</w:t>
      </w:r>
      <w:r>
        <w:rPr>
          <w:color w:val="000000" w:themeColor="text1"/>
        </w:rPr>
        <w:t>&gt;</w:t>
      </w:r>
      <w:r w:rsidRPr="008D7226">
        <w:t>duration≥ 5 days vs duration</w:t>
      </w:r>
      <w:r w:rsidRPr="007052CF">
        <w:t>≥</w:t>
      </w:r>
      <w:r w:rsidRPr="008D7226">
        <w:t xml:space="preserve"> 14 days: 43.14% vs 63.83% </w:t>
      </w:r>
      <w:r w:rsidR="000B6F53" w:rsidRPr="000B6F53">
        <w:rPr>
          <w:i/>
        </w:rPr>
        <w:t>P</w:t>
      </w:r>
      <w:r w:rsidR="000B6F53" w:rsidRPr="008D7226">
        <w:t xml:space="preserve"> </w:t>
      </w:r>
      <w:r w:rsidRPr="008D7226">
        <w:t>= 0.0403).</w:t>
      </w:r>
    </w:p>
    <w:p w:rsidR="00303082" w:rsidRPr="00303082" w:rsidRDefault="00303082"/>
    <w:p w:rsidR="0055046E" w:rsidRDefault="0055046E" w:rsidP="00430F51">
      <w:pPr>
        <w:ind w:leftChars="200" w:left="480"/>
      </w:pPr>
    </w:p>
    <w:sectPr w:rsidR="0055046E" w:rsidSect="00E604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829" w:rsidRDefault="00A71829" w:rsidP="00F749F4">
      <w:r>
        <w:separator/>
      </w:r>
    </w:p>
  </w:endnote>
  <w:endnote w:type="continuationSeparator" w:id="0">
    <w:p w:rsidR="00A71829" w:rsidRDefault="00A71829" w:rsidP="00F7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829" w:rsidRDefault="00A71829" w:rsidP="00F749F4">
      <w:r>
        <w:separator/>
      </w:r>
    </w:p>
  </w:footnote>
  <w:footnote w:type="continuationSeparator" w:id="0">
    <w:p w:rsidR="00A71829" w:rsidRDefault="00A71829" w:rsidP="00F74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11012"/>
    <w:multiLevelType w:val="hybridMultilevel"/>
    <w:tmpl w:val="9D205F5E"/>
    <w:lvl w:ilvl="0" w:tplc="156E95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46E"/>
    <w:rsid w:val="000046EB"/>
    <w:rsid w:val="000B6F53"/>
    <w:rsid w:val="000C0979"/>
    <w:rsid w:val="000C403B"/>
    <w:rsid w:val="0014568E"/>
    <w:rsid w:val="00177973"/>
    <w:rsid w:val="001A2DC0"/>
    <w:rsid w:val="00262009"/>
    <w:rsid w:val="002E18A4"/>
    <w:rsid w:val="00303082"/>
    <w:rsid w:val="00374FE2"/>
    <w:rsid w:val="003C65B3"/>
    <w:rsid w:val="003D67BB"/>
    <w:rsid w:val="003E231B"/>
    <w:rsid w:val="003E70B9"/>
    <w:rsid w:val="00430F51"/>
    <w:rsid w:val="00463C3E"/>
    <w:rsid w:val="0055046E"/>
    <w:rsid w:val="00557527"/>
    <w:rsid w:val="005709FF"/>
    <w:rsid w:val="006170D1"/>
    <w:rsid w:val="006A28D3"/>
    <w:rsid w:val="00776F21"/>
    <w:rsid w:val="00813CED"/>
    <w:rsid w:val="008D7226"/>
    <w:rsid w:val="008E6275"/>
    <w:rsid w:val="009A2E9D"/>
    <w:rsid w:val="009B24C8"/>
    <w:rsid w:val="009B3B5D"/>
    <w:rsid w:val="00A61802"/>
    <w:rsid w:val="00A71829"/>
    <w:rsid w:val="00B86BF5"/>
    <w:rsid w:val="00C31292"/>
    <w:rsid w:val="00CA3504"/>
    <w:rsid w:val="00CE2ABE"/>
    <w:rsid w:val="00DF46BA"/>
    <w:rsid w:val="00DF6CCE"/>
    <w:rsid w:val="00E60443"/>
    <w:rsid w:val="00ED7C81"/>
    <w:rsid w:val="00F7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DB54B42"/>
  <w15:docId w15:val="{4DE0E4A2-7F9A-4493-B6CF-9D3C8BF0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9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49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49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49F4"/>
    <w:rPr>
      <w:sz w:val="20"/>
      <w:szCs w:val="20"/>
    </w:rPr>
  </w:style>
  <w:style w:type="paragraph" w:styleId="a7">
    <w:name w:val="List Paragraph"/>
    <w:basedOn w:val="a"/>
    <w:uiPriority w:val="34"/>
    <w:qFormat/>
    <w:rsid w:val="003C65B3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E604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04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147</Words>
  <Characters>843</Characters>
  <Application>Microsoft Office Word</Application>
  <DocSecurity>0</DocSecurity>
  <Lines>7</Lines>
  <Paragraphs>1</Paragraphs>
  <ScaleCrop>false</ScaleCrop>
  <Company>HP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悅群 徐</dc:creator>
  <cp:lastModifiedBy>悅群 徐</cp:lastModifiedBy>
  <cp:revision>29</cp:revision>
  <cp:lastPrinted>2021-05-14T07:33:00Z</cp:lastPrinted>
  <dcterms:created xsi:type="dcterms:W3CDTF">2021-04-22T16:36:00Z</dcterms:created>
  <dcterms:modified xsi:type="dcterms:W3CDTF">2021-06-11T08:34:00Z</dcterms:modified>
</cp:coreProperties>
</file>