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73ABA" w14:textId="77777777" w:rsidR="0060645E" w:rsidRPr="00A94ECC" w:rsidRDefault="0060645E" w:rsidP="0060645E">
      <w:pPr>
        <w:spacing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B4CCC">
        <w:rPr>
          <w:rFonts w:ascii="Arial" w:hAnsi="Arial" w:cs="Arial"/>
          <w:b/>
          <w:color w:val="000000"/>
          <w:sz w:val="24"/>
          <w:szCs w:val="24"/>
        </w:rPr>
        <w:t>Supplementary Figures</w:t>
      </w:r>
    </w:p>
    <w:p w14:paraId="10F4B96E" w14:textId="77777777" w:rsidR="0060645E" w:rsidRDefault="0060645E" w:rsidP="0060645E">
      <w:pPr>
        <w:spacing w:line="480" w:lineRule="auto"/>
        <w:rPr>
          <w:highlight w:val="white"/>
        </w:rPr>
      </w:pPr>
      <w:r>
        <w:rPr>
          <w:noProof/>
          <w:highlight w:val="white"/>
          <w:lang w:eastAsia="en-GB"/>
        </w:rPr>
        <w:drawing>
          <wp:inline distT="114300" distB="114300" distL="114300" distR="114300" wp14:anchorId="33B22430" wp14:editId="0517B8BB">
            <wp:extent cx="4287600" cy="8704800"/>
            <wp:effectExtent l="0" t="0" r="0" b="1270"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7600" cy="87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A6BDB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lastRenderedPageBreak/>
        <w:t xml:space="preserve">Supplementary Figure 1. Bar plots of genetic diversity statistics for population cohorts, including nucleotide diversity </w:t>
      </w:r>
      <w:r>
        <w:rPr>
          <w:rFonts w:ascii="Arial" w:eastAsia="Arial" w:hAnsi="Arial" w:cs="Arial"/>
          <w:b/>
          <w:highlight w:val="white"/>
        </w:rPr>
        <w:t>(</w:t>
      </w:r>
      <w:r>
        <w:rPr>
          <w:rFonts w:ascii="Arial" w:eastAsia="Arial" w:hAnsi="Arial" w:cs="Arial"/>
          <w:b/>
          <w:color w:val="555555"/>
          <w:highlight w:val="white"/>
        </w:rPr>
        <w:t>π)</w:t>
      </w:r>
      <w:r>
        <w:rPr>
          <w:b/>
          <w:highlight w:val="white"/>
        </w:rPr>
        <w:t>, Watterson’s Theta</w:t>
      </w:r>
      <w:r>
        <w:rPr>
          <w:rFonts w:ascii="Arial" w:eastAsia="Arial" w:hAnsi="Arial" w:cs="Arial"/>
          <w:b/>
          <w:highlight w:val="white"/>
        </w:rPr>
        <w:t xml:space="preserve"> (</w:t>
      </w:r>
      <w:r>
        <w:rPr>
          <w:rFonts w:ascii="Arial" w:eastAsia="Arial" w:hAnsi="Arial" w:cs="Arial"/>
          <w:b/>
          <w:color w:val="212121"/>
          <w:highlight w:val="white"/>
        </w:rPr>
        <w:t>θ)</w:t>
      </w:r>
      <w:r>
        <w:rPr>
          <w:rFonts w:ascii="Times New Roman" w:eastAsia="Times New Roman" w:hAnsi="Times New Roman" w:cs="Times New Roman"/>
          <w:b/>
          <w:i/>
          <w:color w:val="212121"/>
          <w:sz w:val="30"/>
          <w:szCs w:val="30"/>
          <w:highlight w:val="white"/>
        </w:rPr>
        <w:t xml:space="preserve"> </w:t>
      </w:r>
      <w:r>
        <w:rPr>
          <w:b/>
          <w:highlight w:val="white"/>
        </w:rPr>
        <w:t xml:space="preserve">and Tajima’s </w:t>
      </w:r>
      <w:r>
        <w:rPr>
          <w:b/>
          <w:i/>
          <w:highlight w:val="white"/>
        </w:rPr>
        <w:t>D</w:t>
      </w:r>
      <w:r>
        <w:rPr>
          <w:b/>
          <w:highlight w:val="white"/>
        </w:rPr>
        <w:t>.</w:t>
      </w:r>
    </w:p>
    <w:p w14:paraId="4E88818E" w14:textId="77777777" w:rsidR="0060645E" w:rsidRDefault="0060645E" w:rsidP="0060645E">
      <w:pPr>
        <w:spacing w:line="480" w:lineRule="auto"/>
        <w:rPr>
          <w:highlight w:val="white"/>
        </w:rPr>
      </w:pPr>
    </w:p>
    <w:p w14:paraId="65DF0BFC" w14:textId="77777777" w:rsidR="0060645E" w:rsidRDefault="0060645E" w:rsidP="0060645E">
      <w:pPr>
        <w:spacing w:line="480" w:lineRule="auto"/>
        <w:rPr>
          <w:highlight w:val="white"/>
        </w:rPr>
      </w:pPr>
      <w:r>
        <w:rPr>
          <w:noProof/>
          <w:highlight w:val="white"/>
          <w:lang w:eastAsia="en-GB"/>
        </w:rPr>
        <w:drawing>
          <wp:inline distT="114300" distB="114300" distL="114300" distR="114300" wp14:anchorId="60D00B58" wp14:editId="28502296">
            <wp:extent cx="5731200" cy="3467100"/>
            <wp:effectExtent l="0" t="0" r="0" b="0"/>
            <wp:docPr id="3" name="image14.png" descr="A diagram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4.png" descr="A diagram of different colored dot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BB5DD" w14:textId="77777777" w:rsidR="0060645E" w:rsidRDefault="0060645E" w:rsidP="0060645E">
      <w:pPr>
        <w:spacing w:line="480" w:lineRule="auto"/>
        <w:rPr>
          <w:highlight w:val="white"/>
        </w:rPr>
      </w:pPr>
    </w:p>
    <w:p w14:paraId="5FDCA7AA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 xml:space="preserve">Supplementary Figure 2. PCA to investigate the population structure of </w:t>
      </w:r>
      <w:r>
        <w:rPr>
          <w:b/>
          <w:i/>
          <w:highlight w:val="white"/>
        </w:rPr>
        <w:t>An. arabiensis</w:t>
      </w:r>
      <w:r>
        <w:rPr>
          <w:b/>
          <w:highlight w:val="white"/>
        </w:rPr>
        <w:t xml:space="preserve"> from Kenya in relation to the neighbouring countries of Uganda and Tanzania.</w:t>
      </w:r>
    </w:p>
    <w:p w14:paraId="2F19106E" w14:textId="77777777" w:rsidR="0060645E" w:rsidRDefault="0060645E" w:rsidP="0060645E">
      <w:pPr>
        <w:spacing w:line="480" w:lineRule="auto"/>
        <w:rPr>
          <w:highlight w:val="white"/>
        </w:rPr>
      </w:pPr>
      <w:r>
        <w:rPr>
          <w:noProof/>
          <w:highlight w:val="white"/>
          <w:lang w:eastAsia="en-GB"/>
        </w:rPr>
        <w:lastRenderedPageBreak/>
        <w:drawing>
          <wp:inline distT="114300" distB="114300" distL="114300" distR="114300" wp14:anchorId="254B9263" wp14:editId="5F3B94CA">
            <wp:extent cx="5731200" cy="4343400"/>
            <wp:effectExtent l="0" t="0" r="0" b="0"/>
            <wp:docPr id="1" name="image5.png" descr="A graph of numbers and letter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 descr="A graph of numbers and letter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82679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3. Investigation of the genetic differentiation of population cohorts with Hudson’s pairwise F</w:t>
      </w:r>
      <w:r>
        <w:rPr>
          <w:b/>
          <w:sz w:val="16"/>
          <w:szCs w:val="16"/>
          <w:highlight w:val="white"/>
        </w:rPr>
        <w:t>ST.</w:t>
      </w:r>
    </w:p>
    <w:p w14:paraId="3B08D9FB" w14:textId="77777777" w:rsidR="0060645E" w:rsidRDefault="0060645E" w:rsidP="0060645E">
      <w:pPr>
        <w:spacing w:line="480" w:lineRule="auto"/>
        <w:rPr>
          <w:highlight w:val="white"/>
        </w:rPr>
      </w:pPr>
      <w:r>
        <w:rPr>
          <w:noProof/>
          <w:highlight w:val="white"/>
          <w:lang w:eastAsia="en-GB"/>
        </w:rPr>
        <w:drawing>
          <wp:inline distT="114300" distB="114300" distL="114300" distR="114300" wp14:anchorId="0BC7E566" wp14:editId="0EB82FA2">
            <wp:extent cx="6239234" cy="860227"/>
            <wp:effectExtent l="0" t="0" r="0" b="0"/>
            <wp:docPr id="15" name="image8.png" descr="A close-up of a docume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 descr="A close-up of a documen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39234" cy="86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F4CEC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 xml:space="preserve">Supplementary Figure 4. Investigation of the frequencies of the voltage-gated sodium channel substitution L995F in African </w:t>
      </w:r>
      <w:r>
        <w:rPr>
          <w:b/>
          <w:i/>
          <w:highlight w:val="white"/>
        </w:rPr>
        <w:t>An. coluzzii</w:t>
      </w:r>
      <w:r>
        <w:rPr>
          <w:b/>
          <w:highlight w:val="white"/>
        </w:rPr>
        <w:t>.</w:t>
      </w:r>
    </w:p>
    <w:p w14:paraId="4356D24D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74CEA245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drawing>
          <wp:inline distT="114300" distB="114300" distL="114300" distR="114300" wp14:anchorId="4B080875" wp14:editId="0E394999">
            <wp:extent cx="5731200" cy="1333500"/>
            <wp:effectExtent l="0" t="0" r="0" b="0"/>
            <wp:docPr id="17" name="image17.png" descr="A long shot of a build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 descr="A long shot of a building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42A27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lastRenderedPageBreak/>
        <w:t>Supplementary Figure 5. Investigation of haplotype sharing with hierarchical clustering of the voltage-gated sodium channel gene.</w:t>
      </w:r>
    </w:p>
    <w:p w14:paraId="0A41E207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1C88E170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4A3D56AF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drawing>
          <wp:inline distT="114300" distB="114300" distL="114300" distR="114300" wp14:anchorId="46C924EF" wp14:editId="2D9AC110">
            <wp:extent cx="5731200" cy="1600200"/>
            <wp:effectExtent l="0" t="0" r="0" b="0"/>
            <wp:docPr id="8" name="image13.png" descr="A table of numbers with different colored squar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 descr="A table of numbers with different colored squares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35EFA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6. Investigation of amino acid substitutions at the ACE-1 locus.</w:t>
      </w:r>
    </w:p>
    <w:p w14:paraId="03CF69C7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drawing>
          <wp:inline distT="114300" distB="114300" distL="114300" distR="114300" wp14:anchorId="24ED4D4B" wp14:editId="3EBAFEDA">
            <wp:extent cx="5731200" cy="1549400"/>
            <wp:effectExtent l="0" t="0" r="0" b="0"/>
            <wp:docPr id="6" name="image3.png" descr="A close up of a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 descr="A close up of a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9994F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7. Investigation of CNV frequencies in the Cyp6z/m gene cluster.</w:t>
      </w:r>
    </w:p>
    <w:p w14:paraId="3C1B575F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7FF3B206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43017A34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2AB9F7A1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lastRenderedPageBreak/>
        <w:drawing>
          <wp:inline distT="114300" distB="114300" distL="114300" distR="114300" wp14:anchorId="26CFCB69" wp14:editId="0CBB494C">
            <wp:extent cx="5731200" cy="3009900"/>
            <wp:effectExtent l="0" t="0" r="0" b="0"/>
            <wp:docPr id="2" name="image7.png" descr="A graph of a heart rat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 descr="A graph of a heart rat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DB40E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8. Investigation of signals of selection with the H12 statistic calculated across windows of chromosome 2 for population cohorts from Central Kenya. Peaks in H12 values are observed at the Cyp6aa/p gene cluster (2R:28,460,000-28,580,000), Keap1 (2R:40,926,195-40,945,169), Coeae2f (2 L:28,548,433-28,550,748) and Coeae2G-7G (2 L:37,282,152-37,298,223).</w:t>
      </w:r>
    </w:p>
    <w:p w14:paraId="14D14B64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3C45E7B0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drawing>
          <wp:inline distT="114300" distB="114300" distL="114300" distR="114300" wp14:anchorId="07F7AD66" wp14:editId="43C3CBCA">
            <wp:extent cx="5731200" cy="2997200"/>
            <wp:effectExtent l="0" t="0" r="0" b="0"/>
            <wp:docPr id="14" name="image10.png" descr="A graph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 descr="A graph of a graph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612CB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0F9BD702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lastRenderedPageBreak/>
        <w:t>Supplementary Figure 9. Investigation of signals of selection with the H12 statistic calculated across windows of chromosome 2 for population cohorts from northwestern Kenya. A peak in H12 values was observed for the Cyp6aa/p gene cluster (2R:28,460,000-28,580,000).</w:t>
      </w:r>
    </w:p>
    <w:p w14:paraId="6894125C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13913AD3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drawing>
          <wp:inline distT="114300" distB="114300" distL="114300" distR="114300" wp14:anchorId="496DE4E4" wp14:editId="17F2D6DF">
            <wp:extent cx="6424785" cy="3233738"/>
            <wp:effectExtent l="0" t="0" r="0" b="0"/>
            <wp:docPr id="10" name="image15.png" descr="A close up of a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5.png" descr="A close up of a lin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24785" cy="323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A7D9B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6D016BB0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10. Investigation of signals of selection with the H12 statistic calculated across windows of chromosome 3 for population cohorts from Central Kenya. No clear peaks in H12 values are observed.</w:t>
      </w:r>
    </w:p>
    <w:p w14:paraId="6A8D2A9B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44A87D43" w14:textId="77777777" w:rsidR="0060645E" w:rsidRDefault="0060645E" w:rsidP="0060645E">
      <w:pPr>
        <w:spacing w:line="480" w:lineRule="auto"/>
        <w:rPr>
          <w:b/>
          <w:highlight w:val="white"/>
        </w:rPr>
      </w:pPr>
      <w:r>
        <w:rPr>
          <w:b/>
          <w:noProof/>
          <w:highlight w:val="white"/>
          <w:lang w:eastAsia="en-GB"/>
        </w:rPr>
        <w:lastRenderedPageBreak/>
        <w:drawing>
          <wp:inline distT="114300" distB="114300" distL="114300" distR="114300" wp14:anchorId="5A29ECE5" wp14:editId="1571FCC3">
            <wp:extent cx="6286943" cy="3174802"/>
            <wp:effectExtent l="0" t="0" r="0" b="0"/>
            <wp:docPr id="16" name="image6.png" descr="A close-up of a pap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 descr="A close-up of a pap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86943" cy="317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A3DF9" w14:textId="77777777" w:rsidR="0060645E" w:rsidRDefault="0060645E" w:rsidP="0060645E">
      <w:pPr>
        <w:spacing w:line="480" w:lineRule="auto"/>
        <w:rPr>
          <w:b/>
          <w:highlight w:val="white"/>
        </w:rPr>
      </w:pPr>
    </w:p>
    <w:p w14:paraId="658829A2" w14:textId="77777777" w:rsidR="0060645E" w:rsidRPr="004369B1" w:rsidRDefault="0060645E" w:rsidP="0060645E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>Supplementary Figure 11. Investigation of signals of selection with the H12 statistic calculated across windows of chromosome 3 for population cohorts from northwestern Kenya. No clear peaks in H12 values are observed.</w:t>
      </w:r>
      <w:r>
        <w:rPr>
          <w:rFonts w:ascii="Arial" w:hAnsi="Arial" w:cs="Arial"/>
          <w:b/>
          <w:color w:val="000000"/>
          <w:sz w:val="24"/>
          <w:szCs w:val="24"/>
        </w:rPr>
        <w:fldChar w:fldCharType="begin"/>
      </w:r>
      <w:r>
        <w:rPr>
          <w:rFonts w:ascii="Arial" w:hAnsi="Arial" w:cs="Arial"/>
          <w:b/>
          <w:color w:val="000000"/>
          <w:sz w:val="24"/>
          <w:szCs w:val="24"/>
        </w:rPr>
        <w:instrText xml:space="preserve"> ADDIN</w:instrText>
      </w:r>
      <w:r>
        <w:rPr>
          <w:rFonts w:ascii="Arial" w:hAnsi="Arial" w:cs="Arial"/>
          <w:b/>
          <w:color w:val="000000"/>
          <w:sz w:val="24"/>
          <w:szCs w:val="24"/>
        </w:rPr>
        <w:fldChar w:fldCharType="separate"/>
      </w:r>
      <w:r>
        <w:rPr>
          <w:rFonts w:ascii="Arial" w:hAnsi="Arial" w:cs="Arial"/>
          <w:b/>
          <w:color w:val="000000"/>
          <w:sz w:val="24"/>
          <w:szCs w:val="24"/>
        </w:rPr>
        <w:fldChar w:fldCharType="end"/>
      </w:r>
    </w:p>
    <w:p w14:paraId="31EDD038" w14:textId="77777777" w:rsidR="00CA042B" w:rsidRDefault="00CA042B"/>
    <w:sectPr w:rsidR="00CA042B" w:rsidSect="0060645E">
      <w:footerReference w:type="default" r:id="rId15"/>
      <w:pgSz w:w="11906" w:h="16838"/>
      <w:pgMar w:top="851" w:right="1440" w:bottom="851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9482733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0FA8A13" w14:textId="77777777" w:rsidR="0060645E" w:rsidRDefault="0060645E">
            <w:pPr>
              <w:pStyle w:val="Footer"/>
              <w:jc w:val="center"/>
            </w:pPr>
          </w:p>
          <w:p w14:paraId="368FCE73" w14:textId="77777777" w:rsidR="0060645E" w:rsidRDefault="0060645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EFD98F" w14:textId="77777777" w:rsidR="0060645E" w:rsidRDefault="0060645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45E"/>
    <w:rsid w:val="0060645E"/>
    <w:rsid w:val="0065391C"/>
    <w:rsid w:val="009F085C"/>
    <w:rsid w:val="00C73C62"/>
    <w:rsid w:val="00C92CE2"/>
    <w:rsid w:val="00CA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6EEAE7"/>
  <w15:chartTrackingRefBased/>
  <w15:docId w15:val="{D3E03F37-FD67-484F-93F2-7201A37B9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KE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5E"/>
    <w:rPr>
      <w:rFonts w:eastAsiaTheme="minorHAnsi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KE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KE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KE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KE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KE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4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KE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4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KE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4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KE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4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K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4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4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KE" w:eastAsia="zh-CN"/>
    </w:rPr>
  </w:style>
  <w:style w:type="character" w:customStyle="1" w:styleId="TitleChar">
    <w:name w:val="Title Char"/>
    <w:basedOn w:val="DefaultParagraphFont"/>
    <w:link w:val="Title"/>
    <w:uiPriority w:val="10"/>
    <w:rsid w:val="00606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KE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606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45E"/>
    <w:pPr>
      <w:spacing w:before="160"/>
      <w:jc w:val="center"/>
    </w:pPr>
    <w:rPr>
      <w:rFonts w:eastAsiaTheme="minorEastAsia"/>
      <w:i/>
      <w:iCs/>
      <w:color w:val="404040" w:themeColor="text1" w:themeTint="BF"/>
      <w:lang w:val="en-KE" w:eastAsia="zh-CN"/>
    </w:rPr>
  </w:style>
  <w:style w:type="character" w:customStyle="1" w:styleId="QuoteChar">
    <w:name w:val="Quote Char"/>
    <w:basedOn w:val="DefaultParagraphFont"/>
    <w:link w:val="Quote"/>
    <w:uiPriority w:val="29"/>
    <w:rsid w:val="006064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45E"/>
    <w:pPr>
      <w:ind w:left="720"/>
      <w:contextualSpacing/>
    </w:pPr>
    <w:rPr>
      <w:rFonts w:eastAsiaTheme="minorEastAsia"/>
      <w:lang w:val="en-KE" w:eastAsia="zh-CN"/>
    </w:rPr>
  </w:style>
  <w:style w:type="character" w:styleId="IntenseEmphasis">
    <w:name w:val="Intense Emphasis"/>
    <w:basedOn w:val="DefaultParagraphFont"/>
    <w:uiPriority w:val="21"/>
    <w:qFormat/>
    <w:rsid w:val="006064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lang w:val="en-KE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4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45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064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45E"/>
    <w:rPr>
      <w:rFonts w:eastAsiaTheme="minorHAnsi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606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267</Words>
  <Characters>1760</Characters>
  <Application>Microsoft Office Word</Application>
  <DocSecurity>0</DocSecurity>
  <Lines>55</Lines>
  <Paragraphs>14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Polo</dc:creator>
  <cp:keywords/>
  <dc:description/>
  <cp:lastModifiedBy>Brian Polo</cp:lastModifiedBy>
  <cp:revision>1</cp:revision>
  <dcterms:created xsi:type="dcterms:W3CDTF">2024-10-26T09:05:00Z</dcterms:created>
  <dcterms:modified xsi:type="dcterms:W3CDTF">2024-10-26T09:11:00Z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4504993f-3026-47df-9d40-cd1f86b3e279</vt:lpwstr>
  </property>
</Properties>
</file>