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1D4D">
      <w:pPr>
        <w:rPr>
          <w:rFonts w:hint="eastAsia"/>
          <w:lang w:val="en-US" w:eastAsia="zh-CN"/>
        </w:rPr>
      </w:pPr>
    </w:p>
    <w:p w14:paraId="148982BA">
      <w:pPr>
        <w:rPr>
          <w:rFonts w:hint="eastAsia"/>
          <w:lang w:val="en-US" w:eastAsia="zh-CN"/>
        </w:rPr>
      </w:pPr>
    </w:p>
    <w:p w14:paraId="3795785C">
      <w:pPr>
        <w:spacing w:line="480" w:lineRule="auto"/>
        <w:jc w:val="center"/>
        <w:rPr>
          <w:rFonts w:hint="eastAsia" w:ascii="Times New Roman" w:hAnsi="Times New Roman" w:eastAsia="宋体" w:cs="Times New Roman"/>
          <w:i/>
          <w:iCs/>
          <w:sz w:val="24"/>
          <w:szCs w:val="24"/>
          <w:lang w:eastAsia="zh-CN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Supporting Information</w:t>
      </w:r>
    </w:p>
    <w:p w14:paraId="01EAB50A">
      <w:pPr>
        <w:rPr>
          <w:rFonts w:hint="eastAsia"/>
          <w:lang w:val="en-US" w:eastAsia="zh-CN"/>
        </w:rPr>
      </w:pPr>
    </w:p>
    <w:p w14:paraId="75C1310A">
      <w:pPr>
        <w:rPr>
          <w:rFonts w:hint="eastAsia"/>
          <w:lang w:val="en-US" w:eastAsia="zh-CN"/>
        </w:rPr>
      </w:pPr>
    </w:p>
    <w:p w14:paraId="32E66C97">
      <w:pPr>
        <w:rPr>
          <w:rFonts w:hint="eastAsia"/>
          <w:lang w:val="en-US" w:eastAsia="zh-CN"/>
        </w:rPr>
      </w:pPr>
    </w:p>
    <w:p w14:paraId="16A9BC2C">
      <w:pPr>
        <w:rPr>
          <w:rFonts w:hint="eastAsia"/>
          <w:lang w:val="en-US" w:eastAsia="zh-CN"/>
        </w:rPr>
      </w:pPr>
    </w:p>
    <w:p w14:paraId="53043E08">
      <w:pPr>
        <w:jc w:val="center"/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Size Effect-based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4"/>
        </w:rPr>
        <w:t>mproved Antioxidant Activity of Selenium Nanoparticles Regulating Anti-PI3K-mTOR and Ras-MEK Pathways for Treating Spinal Cord Injury to Avoid Hormone Shock-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i</w:t>
      </w:r>
      <w:r>
        <w:rPr>
          <w:rFonts w:hint="eastAsia" w:ascii="Times New Roman" w:hAnsi="Times New Roman" w:cs="Times New Roman"/>
          <w:b/>
          <w:bCs/>
          <w:sz w:val="24"/>
        </w:rPr>
        <w:t>nduced Immunosuppression</w:t>
      </w:r>
    </w:p>
    <w:p w14:paraId="003D76F4">
      <w:pPr>
        <w:rPr>
          <w:rFonts w:hint="eastAsia"/>
          <w:lang w:val="en-US" w:eastAsia="zh-CN"/>
        </w:rPr>
      </w:pPr>
    </w:p>
    <w:p w14:paraId="25AF08FA">
      <w:pPr>
        <w:rPr>
          <w:rFonts w:hint="eastAsia"/>
          <w:lang w:val="en-US" w:eastAsia="zh-CN"/>
        </w:rPr>
      </w:pPr>
    </w:p>
    <w:p w14:paraId="7CCCE01E">
      <w:pPr>
        <w:rPr>
          <w:rFonts w:hint="eastAsia"/>
          <w:lang w:val="en-US" w:eastAsia="zh-CN"/>
        </w:rPr>
      </w:pPr>
    </w:p>
    <w:p w14:paraId="70643E57">
      <w:pPr>
        <w:rPr>
          <w:rFonts w:hint="eastAsia"/>
          <w:lang w:val="en-US" w:eastAsia="zh-CN"/>
        </w:rPr>
      </w:pPr>
    </w:p>
    <w:p w14:paraId="7C9A00E4">
      <w:pPr>
        <w:rPr>
          <w:rFonts w:hint="eastAsia"/>
          <w:lang w:val="en-US" w:eastAsia="zh-CN"/>
        </w:rPr>
      </w:pPr>
    </w:p>
    <w:p w14:paraId="2C030935">
      <w:pPr>
        <w:rPr>
          <w:rFonts w:hint="eastAsia"/>
          <w:lang w:val="en-US" w:eastAsia="zh-CN"/>
        </w:rPr>
      </w:pPr>
    </w:p>
    <w:p w14:paraId="6EEDE34A">
      <w:pPr>
        <w:rPr>
          <w:rFonts w:hint="eastAsia"/>
          <w:lang w:val="en-US" w:eastAsia="zh-CN"/>
        </w:rPr>
      </w:pPr>
    </w:p>
    <w:p w14:paraId="2D06055D">
      <w:pPr>
        <w:rPr>
          <w:rFonts w:hint="eastAsia"/>
          <w:lang w:val="en-US" w:eastAsia="zh-CN"/>
        </w:rPr>
      </w:pPr>
    </w:p>
    <w:p w14:paraId="222F152F">
      <w:pPr>
        <w:rPr>
          <w:rFonts w:hint="eastAsia"/>
          <w:lang w:val="en-US" w:eastAsia="zh-CN"/>
        </w:rPr>
      </w:pPr>
    </w:p>
    <w:p w14:paraId="2F4774DD">
      <w:pPr>
        <w:rPr>
          <w:rFonts w:hint="eastAsia"/>
          <w:lang w:val="en-US" w:eastAsia="zh-CN"/>
        </w:rPr>
      </w:pPr>
    </w:p>
    <w:p w14:paraId="40227E1B">
      <w:pPr>
        <w:rPr>
          <w:rFonts w:hint="eastAsia"/>
          <w:lang w:val="en-US" w:eastAsia="zh-CN"/>
        </w:rPr>
      </w:pPr>
    </w:p>
    <w:p w14:paraId="56125F1E">
      <w:pPr>
        <w:rPr>
          <w:rFonts w:hint="eastAsia"/>
          <w:lang w:val="en-US" w:eastAsia="zh-CN"/>
        </w:rPr>
      </w:pPr>
    </w:p>
    <w:p w14:paraId="6DCAF830">
      <w:pPr>
        <w:rPr>
          <w:rFonts w:hint="eastAsia"/>
          <w:lang w:val="en-US" w:eastAsia="zh-CN"/>
        </w:rPr>
      </w:pPr>
    </w:p>
    <w:p w14:paraId="2376B460">
      <w:pPr>
        <w:rPr>
          <w:rFonts w:hint="eastAsia"/>
          <w:lang w:val="en-US" w:eastAsia="zh-CN"/>
        </w:rPr>
      </w:pPr>
    </w:p>
    <w:p w14:paraId="190072EF">
      <w:pPr>
        <w:rPr>
          <w:rFonts w:hint="eastAsia"/>
          <w:lang w:val="en-US" w:eastAsia="zh-CN"/>
        </w:rPr>
      </w:pPr>
    </w:p>
    <w:p w14:paraId="6E65F2F8">
      <w:pPr>
        <w:rPr>
          <w:rFonts w:hint="eastAsia"/>
          <w:lang w:val="en-US" w:eastAsia="zh-CN"/>
        </w:rPr>
      </w:pPr>
    </w:p>
    <w:p w14:paraId="65743172">
      <w:pPr>
        <w:rPr>
          <w:rFonts w:hint="eastAsia"/>
          <w:lang w:val="en-US" w:eastAsia="zh-CN"/>
        </w:rPr>
      </w:pPr>
    </w:p>
    <w:p w14:paraId="21062799">
      <w:pPr>
        <w:rPr>
          <w:rFonts w:hint="eastAsia"/>
          <w:lang w:val="en-US" w:eastAsia="zh-CN"/>
        </w:rPr>
      </w:pPr>
    </w:p>
    <w:p w14:paraId="6015C561">
      <w:pPr>
        <w:rPr>
          <w:rFonts w:hint="eastAsia"/>
          <w:lang w:val="en-US" w:eastAsia="zh-CN"/>
        </w:rPr>
      </w:pPr>
    </w:p>
    <w:p w14:paraId="55885956">
      <w:pPr>
        <w:rPr>
          <w:rFonts w:hint="eastAsia"/>
          <w:lang w:val="en-US" w:eastAsia="zh-CN"/>
        </w:rPr>
      </w:pPr>
    </w:p>
    <w:p w14:paraId="547BD26D">
      <w:pPr>
        <w:rPr>
          <w:rFonts w:hint="eastAsia"/>
          <w:lang w:val="en-US" w:eastAsia="zh-CN"/>
        </w:rPr>
      </w:pPr>
    </w:p>
    <w:p w14:paraId="6CAD1F9F">
      <w:pPr>
        <w:rPr>
          <w:rFonts w:hint="eastAsia"/>
          <w:lang w:val="en-US" w:eastAsia="zh-CN"/>
        </w:rPr>
      </w:pPr>
    </w:p>
    <w:p w14:paraId="3EAFA4F2">
      <w:pPr>
        <w:rPr>
          <w:rFonts w:hint="eastAsia"/>
          <w:lang w:val="en-US" w:eastAsia="zh-CN"/>
        </w:rPr>
      </w:pPr>
    </w:p>
    <w:p w14:paraId="5F166DB0">
      <w:pPr>
        <w:rPr>
          <w:rFonts w:hint="eastAsia"/>
          <w:lang w:val="en-US" w:eastAsia="zh-CN"/>
        </w:rPr>
      </w:pPr>
    </w:p>
    <w:p w14:paraId="5A7850FA">
      <w:pPr>
        <w:rPr>
          <w:rFonts w:hint="eastAsia"/>
          <w:lang w:val="en-US" w:eastAsia="zh-CN"/>
        </w:rPr>
      </w:pPr>
    </w:p>
    <w:p w14:paraId="44B0A7A4">
      <w:pPr>
        <w:rPr>
          <w:rFonts w:hint="eastAsia"/>
          <w:lang w:val="en-US" w:eastAsia="zh-CN"/>
        </w:rPr>
      </w:pPr>
    </w:p>
    <w:p w14:paraId="20F797E7">
      <w:pPr>
        <w:rPr>
          <w:rFonts w:hint="eastAsia"/>
          <w:lang w:val="en-US" w:eastAsia="zh-CN"/>
        </w:rPr>
      </w:pPr>
    </w:p>
    <w:p w14:paraId="59A18EC8">
      <w:pPr>
        <w:rPr>
          <w:rFonts w:hint="eastAsia"/>
          <w:lang w:val="en-US" w:eastAsia="zh-CN"/>
        </w:rPr>
      </w:pPr>
    </w:p>
    <w:p w14:paraId="0D207660">
      <w:pPr>
        <w:rPr>
          <w:rFonts w:hint="eastAsia"/>
          <w:lang w:val="en-US" w:eastAsia="zh-CN"/>
        </w:rPr>
      </w:pPr>
    </w:p>
    <w:p w14:paraId="03844000">
      <w:pPr>
        <w:rPr>
          <w:rFonts w:hint="eastAsia"/>
          <w:lang w:val="en-US" w:eastAsia="zh-CN"/>
        </w:rPr>
      </w:pPr>
    </w:p>
    <w:p w14:paraId="31E8E484">
      <w:pPr>
        <w:jc w:val="center"/>
        <w:rPr>
          <w:rFonts w:hint="eastAsia"/>
          <w:lang w:val="en-US" w:eastAsia="zh-CN"/>
        </w:rPr>
      </w:pPr>
      <w:r>
        <w:object>
          <v:shape id="_x0000_i1025" o:spt="75" type="#_x0000_t75" style="height:130.25pt;width:217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rism9.Document" ShapeID="_x0000_i1025" DrawAspect="Content" ObjectID="_1468075725" r:id="rId4">
            <o:LockedField>false</o:LockedField>
          </o:OLEObject>
        </w:object>
      </w:r>
    </w:p>
    <w:p w14:paraId="7AD312F8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Figure S1.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</w:rPr>
        <w:t>The surface zeta potential of LNT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-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</w:rPr>
        <w:t>SeNPs over time in different solutions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.</w:t>
      </w:r>
    </w:p>
    <w:p w14:paraId="1B50808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</w:t>
      </w:r>
    </w:p>
    <w:p w14:paraId="712376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0E970DA2">
      <w:pPr>
        <w:rPr>
          <w:rFonts w:hint="eastAsia"/>
          <w:lang w:val="en-US" w:eastAsia="zh-CN"/>
        </w:rPr>
      </w:pPr>
    </w:p>
    <w:p w14:paraId="0A5B58EB">
      <w:pPr>
        <w:jc w:val="center"/>
        <w:rPr>
          <w:rFonts w:hint="eastAsia"/>
          <w:lang w:val="en-US" w:eastAsia="zh-CN"/>
        </w:rPr>
      </w:pPr>
      <w:r>
        <w:object>
          <v:shape id="_x0000_i1026" o:spt="75" type="#_x0000_t75" style="height:138.7pt;width:199.45pt;" o:ole="t" fillcolor="#FFFFFF" filled="f" o:preferrelative="t" stroked="f" coordsize="21600,21600">
            <v:path/>
            <v:fill on="f" color2="#FFFFFF" focussize="0,0"/>
            <v:stroke on="f" color="#000000" color2="#FFFFFF"/>
            <v:imagedata r:id="rId7" grayscale="f" bilevel="f" o:title=""/>
            <o:lock v:ext="edit" aspectratio="t"/>
            <w10:wrap type="none"/>
            <w10:anchorlock/>
          </v:shape>
          <o:OLEObject Type="Embed" ProgID="Prism10.Document" ShapeID="_x0000_i1026" DrawAspect="Content" ObjectID="_1468075726" r:id="rId6">
            <o:LockedField>false</o:LockedField>
          </o:OLEObject>
        </w:object>
      </w:r>
    </w:p>
    <w:p w14:paraId="4291B057">
      <w:pPr>
        <w:rPr>
          <w:rFonts w:hint="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color w:val="000000"/>
          <w:sz w:val="24"/>
        </w:rPr>
        <w:t>Effects of different concentrations of LNT-SeNPs and LNT-UsSeNPs on the viability of PC-12 cells (24 hours).</w:t>
      </w:r>
    </w:p>
    <w:p w14:paraId="22A459E1">
      <w:pPr>
        <w:pStyle w:val="4"/>
        <w:keepNext w:val="0"/>
        <w:keepLines w:val="0"/>
        <w:widowControl/>
        <w:suppressLineNumbers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</w:t>
      </w:r>
    </w:p>
    <w:p w14:paraId="3E7585D4">
      <w:pPr>
        <w:pStyle w:val="4"/>
        <w:keepNext w:val="0"/>
        <w:keepLines w:val="0"/>
        <w:widowControl/>
        <w:suppressLineNumbers w:val="0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258945" cy="6025515"/>
            <wp:effectExtent l="0" t="0" r="0" b="0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r="16173"/>
                    <a:stretch>
                      <a:fillRect/>
                    </a:stretch>
                  </pic:blipFill>
                  <pic:spPr>
                    <a:xfrm>
                      <a:off x="0" y="0"/>
                      <a:ext cx="4258945" cy="6025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72DD7C">
      <w:pP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The histogram indicates the analysis of subcellular localization of differential proteins in the comparison of LNT-UsSeNPs group, injury group and control group in the data, the statistical analysis of human cell markers and the enrichment analysis of KEGG pathway of multiple groups of overlapping genes.</w:t>
      </w:r>
    </w:p>
    <w:p w14:paraId="1C046424">
      <w:pP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</w:pPr>
    </w:p>
    <w:p w14:paraId="0E604A2E">
      <w:pPr>
        <w:jc w:val="center"/>
        <w:rPr>
          <w:rFonts w:hint="eastAsia"/>
          <w:lang w:val="en-US" w:eastAsia="zh-CN"/>
        </w:rPr>
      </w:pPr>
      <w:r>
        <w:object>
          <v:shape id="_x0000_i1027" o:spt="75" type="#_x0000_t75" style="height:209.05pt;width:162.6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Prism10.Document" ShapeID="_x0000_i1027" DrawAspect="Content" ObjectID="_1468075727" r:id="rId9">
            <o:LockedField>false</o:LockedField>
          </o:OLEObject>
        </w:object>
      </w:r>
    </w:p>
    <w:p w14:paraId="0AB70B20">
      <w:pPr>
        <w:rPr>
          <w:rFonts w:hint="default" w:eastAsiaTheme="minorEastAsia"/>
          <w:lang w:val="en-US"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4.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The proportion of NK cells in spleen of each group.</w:t>
      </w:r>
    </w:p>
    <w:p w14:paraId="19F78A19">
      <w:pPr>
        <w:rPr>
          <w:rFonts w:hint="eastAsia"/>
          <w:lang w:val="en-US" w:eastAsia="zh-CN"/>
        </w:rPr>
      </w:pPr>
    </w:p>
    <w:p w14:paraId="69D38171">
      <w:pPr>
        <w:rPr>
          <w:rFonts w:hint="eastAsia"/>
          <w:lang w:val="en-US" w:eastAsia="zh-CN"/>
        </w:rPr>
      </w:pPr>
    </w:p>
    <w:p w14:paraId="41062908">
      <w:pPr>
        <w:rPr>
          <w:rFonts w:hint="eastAsia"/>
          <w:lang w:val="en-US" w:eastAsia="zh-CN"/>
        </w:rPr>
      </w:pPr>
    </w:p>
    <w:p w14:paraId="1B07F42E">
      <w:pPr>
        <w:ind w:firstLine="2730" w:firstLineChars="1300"/>
      </w:pPr>
      <w:r>
        <w:object>
          <v:shape id="_x0000_i1028" o:spt="75" type="#_x0000_t75" style="height:145.5pt;width:152.3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Prism9.Document" ShapeID="_x0000_i1028" DrawAspect="Content" ObjectID="_1468075728" r:id="rId11">
            <o:LockedField>false</o:LockedField>
          </o:OLEObject>
        </w:object>
      </w:r>
    </w:p>
    <w:p w14:paraId="2ACF4565">
      <w:pPr>
        <w:numPr>
          <w:ilvl w:val="0"/>
          <w:numId w:val="0"/>
        </w:numPr>
        <w:rPr>
          <w:rFonts w:hint="default" w:ascii="Times New Roman" w:hAnsi="Times New Roman" w:cs="Times New Roman"/>
          <w:bCs/>
          <w:color w:val="000000"/>
          <w:sz w:val="24"/>
          <w:lang w:val="en-US" w:eastAsia="zh-CN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5.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 xml:space="preserve">The proportion of CD4+/CD8+cells in the spleen of SCI mice in different groups. </w:t>
      </w:r>
      <w:r>
        <w:rPr>
          <w:rFonts w:hint="eastAsia" w:ascii="Times New Roman" w:hAnsi="Times New Roman" w:cs="Times New Roman"/>
          <w:bCs/>
          <w:color w:val="000000"/>
          <w:sz w:val="24"/>
          <w:lang w:val="en-US" w:eastAsia="zh-CN"/>
        </w:rPr>
        <w:t xml:space="preserve">Values were represented as means </w:t>
      </w:r>
      <w:r>
        <w:rPr>
          <w:rFonts w:hint="default" w:ascii="Times New Roman" w:hAnsi="Times New Roman" w:cs="Times New Roman"/>
          <w:bCs/>
          <w:color w:val="000000"/>
          <w:sz w:val="24"/>
          <w:lang w:val="en-US" w:eastAsia="zh-CN"/>
        </w:rPr>
        <w:t>±</w:t>
      </w:r>
      <w:r>
        <w:rPr>
          <w:rFonts w:hint="eastAsia" w:ascii="Times New Roman" w:hAnsi="Times New Roman" w:cs="Times New Roman"/>
          <w:bCs/>
          <w:color w:val="000000"/>
          <w:sz w:val="24"/>
          <w:lang w:val="en-US" w:eastAsia="zh-CN"/>
        </w:rPr>
        <w:t xml:space="preserve"> SD of triplicate. Bars with different characteristics are statisically different at the </w:t>
      </w:r>
      <w:r>
        <w:rPr>
          <w:rFonts w:hint="eastAsia" w:ascii="Times New Roman" w:hAnsi="Times New Roman" w:cs="Times New Roman"/>
          <w:bCs/>
          <w:i/>
          <w:iCs/>
          <w:color w:val="000000"/>
          <w:sz w:val="24"/>
          <w:lang w:val="en-US" w:eastAsia="zh-CN"/>
        </w:rPr>
        <w:t>P</w:t>
      </w:r>
      <w:r>
        <w:rPr>
          <w:rFonts w:hint="default" w:ascii="Times New Roman" w:hAnsi="Times New Roman" w:eastAsia="微软雅黑" w:cs="Times New Roman"/>
          <w:bCs/>
          <w:color w:val="000000"/>
          <w:sz w:val="24"/>
          <w:lang w:val="en-US" w:eastAsia="zh-CN"/>
        </w:rPr>
        <w:t>&lt;</w:t>
      </w:r>
      <w:r>
        <w:rPr>
          <w:rFonts w:hint="eastAsia" w:ascii="Times New Roman" w:hAnsi="Times New Roman" w:cs="Times New Roman"/>
          <w:bCs/>
          <w:color w:val="000000"/>
          <w:sz w:val="24"/>
          <w:lang w:val="en-US" w:eastAsia="zh-CN"/>
        </w:rPr>
        <w:t>0.05 level.</w:t>
      </w:r>
    </w:p>
    <w:p w14:paraId="241D8BD8">
      <w:pPr>
        <w:rPr>
          <w:rFonts w:hint="default" w:eastAsiaTheme="minorEastAsia"/>
          <w:lang w:val="en-US" w:eastAsia="zh-CN"/>
        </w:rPr>
      </w:pPr>
    </w:p>
    <w:p w14:paraId="0ACF234F">
      <w:pPr>
        <w:rPr>
          <w:rFonts w:hint="default"/>
          <w:lang w:val="en-US" w:eastAsia="zh-CN"/>
        </w:rPr>
      </w:pPr>
    </w:p>
    <w:p w14:paraId="7B5FC03F">
      <w:pPr>
        <w:rPr>
          <w:rFonts w:hint="default"/>
          <w:lang w:val="en-US" w:eastAsia="zh-CN"/>
        </w:rPr>
      </w:pPr>
    </w:p>
    <w:p w14:paraId="4C38B4D2">
      <w:pPr>
        <w:rPr>
          <w:rFonts w:hint="default"/>
          <w:lang w:val="en-US" w:eastAsia="zh-CN"/>
        </w:rPr>
      </w:pPr>
    </w:p>
    <w:p w14:paraId="0E51F929">
      <w:pPr>
        <w:rPr>
          <w:rFonts w:hint="default"/>
          <w:lang w:val="en-US" w:eastAsia="zh-CN"/>
        </w:rPr>
      </w:pPr>
    </w:p>
    <w:p w14:paraId="11749F3B">
      <w:pPr>
        <w:rPr>
          <w:rFonts w:hint="default"/>
          <w:lang w:val="en-US" w:eastAsia="zh-CN"/>
        </w:rPr>
      </w:pPr>
    </w:p>
    <w:p w14:paraId="77235F67">
      <w:pPr>
        <w:rPr>
          <w:rFonts w:hint="default"/>
          <w:lang w:val="en-US" w:eastAsia="zh-CN"/>
        </w:rPr>
      </w:pPr>
    </w:p>
    <w:p w14:paraId="275E47B7">
      <w:pPr>
        <w:rPr>
          <w:rFonts w:hint="default"/>
          <w:lang w:val="en-US" w:eastAsia="zh-CN"/>
        </w:rPr>
      </w:pPr>
    </w:p>
    <w:p w14:paraId="25B3D3DD">
      <w:pPr>
        <w:rPr>
          <w:rFonts w:hint="default"/>
          <w:lang w:val="en-US" w:eastAsia="zh-CN"/>
        </w:rPr>
      </w:pPr>
    </w:p>
    <w:p w14:paraId="492D842A">
      <w:pPr>
        <w:rPr>
          <w:rFonts w:hint="default"/>
          <w:lang w:val="en-US" w:eastAsia="zh-CN"/>
        </w:rPr>
      </w:pPr>
    </w:p>
    <w:p w14:paraId="0FD21CBF">
      <w:pPr>
        <w:rPr>
          <w:rFonts w:hint="default"/>
          <w:lang w:val="en-US" w:eastAsia="zh-CN"/>
        </w:rPr>
      </w:pPr>
    </w:p>
    <w:p w14:paraId="6C5655D3">
      <w:pPr>
        <w:rPr>
          <w:rFonts w:hint="default"/>
          <w:lang w:val="en-US" w:eastAsia="zh-CN"/>
        </w:rPr>
      </w:pPr>
    </w:p>
    <w:p w14:paraId="762ED9DA">
      <w:pPr>
        <w:rPr>
          <w:rFonts w:hint="default"/>
          <w:lang w:val="en-US" w:eastAsia="zh-CN"/>
        </w:rPr>
      </w:pPr>
    </w:p>
    <w:p w14:paraId="1C74E166">
      <w:pPr>
        <w:rPr>
          <w:rFonts w:hint="default"/>
          <w:lang w:val="en-US" w:eastAsia="zh-CN"/>
        </w:rPr>
      </w:pPr>
    </w:p>
    <w:p w14:paraId="779AA4C4">
      <w:pPr>
        <w:rPr>
          <w:rFonts w:hint="default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262"/>
        <w:tblOverlap w:val="never"/>
        <w:tblW w:w="7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719"/>
        <w:gridCol w:w="739"/>
        <w:gridCol w:w="720"/>
        <w:gridCol w:w="720"/>
        <w:gridCol w:w="720"/>
        <w:gridCol w:w="740"/>
        <w:gridCol w:w="720"/>
        <w:gridCol w:w="740"/>
      </w:tblGrid>
      <w:tr w14:paraId="1A9C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62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vAlign w:val="top"/>
          </w:tcPr>
          <w:p w14:paraId="0CFB2BD9">
            <w:pPr>
              <w:pStyle w:val="4"/>
              <w:keepNext w:val="0"/>
              <w:keepLines w:val="0"/>
              <w:widowControl/>
              <w:suppressLineNumbers w:val="0"/>
            </w:pPr>
          </w:p>
        </w:tc>
        <w:tc>
          <w:tcPr>
            <w:tcW w:w="1458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DC335A9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RBC ×10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12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/L</w:t>
            </w:r>
          </w:p>
        </w:tc>
        <w:tc>
          <w:tcPr>
            <w:tcW w:w="1440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FBF2BA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HGB g/L</w:t>
            </w:r>
          </w:p>
        </w:tc>
        <w:tc>
          <w:tcPr>
            <w:tcW w:w="1460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3314E1B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WBC ×10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/L</w:t>
            </w:r>
          </w:p>
        </w:tc>
        <w:tc>
          <w:tcPr>
            <w:tcW w:w="1460" w:type="dxa"/>
            <w:gridSpan w:val="2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4368C81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PLT ×10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/L</w:t>
            </w:r>
          </w:p>
        </w:tc>
      </w:tr>
      <w:tr w14:paraId="65AE0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62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top w:w="36" w:type="dxa"/>
              <w:left w:w="72" w:type="dxa"/>
              <w:bottom w:w="36" w:type="dxa"/>
              <w:right w:w="72" w:type="dxa"/>
            </w:tcMar>
            <w:vAlign w:val="top"/>
          </w:tcPr>
          <w:p w14:paraId="14246E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4CBE928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3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54DFA37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C998965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604BA9C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E3025CD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8F353FE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01E5A5D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7EBBEA8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</w:p>
        </w:tc>
      </w:tr>
      <w:tr w14:paraId="7485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59BB76E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Sham</w:t>
            </w:r>
          </w:p>
        </w:tc>
        <w:tc>
          <w:tcPr>
            <w:tcW w:w="71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2AB6930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10.14</w:t>
            </w:r>
          </w:p>
        </w:tc>
        <w:tc>
          <w:tcPr>
            <w:tcW w:w="73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AEA25D0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2B0737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119.4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F6229C8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166.56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C561FEB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7.03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E27A0FB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1.91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025C8E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539.6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4ED876D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152.42</w:t>
            </w:r>
          </w:p>
        </w:tc>
      </w:tr>
      <w:tr w14:paraId="3AF2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F46280E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SCI</w:t>
            </w:r>
          </w:p>
        </w:tc>
        <w:tc>
          <w:tcPr>
            <w:tcW w:w="71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5C1D12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8.44</w:t>
            </w:r>
          </w:p>
        </w:tc>
        <w:tc>
          <w:tcPr>
            <w:tcW w:w="73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B636D4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6E62EB0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C94480D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19.99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0D6A729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D9EBA24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B15B7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621.8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DBA5DC1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167.15</w:t>
            </w:r>
          </w:p>
        </w:tc>
      </w:tr>
      <w:tr w14:paraId="1726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4E5B93B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SCI+MPSS</w:t>
            </w:r>
          </w:p>
        </w:tc>
        <w:tc>
          <w:tcPr>
            <w:tcW w:w="71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A2B7D5F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10.90</w:t>
            </w:r>
          </w:p>
        </w:tc>
        <w:tc>
          <w:tcPr>
            <w:tcW w:w="73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CD89365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2D4995E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156.2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02198E7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13.46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455A348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4.40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A78C77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5AECEAD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797.8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98CC3C">
            <w:pPr>
              <w:pStyle w:val="4"/>
              <w:keepNext w:val="0"/>
              <w:keepLines w:val="0"/>
              <w:widowControl/>
              <w:suppressLineNumbers w:val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165.71</w:t>
            </w:r>
          </w:p>
        </w:tc>
      </w:tr>
      <w:tr w14:paraId="6D1A0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46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5B64E30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SCI+LNT-UsSeNPs</w:t>
            </w:r>
          </w:p>
        </w:tc>
        <w:tc>
          <w:tcPr>
            <w:tcW w:w="71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81412C9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8.41</w:t>
            </w:r>
          </w:p>
        </w:tc>
        <w:tc>
          <w:tcPr>
            <w:tcW w:w="739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A31770F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9C98237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5B55E2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13.35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4531690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69A867B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72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945F849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669</w:t>
            </w:r>
          </w:p>
        </w:tc>
        <w:tc>
          <w:tcPr>
            <w:tcW w:w="740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C62075C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</w:pPr>
            <w:r>
              <w:rPr>
                <w:rFonts w:hint="default" w:ascii="Arial" w:hAnsi="Arial" w:cs="Arial"/>
                <w:b/>
                <w:bCs/>
                <w:color w:val="000000"/>
                <w:sz w:val="16"/>
                <w:szCs w:val="16"/>
              </w:rPr>
              <w:t>140.47</w:t>
            </w:r>
          </w:p>
        </w:tc>
      </w:tr>
    </w:tbl>
    <w:p w14:paraId="635B676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D1E1DF">
      <w:pP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>Table S1</w:t>
      </w:r>
      <w:bookmarkStart w:id="0" w:name="_GoBack"/>
      <w:bookmarkEnd w:id="0"/>
      <w:r>
        <w:rPr>
          <w:rFonts w:hint="eastAsia"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Blood routine analyzer was used to analyze the blood routine results of SCI mice in each group.</w:t>
      </w:r>
    </w:p>
    <w:p w14:paraId="185B356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00000000"/>
    <w:rsid w:val="00264E69"/>
    <w:rsid w:val="026A305B"/>
    <w:rsid w:val="06EB2367"/>
    <w:rsid w:val="085C4D2C"/>
    <w:rsid w:val="0FE60171"/>
    <w:rsid w:val="10D62408"/>
    <w:rsid w:val="13492260"/>
    <w:rsid w:val="16D37DC7"/>
    <w:rsid w:val="18B5254D"/>
    <w:rsid w:val="1B682C00"/>
    <w:rsid w:val="1BCF26BF"/>
    <w:rsid w:val="1E2B49EF"/>
    <w:rsid w:val="1ECE2E43"/>
    <w:rsid w:val="237A6618"/>
    <w:rsid w:val="24BF5428"/>
    <w:rsid w:val="28B96515"/>
    <w:rsid w:val="30CE0A81"/>
    <w:rsid w:val="31886E82"/>
    <w:rsid w:val="33DC21C6"/>
    <w:rsid w:val="33ED52DC"/>
    <w:rsid w:val="366774A2"/>
    <w:rsid w:val="379E11AD"/>
    <w:rsid w:val="3A3A2CE3"/>
    <w:rsid w:val="43D30430"/>
    <w:rsid w:val="44FB0560"/>
    <w:rsid w:val="48A32D6B"/>
    <w:rsid w:val="4AA24250"/>
    <w:rsid w:val="4E8822AB"/>
    <w:rsid w:val="50F1639A"/>
    <w:rsid w:val="51B66C9C"/>
    <w:rsid w:val="52462715"/>
    <w:rsid w:val="55B3637A"/>
    <w:rsid w:val="5EAA6348"/>
    <w:rsid w:val="636E4EE7"/>
    <w:rsid w:val="64CD3931"/>
    <w:rsid w:val="6D9D2B09"/>
    <w:rsid w:val="6E400FA1"/>
    <w:rsid w:val="6E8565D5"/>
    <w:rsid w:val="702B6DDB"/>
    <w:rsid w:val="73700E73"/>
    <w:rsid w:val="77756B2D"/>
    <w:rsid w:val="784A63C7"/>
    <w:rsid w:val="7A766D97"/>
    <w:rsid w:val="7BEE6EAE"/>
    <w:rsid w:val="7E977CD1"/>
    <w:rsid w:val="7EA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emf"/><Relationship Id="rId11" Type="http://schemas.openxmlformats.org/officeDocument/2006/relationships/oleObject" Target="embeddings/oleObject4.bin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</Words>
  <Characters>1213</Characters>
  <Lines>0</Lines>
  <Paragraphs>0</Paragraphs>
  <TotalTime>0</TotalTime>
  <ScaleCrop>false</ScaleCrop>
  <LinksUpToDate>false</LinksUpToDate>
  <CharactersWithSpaces>1428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2024-06-18T00:59:00Z</dcterms:created>
  <dc:creator>imlpx</dc:creator>
  <cp:lastModifiedBy>Top Gun•LPX</cp:lastModifiedBy>
  <dcterms:modified xsi:type="dcterms:W3CDTF">2024-10-24T01:26:55Z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D622B08329E047469EB96650F18E6B94_12</vt:lpwstr>
  </property>
</Properties>
</file>