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7DB" w:rsidRPr="00660B13" w:rsidRDefault="00BC57DB" w:rsidP="00BC57DB">
      <w:pPr>
        <w:spacing w:line="360" w:lineRule="auto"/>
        <w:jc w:val="both"/>
        <w:rPr>
          <w:rFonts w:asciiTheme="minorHAnsi" w:eastAsia="Calibri" w:hAnsiTheme="minorHAnsi" w:cstheme="minorHAnsi"/>
          <w:sz w:val="22"/>
          <w:szCs w:val="22"/>
        </w:rPr>
      </w:pPr>
      <w:r w:rsidRPr="00660B13">
        <w:rPr>
          <w:rFonts w:asciiTheme="minorHAnsi" w:eastAsia="Calibri" w:hAnsiTheme="minorHAnsi" w:cstheme="minorHAnsi"/>
          <w:sz w:val="22"/>
          <w:szCs w:val="22"/>
        </w:rPr>
        <w:t xml:space="preserve">Definitions of the variables used in the study (specified in the database): </w:t>
      </w:r>
    </w:p>
    <w:p w:rsidR="00BC57DB" w:rsidRPr="00660B13" w:rsidRDefault="00BC57DB" w:rsidP="00BC57DB">
      <w:pPr>
        <w:spacing w:line="360" w:lineRule="auto"/>
        <w:ind w:left="360"/>
        <w:jc w:val="both"/>
        <w:rPr>
          <w:rFonts w:asciiTheme="minorHAnsi" w:eastAsia="Calibri" w:hAnsiTheme="minorHAnsi" w:cstheme="minorHAnsi"/>
          <w:sz w:val="22"/>
          <w:szCs w:val="22"/>
        </w:rPr>
      </w:pP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Gestational age (GA): </w:t>
      </w:r>
      <w:r w:rsidRPr="00660B13">
        <w:rPr>
          <w:rFonts w:asciiTheme="minorHAnsi" w:eastAsia="Calibri" w:hAnsiTheme="minorHAnsi" w:cstheme="minorHAnsi"/>
          <w:color w:val="312E25"/>
          <w:sz w:val="22"/>
          <w:szCs w:val="22"/>
          <w:highlight w:val="white"/>
        </w:rPr>
        <w:t xml:space="preserve">Calculated from the first day of the last </w:t>
      </w:r>
      <w:r>
        <w:rPr>
          <w:rFonts w:asciiTheme="minorHAnsi" w:eastAsia="Calibri" w:hAnsiTheme="minorHAnsi" w:cstheme="minorHAnsi"/>
          <w:color w:val="312E25"/>
          <w:sz w:val="22"/>
          <w:szCs w:val="22"/>
          <w:highlight w:val="white"/>
        </w:rPr>
        <w:t xml:space="preserve">menstrual </w:t>
      </w:r>
      <w:r w:rsidRPr="00660B13">
        <w:rPr>
          <w:rFonts w:asciiTheme="minorHAnsi" w:eastAsia="Calibri" w:hAnsiTheme="minorHAnsi" w:cstheme="minorHAnsi"/>
          <w:color w:val="312E25"/>
          <w:sz w:val="22"/>
          <w:szCs w:val="22"/>
          <w:highlight w:val="white"/>
        </w:rPr>
        <w:t>period or based on the first-trimester ultrasound.</w:t>
      </w: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Sex</w:t>
      </w: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Birth weight (grams)</w:t>
      </w: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Maternal age (years)</w:t>
      </w: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Antenatal corticosteroids: </w:t>
      </w:r>
      <w:r w:rsidRPr="00660B13">
        <w:rPr>
          <w:rFonts w:asciiTheme="minorHAnsi" w:eastAsia="Calibri" w:hAnsiTheme="minorHAnsi" w:cstheme="minorHAnsi"/>
          <w:color w:val="312E25"/>
          <w:sz w:val="22"/>
          <w:szCs w:val="22"/>
          <w:highlight w:val="white"/>
        </w:rPr>
        <w:t xml:space="preserve">A single course of 2 doses of 12 mg of betamethasone </w:t>
      </w:r>
      <w:proofErr w:type="spellStart"/>
      <w:r w:rsidRPr="00660B13">
        <w:rPr>
          <w:rFonts w:asciiTheme="minorHAnsi" w:eastAsia="Calibri" w:hAnsiTheme="minorHAnsi" w:cstheme="minorHAnsi"/>
          <w:color w:val="312E25"/>
          <w:sz w:val="22"/>
          <w:szCs w:val="22"/>
          <w:highlight w:val="white"/>
        </w:rPr>
        <w:t>i.m</w:t>
      </w:r>
      <w:proofErr w:type="spellEnd"/>
      <w:r w:rsidRPr="00660B13">
        <w:rPr>
          <w:rFonts w:asciiTheme="minorHAnsi" w:eastAsia="Calibri" w:hAnsiTheme="minorHAnsi" w:cstheme="minorHAnsi"/>
          <w:color w:val="312E25"/>
          <w:sz w:val="22"/>
          <w:szCs w:val="22"/>
          <w:highlight w:val="white"/>
        </w:rPr>
        <w:t xml:space="preserve">. 24 h apart or 4 doses of 6 mg of dexamethasone every 12 h. </w:t>
      </w: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Intrauterine growth restriction (IUGR): </w:t>
      </w:r>
      <w:r w:rsidRPr="00660B13">
        <w:rPr>
          <w:rFonts w:asciiTheme="minorHAnsi" w:eastAsia="Calibri" w:hAnsiTheme="minorHAnsi" w:cstheme="minorHAnsi"/>
          <w:color w:val="312E25"/>
          <w:sz w:val="22"/>
          <w:szCs w:val="22"/>
          <w:highlight w:val="white"/>
        </w:rPr>
        <w:t>fetuses with an estimated fetal weight below P3 or between P3 and P10 and with abnormal cerebral-umbilical or uterine artery flow.</w:t>
      </w: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Oligohydramnios: </w:t>
      </w:r>
      <w:r w:rsidRPr="00660B13">
        <w:rPr>
          <w:rFonts w:asciiTheme="minorHAnsi" w:eastAsia="Calibri" w:hAnsiTheme="minorHAnsi" w:cstheme="minorHAnsi"/>
          <w:color w:val="312E25"/>
          <w:sz w:val="22"/>
          <w:szCs w:val="22"/>
        </w:rPr>
        <w:t>Fluid volume below 2 SD or an amniotic fluid index &lt; 5.</w:t>
      </w:r>
    </w:p>
    <w:p w:rsidR="00BC57DB" w:rsidRPr="00660B13" w:rsidRDefault="00BC57DB" w:rsidP="00BC57DB">
      <w:pPr>
        <w:numPr>
          <w:ilvl w:val="0"/>
          <w:numId w:val="2"/>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Clinical chorioamnionitis: Maternal fever of greater than 37.8 °C and two or more of the following criteria: Tachycardia &gt; 100 bpm; fetal tachycardia &gt; 160 bpm, maternal leukocytosis of over 15,000/mm</w:t>
      </w:r>
      <w:r w:rsidRPr="00660B13">
        <w:rPr>
          <w:rFonts w:asciiTheme="minorHAnsi" w:eastAsia="Calibri" w:hAnsiTheme="minorHAnsi" w:cstheme="minorHAnsi"/>
          <w:color w:val="000000"/>
          <w:sz w:val="22"/>
          <w:szCs w:val="22"/>
          <w:vertAlign w:val="superscript"/>
        </w:rPr>
        <w:t>3</w:t>
      </w:r>
      <w:r w:rsidRPr="00660B13">
        <w:rPr>
          <w:rFonts w:asciiTheme="minorHAnsi" w:eastAsia="Calibri" w:hAnsiTheme="minorHAnsi" w:cstheme="minorHAnsi"/>
          <w:color w:val="000000"/>
          <w:sz w:val="22"/>
          <w:szCs w:val="22"/>
        </w:rPr>
        <w:t xml:space="preserve">, irritable uterus, malodorous vaginal discharge. </w:t>
      </w:r>
      <w:r w:rsidRPr="00660B13">
        <w:rPr>
          <w:rFonts w:asciiTheme="minorHAnsi" w:eastAsia="Calibri" w:hAnsiTheme="minorHAnsi" w:cstheme="minorHAnsi"/>
          <w:color w:val="312E25"/>
          <w:sz w:val="22"/>
          <w:szCs w:val="22"/>
          <w:highlight w:val="white"/>
        </w:rPr>
        <w:t xml:space="preserve">In the case of clinical suspicion and inconclusive signs, the pertinent decisions were taken with respect to clinical chorioamnionitis if at least one of the following criteria were met in the amniotic fluid analysis: </w:t>
      </w:r>
      <w:r w:rsidRPr="00660B13">
        <w:rPr>
          <w:rFonts w:asciiTheme="minorHAnsi" w:eastAsia="Calibri" w:hAnsiTheme="minorHAnsi" w:cstheme="minorHAnsi"/>
          <w:color w:val="000000"/>
          <w:sz w:val="22"/>
          <w:szCs w:val="22"/>
        </w:rPr>
        <w:t>glucose &lt; 5 mg/</w:t>
      </w:r>
      <w:proofErr w:type="spellStart"/>
      <w:r w:rsidRPr="00660B13">
        <w:rPr>
          <w:rFonts w:asciiTheme="minorHAnsi" w:eastAsia="Calibri" w:hAnsiTheme="minorHAnsi" w:cstheme="minorHAnsi"/>
          <w:color w:val="000000"/>
          <w:sz w:val="22"/>
          <w:szCs w:val="22"/>
        </w:rPr>
        <w:t>dL</w:t>
      </w:r>
      <w:proofErr w:type="spellEnd"/>
      <w:r w:rsidRPr="00660B13">
        <w:rPr>
          <w:rFonts w:asciiTheme="minorHAnsi" w:eastAsia="Calibri" w:hAnsiTheme="minorHAnsi" w:cstheme="minorHAnsi"/>
          <w:color w:val="000000"/>
          <w:sz w:val="22"/>
          <w:szCs w:val="22"/>
        </w:rPr>
        <w:t xml:space="preserve"> (if &lt; 28 weeks) or glucose &lt; 14 mg/</w:t>
      </w:r>
      <w:proofErr w:type="spellStart"/>
      <w:r w:rsidRPr="00660B13">
        <w:rPr>
          <w:rFonts w:asciiTheme="minorHAnsi" w:eastAsia="Calibri" w:hAnsiTheme="minorHAnsi" w:cstheme="minorHAnsi"/>
          <w:color w:val="000000"/>
          <w:sz w:val="22"/>
          <w:szCs w:val="22"/>
        </w:rPr>
        <w:t>dL</w:t>
      </w:r>
      <w:proofErr w:type="spellEnd"/>
      <w:r w:rsidRPr="00660B13">
        <w:rPr>
          <w:rFonts w:asciiTheme="minorHAnsi" w:eastAsia="Calibri" w:hAnsiTheme="minorHAnsi" w:cstheme="minorHAnsi"/>
          <w:color w:val="000000"/>
          <w:sz w:val="22"/>
          <w:szCs w:val="22"/>
        </w:rPr>
        <w:t xml:space="preserve"> (if ≥ 28 weeks); observation of bacteria in Gram stains.</w:t>
      </w:r>
    </w:p>
    <w:p w:rsidR="00BC57DB" w:rsidRPr="00660B13" w:rsidRDefault="00BC57DB" w:rsidP="00BC57DB">
      <w:pPr>
        <w:numPr>
          <w:ilvl w:val="0"/>
          <w:numId w:val="3"/>
        </w:numPr>
        <w:pBdr>
          <w:top w:val="nil"/>
          <w:left w:val="nil"/>
          <w:bottom w:val="nil"/>
          <w:right w:val="nil"/>
          <w:between w:val="nil"/>
        </w:pBdr>
        <w:shd w:val="clear" w:color="auto" w:fill="FFFFFF"/>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312E25"/>
          <w:sz w:val="22"/>
          <w:szCs w:val="22"/>
        </w:rPr>
        <w:t>Histological chorioamnionitis: Based on the results of the placental pathological analysis.</w:t>
      </w:r>
    </w:p>
    <w:p w:rsidR="00BC57DB" w:rsidRPr="00660B13" w:rsidRDefault="00BC57DB" w:rsidP="00BC57DB">
      <w:pPr>
        <w:numPr>
          <w:ilvl w:val="0"/>
          <w:numId w:val="3"/>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Type of respiratory support received at birth, in the first hour after delivery, and during hospitalization, and the respiratory support required at 36 weeks’ PMA. Need for treatment with surfactant, nitric oxide, corticosteroids, diuretics, caffeine, and bronchodilators during hospitalization. Length of exposure to mechanical ventilation (MV) in days. Respiratory support at time of discharge. Treatments at discharge.</w:t>
      </w:r>
    </w:p>
    <w:p w:rsidR="00BC57DB" w:rsidRPr="00660B13" w:rsidRDefault="00BC57DB" w:rsidP="00BC57DB">
      <w:pPr>
        <w:numPr>
          <w:ilvl w:val="0"/>
          <w:numId w:val="3"/>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Bronchopulmonary dysplasia was graded according to the agreed definition [4], classifying patients who needed high-flow oxygen (more than 2 L/min) as receiving positive pressure and therefore as type 3 BPD. We subdivided the group of patients with type 3 BPD into those who needed an FiO</w:t>
      </w:r>
      <w:r w:rsidRPr="00660B13">
        <w:rPr>
          <w:rFonts w:asciiTheme="minorHAnsi" w:eastAsia="Calibri" w:hAnsiTheme="minorHAnsi" w:cstheme="minorHAnsi"/>
          <w:color w:val="000000"/>
          <w:sz w:val="22"/>
          <w:szCs w:val="22"/>
          <w:vertAlign w:val="subscript"/>
        </w:rPr>
        <w:t>2</w:t>
      </w:r>
      <w:r w:rsidRPr="00660B13">
        <w:rPr>
          <w:rFonts w:asciiTheme="minorHAnsi" w:eastAsia="Calibri" w:hAnsiTheme="minorHAnsi" w:cstheme="minorHAnsi"/>
          <w:color w:val="000000"/>
          <w:sz w:val="22"/>
          <w:szCs w:val="22"/>
        </w:rPr>
        <w:t> &gt; </w:t>
      </w:r>
      <w:r>
        <w:rPr>
          <w:rFonts w:asciiTheme="minorHAnsi" w:eastAsia="Calibri" w:hAnsiTheme="minorHAnsi" w:cstheme="minorHAnsi"/>
          <w:color w:val="000000"/>
          <w:sz w:val="22"/>
          <w:szCs w:val="22"/>
        </w:rPr>
        <w:t>.</w:t>
      </w:r>
      <w:r w:rsidRPr="00660B13">
        <w:rPr>
          <w:rFonts w:asciiTheme="minorHAnsi" w:eastAsia="Calibri" w:hAnsiTheme="minorHAnsi" w:cstheme="minorHAnsi"/>
          <w:color w:val="000000"/>
          <w:sz w:val="22"/>
          <w:szCs w:val="22"/>
        </w:rPr>
        <w:t>30 at 36 weeks’ PMA and compared these with patients who received positive-pressure respiratory support but at an FiO</w:t>
      </w:r>
      <w:r w:rsidRPr="00660B13">
        <w:rPr>
          <w:rFonts w:asciiTheme="minorHAnsi" w:eastAsia="Calibri" w:hAnsiTheme="minorHAnsi" w:cstheme="minorHAnsi"/>
          <w:color w:val="000000"/>
          <w:sz w:val="22"/>
          <w:szCs w:val="22"/>
          <w:vertAlign w:val="subscript"/>
        </w:rPr>
        <w:t>2</w:t>
      </w:r>
      <w:r w:rsidRPr="00660B13">
        <w:rPr>
          <w:rFonts w:asciiTheme="minorHAnsi" w:eastAsia="Calibri" w:hAnsiTheme="minorHAnsi" w:cstheme="minorHAnsi"/>
          <w:color w:val="000000"/>
          <w:sz w:val="22"/>
          <w:szCs w:val="22"/>
        </w:rPr>
        <w:t> &lt; </w:t>
      </w:r>
      <w:r>
        <w:rPr>
          <w:rFonts w:asciiTheme="minorHAnsi" w:eastAsia="Calibri" w:hAnsiTheme="minorHAnsi" w:cstheme="minorHAnsi"/>
          <w:color w:val="000000"/>
          <w:sz w:val="22"/>
          <w:szCs w:val="22"/>
        </w:rPr>
        <w:t>.</w:t>
      </w:r>
      <w:r w:rsidRPr="00660B13">
        <w:rPr>
          <w:rFonts w:asciiTheme="minorHAnsi" w:eastAsia="Calibri" w:hAnsiTheme="minorHAnsi" w:cstheme="minorHAnsi"/>
          <w:color w:val="000000"/>
          <w:sz w:val="22"/>
          <w:szCs w:val="22"/>
        </w:rPr>
        <w:t>30.</w:t>
      </w:r>
    </w:p>
    <w:p w:rsidR="00BC57DB" w:rsidRPr="00660B13" w:rsidRDefault="00BC57DB" w:rsidP="00BC57DB">
      <w:pPr>
        <w:pBdr>
          <w:top w:val="nil"/>
          <w:left w:val="nil"/>
          <w:bottom w:val="nil"/>
          <w:right w:val="nil"/>
          <w:between w:val="nil"/>
        </w:pBdr>
        <w:spacing w:before="280" w:after="280"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We also analyzed morbidity associated with BPD. </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lastRenderedPageBreak/>
        <w:t xml:space="preserve">Patent ductus arteriosus (PDA): </w:t>
      </w:r>
      <w:r w:rsidRPr="00660B13">
        <w:rPr>
          <w:rFonts w:asciiTheme="minorHAnsi" w:eastAsia="Calibri" w:hAnsiTheme="minorHAnsi" w:cstheme="minorHAnsi"/>
          <w:color w:val="312E25"/>
          <w:sz w:val="22"/>
          <w:szCs w:val="22"/>
          <w:highlight w:val="white"/>
        </w:rPr>
        <w:t>PDA Doppler diameter of 1.5–2 mm. L</w:t>
      </w:r>
      <w:r>
        <w:rPr>
          <w:rFonts w:asciiTheme="minorHAnsi" w:eastAsia="Calibri" w:hAnsiTheme="minorHAnsi" w:cstheme="minorHAnsi"/>
          <w:color w:val="312E25"/>
          <w:sz w:val="22"/>
          <w:szCs w:val="22"/>
          <w:highlight w:val="white"/>
        </w:rPr>
        <w:t>eft atrium</w:t>
      </w:r>
      <w:r w:rsidRPr="00660B13">
        <w:rPr>
          <w:rFonts w:asciiTheme="minorHAnsi" w:eastAsia="Calibri" w:hAnsiTheme="minorHAnsi" w:cstheme="minorHAnsi"/>
          <w:color w:val="312E25"/>
          <w:sz w:val="22"/>
          <w:szCs w:val="22"/>
          <w:highlight w:val="white"/>
        </w:rPr>
        <w:t>/Ao</w:t>
      </w:r>
      <w:r>
        <w:rPr>
          <w:rFonts w:asciiTheme="minorHAnsi" w:eastAsia="Calibri" w:hAnsiTheme="minorHAnsi" w:cstheme="minorHAnsi"/>
          <w:color w:val="312E25"/>
          <w:sz w:val="22"/>
          <w:szCs w:val="22"/>
          <w:highlight w:val="white"/>
        </w:rPr>
        <w:t xml:space="preserve">rta </w:t>
      </w:r>
      <w:r w:rsidRPr="00660B13">
        <w:rPr>
          <w:rFonts w:asciiTheme="minorHAnsi" w:eastAsia="Calibri" w:hAnsiTheme="minorHAnsi" w:cstheme="minorHAnsi"/>
          <w:color w:val="312E25"/>
          <w:sz w:val="22"/>
          <w:szCs w:val="22"/>
          <w:highlight w:val="white"/>
        </w:rPr>
        <w:t>&gt; 1.4.</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Nosocomial sepsis. </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Nosocomial pneumonia. </w:t>
      </w:r>
      <w:r w:rsidRPr="00660B13">
        <w:rPr>
          <w:rFonts w:asciiTheme="minorHAnsi" w:eastAsia="Calibri" w:hAnsiTheme="minorHAnsi" w:cstheme="minorHAnsi"/>
          <w:color w:val="312E25"/>
          <w:sz w:val="22"/>
          <w:szCs w:val="22"/>
          <w:highlight w:val="white"/>
        </w:rPr>
        <w:t>Increased need for oxygen or ventilation, pathological X-ray and three or more of the following signs: temperature instability, change in secretions, tachypnea, altered heart rate, cough, wheezing, or leukocytosis.</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Ectopic air (pneumothorax or interstitial emphysema).</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Pulmonary hypertension: </w:t>
      </w:r>
      <w:r w:rsidRPr="00660B13">
        <w:rPr>
          <w:rFonts w:asciiTheme="minorHAnsi" w:eastAsia="Calibri" w:hAnsiTheme="minorHAnsi" w:cstheme="minorHAnsi"/>
          <w:color w:val="312E25"/>
          <w:sz w:val="22"/>
          <w:szCs w:val="22"/>
          <w:highlight w:val="white"/>
        </w:rPr>
        <w:t>Right ventricular systolic pressure (RVSP) &gt; 40 mmHg; RVSP/SP &gt; 0.5; bidirectional or right-to-left shunt; any grade of IVS flattening.</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Enterocolitis requiring surgery.</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Intraventricular hemorrhage: Volpe classification </w:t>
      </w:r>
      <w:r w:rsidRPr="00660B13">
        <w:rPr>
          <w:rFonts w:asciiTheme="minorHAnsi" w:eastAsia="Calibri" w:hAnsiTheme="minorHAnsi" w:cstheme="minorHAnsi"/>
          <w:color w:val="131413"/>
          <w:sz w:val="22"/>
          <w:szCs w:val="22"/>
        </w:rPr>
        <w:t xml:space="preserve">[5]. </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Hemorrhagic stroke</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Periventricular leukomalacia (modified from De Vries [6]), considering grades greater than 1. </w:t>
      </w:r>
    </w:p>
    <w:p w:rsidR="00BC57DB" w:rsidRPr="00660B13"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 xml:space="preserve">Hydrocephalus requiring a shunt. </w:t>
      </w:r>
    </w:p>
    <w:p w:rsidR="00BC57DB" w:rsidRDefault="00BC57DB" w:rsidP="00BC57DB">
      <w:pPr>
        <w:numPr>
          <w:ilvl w:val="0"/>
          <w:numId w:val="1"/>
        </w:num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r w:rsidRPr="00660B13">
        <w:rPr>
          <w:rFonts w:asciiTheme="minorHAnsi" w:eastAsia="Calibri" w:hAnsiTheme="minorHAnsi" w:cstheme="minorHAnsi"/>
          <w:color w:val="000000"/>
          <w:sz w:val="22"/>
          <w:szCs w:val="22"/>
        </w:rPr>
        <w:t>Retinopathy of prematurity, international classification (ICROP) [7]</w:t>
      </w:r>
    </w:p>
    <w:p w:rsidR="00BC57DB" w:rsidRPr="00660B13" w:rsidRDefault="00BC57DB" w:rsidP="00BC57DB">
      <w:pPr>
        <w:pBdr>
          <w:top w:val="nil"/>
          <w:left w:val="nil"/>
          <w:bottom w:val="nil"/>
          <w:right w:val="nil"/>
          <w:between w:val="nil"/>
        </w:pBdr>
        <w:spacing w:line="360" w:lineRule="auto"/>
        <w:jc w:val="both"/>
        <w:rPr>
          <w:rFonts w:asciiTheme="minorHAnsi" w:eastAsia="Calibri" w:hAnsiTheme="minorHAnsi" w:cstheme="minorHAnsi"/>
          <w:color w:val="000000"/>
          <w:sz w:val="22"/>
          <w:szCs w:val="22"/>
        </w:rPr>
      </w:pPr>
    </w:p>
    <w:p w:rsidR="00BC57DB" w:rsidRPr="00CA70FB" w:rsidRDefault="00BC57DB" w:rsidP="00BC57DB">
      <w:pPr>
        <w:spacing w:line="360" w:lineRule="auto"/>
        <w:rPr>
          <w:rFonts w:asciiTheme="minorHAnsi" w:hAnsiTheme="minorHAnsi" w:cstheme="minorHAnsi"/>
          <w:sz w:val="20"/>
          <w:szCs w:val="20"/>
        </w:rPr>
      </w:pPr>
      <w:r w:rsidRPr="00CA70FB">
        <w:rPr>
          <w:rFonts w:asciiTheme="minorHAnsi" w:hAnsiTheme="minorHAnsi" w:cstheme="minorHAnsi"/>
          <w:sz w:val="20"/>
          <w:szCs w:val="20"/>
        </w:rPr>
        <w:t xml:space="preserve">Definitions of the variables used in the study (specified in the database): </w:t>
      </w:r>
    </w:p>
    <w:p w:rsidR="00BC57DB" w:rsidRPr="00CA70FB" w:rsidRDefault="00BC57DB" w:rsidP="00BC57DB">
      <w:pPr>
        <w:spacing w:line="360" w:lineRule="auto"/>
        <w:ind w:left="360"/>
        <w:rPr>
          <w:rFonts w:asciiTheme="minorHAnsi" w:hAnsiTheme="minorHAnsi" w:cstheme="minorHAnsi"/>
          <w:sz w:val="20"/>
          <w:szCs w:val="20"/>
        </w:rPr>
      </w:pPr>
    </w:p>
    <w:p w:rsidR="00BC57DB" w:rsidRPr="00CA70FB" w:rsidRDefault="00BC57DB" w:rsidP="00BC57DB">
      <w:pPr>
        <w:pStyle w:val="Prrafodelista"/>
        <w:numPr>
          <w:ilvl w:val="0"/>
          <w:numId w:val="4"/>
        </w:numPr>
        <w:spacing w:line="360" w:lineRule="auto"/>
        <w:rPr>
          <w:rFonts w:cstheme="minorHAnsi"/>
          <w:sz w:val="20"/>
          <w:szCs w:val="20"/>
          <w:lang w:val="en-US"/>
        </w:rPr>
      </w:pPr>
      <w:r w:rsidRPr="00CA70FB">
        <w:rPr>
          <w:rFonts w:cstheme="minorHAnsi"/>
          <w:sz w:val="20"/>
          <w:szCs w:val="20"/>
          <w:lang w:val="en-US"/>
        </w:rPr>
        <w:t xml:space="preserve">Gestational age (GA): </w:t>
      </w:r>
      <w:r w:rsidRPr="00CA70FB">
        <w:rPr>
          <w:rFonts w:cstheme="minorHAnsi"/>
          <w:color w:val="312E25"/>
          <w:sz w:val="20"/>
          <w:szCs w:val="20"/>
          <w:shd w:val="clear" w:color="auto" w:fill="FFFFFF"/>
          <w:lang w:val="en-US"/>
        </w:rPr>
        <w:t>Calculated from the first day of the last period or based on the first-trimester ultrasound.</w:t>
      </w:r>
    </w:p>
    <w:p w:rsidR="00BC57DB" w:rsidRPr="00CA70FB" w:rsidRDefault="00BC57DB" w:rsidP="00BC57DB">
      <w:pPr>
        <w:pStyle w:val="Prrafodelista"/>
        <w:numPr>
          <w:ilvl w:val="0"/>
          <w:numId w:val="4"/>
        </w:numPr>
        <w:spacing w:line="360" w:lineRule="auto"/>
        <w:rPr>
          <w:rFonts w:cstheme="minorHAnsi"/>
          <w:sz w:val="20"/>
          <w:szCs w:val="20"/>
          <w:lang w:val="en-US"/>
        </w:rPr>
      </w:pPr>
      <w:r w:rsidRPr="00CA70FB">
        <w:rPr>
          <w:rFonts w:cstheme="minorHAnsi"/>
          <w:sz w:val="20"/>
          <w:szCs w:val="20"/>
          <w:lang w:val="en-US"/>
        </w:rPr>
        <w:t>Sex</w:t>
      </w:r>
    </w:p>
    <w:p w:rsidR="00BC57DB" w:rsidRPr="00CA70FB" w:rsidRDefault="00BC57DB" w:rsidP="00BC57DB">
      <w:pPr>
        <w:pStyle w:val="Prrafodelista"/>
        <w:numPr>
          <w:ilvl w:val="0"/>
          <w:numId w:val="4"/>
        </w:numPr>
        <w:spacing w:line="360" w:lineRule="auto"/>
        <w:rPr>
          <w:rFonts w:cstheme="minorHAnsi"/>
          <w:sz w:val="20"/>
          <w:szCs w:val="20"/>
          <w:lang w:val="en-US"/>
        </w:rPr>
      </w:pPr>
      <w:r w:rsidRPr="00CA70FB">
        <w:rPr>
          <w:rFonts w:cstheme="minorHAnsi"/>
          <w:sz w:val="20"/>
          <w:szCs w:val="20"/>
          <w:lang w:val="en-US"/>
        </w:rPr>
        <w:t>Birth weight (grams)</w:t>
      </w:r>
    </w:p>
    <w:p w:rsidR="00BC57DB" w:rsidRPr="00CA70FB" w:rsidRDefault="00BC57DB" w:rsidP="00BC57DB">
      <w:pPr>
        <w:pStyle w:val="Prrafodelista"/>
        <w:numPr>
          <w:ilvl w:val="0"/>
          <w:numId w:val="4"/>
        </w:numPr>
        <w:spacing w:line="360" w:lineRule="auto"/>
        <w:rPr>
          <w:rFonts w:cstheme="minorHAnsi"/>
          <w:sz w:val="20"/>
          <w:szCs w:val="20"/>
          <w:lang w:val="en-US"/>
        </w:rPr>
      </w:pPr>
      <w:r w:rsidRPr="00CA70FB">
        <w:rPr>
          <w:rFonts w:cstheme="minorHAnsi"/>
          <w:sz w:val="20"/>
          <w:szCs w:val="20"/>
          <w:lang w:val="en-US"/>
        </w:rPr>
        <w:t>Maternal age (years)</w:t>
      </w:r>
    </w:p>
    <w:p w:rsidR="00BC57DB" w:rsidRPr="00CA70FB" w:rsidRDefault="00BC57DB" w:rsidP="00BC57DB">
      <w:pPr>
        <w:pStyle w:val="Prrafodelista"/>
        <w:numPr>
          <w:ilvl w:val="0"/>
          <w:numId w:val="4"/>
        </w:numPr>
        <w:spacing w:line="360" w:lineRule="auto"/>
        <w:rPr>
          <w:rFonts w:cstheme="minorHAnsi"/>
          <w:sz w:val="20"/>
          <w:szCs w:val="20"/>
          <w:lang w:val="en-US"/>
        </w:rPr>
      </w:pPr>
      <w:r>
        <w:rPr>
          <w:rFonts w:cstheme="minorHAnsi"/>
          <w:sz w:val="20"/>
          <w:szCs w:val="20"/>
          <w:lang w:val="en-US"/>
        </w:rPr>
        <w:t>Antenatal</w:t>
      </w:r>
      <w:r w:rsidRPr="00CA70FB">
        <w:rPr>
          <w:rFonts w:cstheme="minorHAnsi"/>
          <w:sz w:val="20"/>
          <w:szCs w:val="20"/>
          <w:lang w:val="en-US"/>
        </w:rPr>
        <w:t xml:space="preserve"> corticosteroids: </w:t>
      </w:r>
      <w:r w:rsidRPr="00CA70FB">
        <w:rPr>
          <w:rFonts w:cstheme="minorHAnsi"/>
          <w:color w:val="312E25"/>
          <w:sz w:val="20"/>
          <w:szCs w:val="20"/>
          <w:shd w:val="clear" w:color="auto" w:fill="FFFFFF"/>
          <w:lang w:val="en-US"/>
        </w:rPr>
        <w:t xml:space="preserve">A single course of 2 doses of 12 mg of betamethasone </w:t>
      </w:r>
      <w:proofErr w:type="spellStart"/>
      <w:r w:rsidRPr="00CA70FB">
        <w:rPr>
          <w:rFonts w:cstheme="minorHAnsi"/>
          <w:color w:val="312E25"/>
          <w:sz w:val="20"/>
          <w:szCs w:val="20"/>
          <w:shd w:val="clear" w:color="auto" w:fill="FFFFFF"/>
          <w:lang w:val="en-US"/>
        </w:rPr>
        <w:t>i.m</w:t>
      </w:r>
      <w:proofErr w:type="spellEnd"/>
      <w:r w:rsidRPr="00CA70FB">
        <w:rPr>
          <w:rFonts w:cstheme="minorHAnsi"/>
          <w:color w:val="312E25"/>
          <w:sz w:val="20"/>
          <w:szCs w:val="20"/>
          <w:shd w:val="clear" w:color="auto" w:fill="FFFFFF"/>
          <w:lang w:val="en-US"/>
        </w:rPr>
        <w:t xml:space="preserve">. 24 h apart or 4 doses of 6 mg of dexamethasone every 12 h. </w:t>
      </w:r>
    </w:p>
    <w:p w:rsidR="00BC57DB" w:rsidRPr="00CA70FB" w:rsidRDefault="00BC57DB" w:rsidP="00BC57DB">
      <w:pPr>
        <w:pStyle w:val="Prrafodelista"/>
        <w:numPr>
          <w:ilvl w:val="0"/>
          <w:numId w:val="4"/>
        </w:numPr>
        <w:spacing w:line="360" w:lineRule="auto"/>
        <w:rPr>
          <w:rFonts w:cstheme="minorHAnsi"/>
          <w:sz w:val="20"/>
          <w:szCs w:val="20"/>
          <w:lang w:val="en-US"/>
        </w:rPr>
      </w:pPr>
      <w:r w:rsidRPr="00CA70FB">
        <w:rPr>
          <w:rFonts w:cstheme="minorHAnsi"/>
          <w:sz w:val="20"/>
          <w:szCs w:val="20"/>
          <w:lang w:val="en-US"/>
        </w:rPr>
        <w:t xml:space="preserve">Intrauterine growth restriction (IUGR): </w:t>
      </w:r>
      <w:r w:rsidRPr="00CA70FB">
        <w:rPr>
          <w:rFonts w:cstheme="minorHAnsi"/>
          <w:color w:val="312E25"/>
          <w:sz w:val="20"/>
          <w:szCs w:val="20"/>
          <w:shd w:val="clear" w:color="auto" w:fill="FFFFFF"/>
          <w:lang w:val="en-US"/>
        </w:rPr>
        <w:t xml:space="preserve">fetuses </w:t>
      </w:r>
      <w:r>
        <w:rPr>
          <w:rFonts w:cstheme="minorHAnsi"/>
          <w:color w:val="312E25"/>
          <w:sz w:val="20"/>
          <w:szCs w:val="20"/>
          <w:shd w:val="clear" w:color="auto" w:fill="FFFFFF"/>
          <w:lang w:val="en-US"/>
        </w:rPr>
        <w:t xml:space="preserve">with an estimated fetal weight </w:t>
      </w:r>
      <w:r w:rsidRPr="00CA70FB">
        <w:rPr>
          <w:rFonts w:cstheme="minorHAnsi"/>
          <w:color w:val="312E25"/>
          <w:sz w:val="20"/>
          <w:szCs w:val="20"/>
          <w:shd w:val="clear" w:color="auto" w:fill="FFFFFF"/>
          <w:lang w:val="en-US"/>
        </w:rPr>
        <w:t xml:space="preserve">below P3 or between P3 and P10 </w:t>
      </w:r>
      <w:r>
        <w:rPr>
          <w:rFonts w:cstheme="minorHAnsi"/>
          <w:color w:val="312E25"/>
          <w:sz w:val="20"/>
          <w:szCs w:val="20"/>
          <w:shd w:val="clear" w:color="auto" w:fill="FFFFFF"/>
          <w:lang w:val="en-US"/>
        </w:rPr>
        <w:t xml:space="preserve">and </w:t>
      </w:r>
      <w:r w:rsidRPr="00CA70FB">
        <w:rPr>
          <w:rFonts w:cstheme="minorHAnsi"/>
          <w:color w:val="312E25"/>
          <w:sz w:val="20"/>
          <w:szCs w:val="20"/>
          <w:shd w:val="clear" w:color="auto" w:fill="FFFFFF"/>
          <w:lang w:val="en-US"/>
        </w:rPr>
        <w:t>with abnormal cerebr</w:t>
      </w:r>
      <w:r>
        <w:rPr>
          <w:rFonts w:cstheme="minorHAnsi"/>
          <w:color w:val="312E25"/>
          <w:sz w:val="20"/>
          <w:szCs w:val="20"/>
          <w:shd w:val="clear" w:color="auto" w:fill="FFFFFF"/>
          <w:lang w:val="en-US"/>
        </w:rPr>
        <w:t>al</w:t>
      </w:r>
      <w:r w:rsidRPr="00CA70FB">
        <w:rPr>
          <w:rFonts w:cstheme="minorHAnsi"/>
          <w:color w:val="312E25"/>
          <w:sz w:val="20"/>
          <w:szCs w:val="20"/>
          <w:shd w:val="clear" w:color="auto" w:fill="FFFFFF"/>
          <w:lang w:val="en-US"/>
        </w:rPr>
        <w:t>-umbilical or uterine artery flow.</w:t>
      </w:r>
    </w:p>
    <w:p w:rsidR="00BC57DB" w:rsidRPr="00CA70FB" w:rsidRDefault="00BC57DB" w:rsidP="00BC57DB">
      <w:pPr>
        <w:pStyle w:val="Prrafodelista"/>
        <w:numPr>
          <w:ilvl w:val="0"/>
          <w:numId w:val="4"/>
        </w:numPr>
        <w:spacing w:line="360" w:lineRule="auto"/>
        <w:rPr>
          <w:rFonts w:cstheme="minorHAnsi"/>
          <w:color w:val="312E25"/>
          <w:sz w:val="20"/>
          <w:szCs w:val="20"/>
          <w:lang w:val="en-US"/>
        </w:rPr>
      </w:pPr>
      <w:r w:rsidRPr="00CA70FB">
        <w:rPr>
          <w:rFonts w:cstheme="minorHAnsi"/>
          <w:sz w:val="20"/>
          <w:szCs w:val="20"/>
          <w:lang w:val="en-US"/>
        </w:rPr>
        <w:t xml:space="preserve">Oligohydramnios: </w:t>
      </w:r>
      <w:r>
        <w:rPr>
          <w:rFonts w:cstheme="minorHAnsi"/>
          <w:color w:val="312E25"/>
          <w:sz w:val="20"/>
          <w:szCs w:val="20"/>
          <w:lang w:val="en-US"/>
        </w:rPr>
        <w:t xml:space="preserve">Fluid volume below 2 SD </w:t>
      </w:r>
      <w:r w:rsidRPr="00CA70FB">
        <w:rPr>
          <w:rFonts w:cstheme="minorHAnsi"/>
          <w:color w:val="312E25"/>
          <w:sz w:val="20"/>
          <w:szCs w:val="20"/>
          <w:lang w:val="en-US"/>
        </w:rPr>
        <w:t>or an amniotic fluid index &lt; 5.</w:t>
      </w:r>
    </w:p>
    <w:p w:rsidR="00BC57DB" w:rsidRPr="00CA70FB" w:rsidRDefault="00BC57DB" w:rsidP="00BC57DB">
      <w:pPr>
        <w:pStyle w:val="Prrafodelista"/>
        <w:numPr>
          <w:ilvl w:val="0"/>
          <w:numId w:val="4"/>
        </w:numPr>
        <w:spacing w:line="360" w:lineRule="auto"/>
        <w:rPr>
          <w:rFonts w:cstheme="minorHAnsi"/>
          <w:sz w:val="20"/>
          <w:szCs w:val="20"/>
          <w:lang w:val="en-US"/>
        </w:rPr>
      </w:pPr>
      <w:r w:rsidRPr="00CA70FB">
        <w:rPr>
          <w:rFonts w:cstheme="minorHAnsi"/>
          <w:sz w:val="20"/>
          <w:szCs w:val="20"/>
          <w:lang w:val="en-US"/>
        </w:rPr>
        <w:t>Clinical chorioamnionitis: Maternal fever of greater than 37.8 °C and two or more of the following criteria: Tachycardia &gt; 100 bpm; fetal tachycardia &gt; 160 bpm, maternal leukocytosis of over 15,000/mm</w:t>
      </w:r>
      <w:r w:rsidRPr="00CA70FB">
        <w:rPr>
          <w:rFonts w:cstheme="minorHAnsi"/>
          <w:sz w:val="20"/>
          <w:szCs w:val="20"/>
          <w:vertAlign w:val="superscript"/>
          <w:lang w:val="en-US"/>
        </w:rPr>
        <w:t>3</w:t>
      </w:r>
      <w:r w:rsidRPr="00CA70FB">
        <w:rPr>
          <w:rFonts w:cstheme="minorHAnsi"/>
          <w:sz w:val="20"/>
          <w:szCs w:val="20"/>
          <w:lang w:val="en-US"/>
        </w:rPr>
        <w:t xml:space="preserve">, irritable uterus, malodorous vaginal discharge. </w:t>
      </w:r>
      <w:r w:rsidRPr="00CA70FB">
        <w:rPr>
          <w:rFonts w:cstheme="minorHAnsi"/>
          <w:color w:val="312E25"/>
          <w:sz w:val="20"/>
          <w:szCs w:val="20"/>
          <w:shd w:val="clear" w:color="auto" w:fill="FFFFFF"/>
          <w:lang w:val="en-US"/>
        </w:rPr>
        <w:t xml:space="preserve">In the case of clinical suspicion and inconclusive signs, the pertinent decisions were taken with respect to clinical chorioamnionitis if at least one of the following criteria were met in the amniotic fluid analysis: </w:t>
      </w:r>
      <w:r w:rsidRPr="00CA70FB">
        <w:rPr>
          <w:rFonts w:cstheme="minorHAnsi"/>
          <w:color w:val="000000" w:themeColor="text1"/>
          <w:sz w:val="20"/>
          <w:szCs w:val="20"/>
          <w:lang w:val="en-US"/>
        </w:rPr>
        <w:t>glucose &lt; 5 mg/</w:t>
      </w:r>
      <w:proofErr w:type="spellStart"/>
      <w:r w:rsidRPr="00CA70FB">
        <w:rPr>
          <w:rFonts w:cstheme="minorHAnsi"/>
          <w:color w:val="000000" w:themeColor="text1"/>
          <w:sz w:val="20"/>
          <w:szCs w:val="20"/>
          <w:lang w:val="en-US"/>
        </w:rPr>
        <w:t>dL</w:t>
      </w:r>
      <w:proofErr w:type="spellEnd"/>
      <w:r w:rsidRPr="00CA70FB">
        <w:rPr>
          <w:rFonts w:cstheme="minorHAnsi"/>
          <w:color w:val="000000" w:themeColor="text1"/>
          <w:sz w:val="20"/>
          <w:szCs w:val="20"/>
          <w:lang w:val="en-US"/>
        </w:rPr>
        <w:t xml:space="preserve"> (if &lt; 28 weeks) or glucose &lt; 14 mg/</w:t>
      </w:r>
      <w:proofErr w:type="spellStart"/>
      <w:r w:rsidRPr="00CA70FB">
        <w:rPr>
          <w:rFonts w:cstheme="minorHAnsi"/>
          <w:color w:val="000000" w:themeColor="text1"/>
          <w:sz w:val="20"/>
          <w:szCs w:val="20"/>
          <w:lang w:val="en-US"/>
        </w:rPr>
        <w:t>dL</w:t>
      </w:r>
      <w:proofErr w:type="spellEnd"/>
      <w:r w:rsidRPr="00CA70FB">
        <w:rPr>
          <w:rFonts w:cstheme="minorHAnsi"/>
          <w:color w:val="000000" w:themeColor="text1"/>
          <w:sz w:val="20"/>
          <w:szCs w:val="20"/>
          <w:lang w:val="en-US"/>
        </w:rPr>
        <w:t xml:space="preserve"> (if ≥ 28 weeks); observation of bacteria in Gram stains.</w:t>
      </w:r>
    </w:p>
    <w:p w:rsidR="00BC57DB" w:rsidRPr="00CA70FB" w:rsidRDefault="00BC57DB" w:rsidP="00BC57DB">
      <w:pPr>
        <w:pStyle w:val="Prrafodelista"/>
        <w:numPr>
          <w:ilvl w:val="0"/>
          <w:numId w:val="6"/>
        </w:numPr>
        <w:shd w:val="clear" w:color="auto" w:fill="FFFFFF"/>
        <w:spacing w:before="100" w:beforeAutospacing="1" w:after="100" w:afterAutospacing="1" w:line="360" w:lineRule="auto"/>
        <w:rPr>
          <w:rFonts w:cstheme="minorHAnsi"/>
          <w:color w:val="312E25"/>
          <w:sz w:val="20"/>
          <w:szCs w:val="20"/>
          <w:lang w:val="en-US"/>
        </w:rPr>
      </w:pPr>
      <w:r w:rsidRPr="00CA70FB">
        <w:rPr>
          <w:rFonts w:cstheme="minorHAnsi"/>
          <w:color w:val="312E25"/>
          <w:sz w:val="20"/>
          <w:szCs w:val="20"/>
          <w:lang w:val="en-US"/>
        </w:rPr>
        <w:lastRenderedPageBreak/>
        <w:t>Histological chorioamnionitis: Based on the results of the placental pathological analysis.</w:t>
      </w:r>
    </w:p>
    <w:p w:rsidR="00BC57DB" w:rsidRPr="00CA70FB" w:rsidRDefault="00BC57DB" w:rsidP="00BC57DB">
      <w:pPr>
        <w:pStyle w:val="Prrafodelista"/>
        <w:numPr>
          <w:ilvl w:val="0"/>
          <w:numId w:val="6"/>
        </w:numPr>
        <w:spacing w:line="360" w:lineRule="auto"/>
        <w:jc w:val="both"/>
        <w:rPr>
          <w:rFonts w:cstheme="minorHAnsi"/>
          <w:sz w:val="20"/>
          <w:szCs w:val="20"/>
          <w:lang w:val="en-US"/>
        </w:rPr>
      </w:pPr>
      <w:r w:rsidRPr="00CA70FB">
        <w:rPr>
          <w:rFonts w:cstheme="minorHAnsi"/>
          <w:sz w:val="20"/>
          <w:szCs w:val="20"/>
          <w:lang w:val="en-US"/>
        </w:rPr>
        <w:t xml:space="preserve">Type of respiratory support received at birth, in the first hour </w:t>
      </w:r>
      <w:r>
        <w:rPr>
          <w:rFonts w:cstheme="minorHAnsi"/>
          <w:sz w:val="20"/>
          <w:szCs w:val="20"/>
          <w:lang w:val="en-US"/>
        </w:rPr>
        <w:t>after delivery</w:t>
      </w:r>
      <w:r w:rsidRPr="00CA70FB">
        <w:rPr>
          <w:rFonts w:cstheme="minorHAnsi"/>
          <w:sz w:val="20"/>
          <w:szCs w:val="20"/>
          <w:lang w:val="en-US"/>
        </w:rPr>
        <w:t>, and during hospitalization, and the respiratory support required at 36 weeks’</w:t>
      </w:r>
      <w:r>
        <w:rPr>
          <w:rFonts w:cstheme="minorHAnsi"/>
          <w:sz w:val="20"/>
          <w:szCs w:val="20"/>
          <w:lang w:val="en-US"/>
        </w:rPr>
        <w:t xml:space="preserve"> PMA</w:t>
      </w:r>
      <w:r w:rsidRPr="00CA70FB">
        <w:rPr>
          <w:rFonts w:cstheme="minorHAnsi"/>
          <w:sz w:val="20"/>
          <w:szCs w:val="20"/>
          <w:lang w:val="en-US"/>
        </w:rPr>
        <w:t>. Need for treatment with surfactant, nitric oxide, corticosteroids, diuretics, caffeine, and bronchodilators during hospitalization. Length of exposure to mechanical ventilation (MV) in days.</w:t>
      </w:r>
      <w:r>
        <w:rPr>
          <w:rFonts w:cstheme="minorHAnsi"/>
          <w:sz w:val="20"/>
          <w:szCs w:val="20"/>
          <w:lang w:val="en-US"/>
        </w:rPr>
        <w:t xml:space="preserve"> </w:t>
      </w:r>
      <w:r w:rsidRPr="00CA70FB">
        <w:rPr>
          <w:rFonts w:cstheme="minorHAnsi"/>
          <w:sz w:val="20"/>
          <w:szCs w:val="20"/>
          <w:lang w:val="en-US"/>
        </w:rPr>
        <w:t>Respiratory support at time of discharge. Treatment</w:t>
      </w:r>
      <w:r>
        <w:rPr>
          <w:rFonts w:cstheme="minorHAnsi"/>
          <w:sz w:val="20"/>
          <w:szCs w:val="20"/>
          <w:lang w:val="en-US"/>
        </w:rPr>
        <w:t>s</w:t>
      </w:r>
      <w:r w:rsidRPr="00CA70FB">
        <w:rPr>
          <w:rFonts w:cstheme="minorHAnsi"/>
          <w:sz w:val="20"/>
          <w:szCs w:val="20"/>
          <w:lang w:val="en-US"/>
        </w:rPr>
        <w:t xml:space="preserve"> at discharge.</w:t>
      </w:r>
    </w:p>
    <w:p w:rsidR="00BC57DB" w:rsidRPr="00CA70FB" w:rsidRDefault="00BC57DB" w:rsidP="00BC57DB">
      <w:pPr>
        <w:pStyle w:val="Prrafodelista"/>
        <w:numPr>
          <w:ilvl w:val="0"/>
          <w:numId w:val="6"/>
        </w:numPr>
        <w:spacing w:line="360" w:lineRule="auto"/>
        <w:jc w:val="both"/>
        <w:rPr>
          <w:rFonts w:cstheme="minorHAnsi"/>
          <w:sz w:val="20"/>
          <w:szCs w:val="20"/>
          <w:lang w:val="en-US"/>
        </w:rPr>
      </w:pPr>
      <w:r w:rsidRPr="00CA70FB">
        <w:rPr>
          <w:rFonts w:cstheme="minorHAnsi"/>
          <w:sz w:val="20"/>
          <w:szCs w:val="20"/>
          <w:lang w:val="en-US"/>
        </w:rPr>
        <w:t xml:space="preserve">Bronchopulmonary dysplasia was graded according to the agreed definition </w:t>
      </w:r>
      <w:r w:rsidRPr="00CA70FB">
        <w:rPr>
          <w:rFonts w:cstheme="minorHAnsi"/>
          <w:sz w:val="20"/>
          <w:szCs w:val="20"/>
          <w:lang w:val="en-US"/>
        </w:rPr>
        <w:fldChar w:fldCharType="begin"/>
      </w:r>
      <w:r>
        <w:rPr>
          <w:rFonts w:cstheme="minorHAnsi"/>
          <w:sz w:val="20"/>
          <w:szCs w:val="20"/>
          <w:lang w:val="en-US"/>
        </w:rPr>
        <w:instrText xml:space="preserve"> ADDIN EN.CITE &lt;EndNote&gt;&lt;Cite&gt;&lt;Author&gt;Jobe&lt;/Author&gt;&lt;Year&gt;2001&lt;/Year&gt;&lt;IDText&gt;Bronchopulmonary dysplasia&lt;/IDText&gt;&lt;DisplayText&gt;[1]&lt;/DisplayText&gt;&lt;record&gt;&lt;dates&gt;&lt;pub-dates&gt;&lt;date&gt;Jun&lt;/date&gt;&lt;/pub-dates&gt;&lt;year&gt;2001&lt;/year&gt;&lt;/dates&gt;&lt;keywords&gt;&lt;keyword&gt;Bronchopulmonary Dysplasia&lt;/keyword&gt;&lt;keyword&gt;Humans&lt;/keyword&gt;&lt;keyword&gt;Infant, Newborn&lt;/keyword&gt;&lt;keyword&gt;National Institutes of Health (U.S.)&lt;/keyword&gt;&lt;keyword&gt;United States&lt;/keyword&gt;&lt;/keywords&gt;&lt;urls&gt;&lt;related-urls&gt;&lt;url&gt;https://www.ncbi.nlm.nih.gov/pubmed/11401896&lt;/url&gt;&lt;/related-urls&gt;&lt;/urls&gt;&lt;isbn&gt;1073-449X&lt;/isbn&gt;&lt;titles&gt;&lt;title&gt;Bronchopulmonary dysplasia&lt;/title&gt;&lt;secondary-title&gt;Am J Respir Crit Care Med&lt;/secondary-title&gt;&lt;/titles&gt;&lt;pages&gt;1723-9&lt;/pages&gt;&lt;number&gt;7&lt;/number&gt;&lt;contributors&gt;&lt;authors&gt;&lt;author&gt;Jobe, A. H.&lt;/author&gt;&lt;author&gt;Bancalari, E.&lt;/author&gt;&lt;/authors&gt;&lt;/contributors&gt;&lt;language&gt;eng&lt;/language&gt;&lt;added-date format="utc"&gt;1486859699&lt;/added-date&gt;&lt;ref-type name="Journal Article"&gt;17&lt;/ref-type&gt;&lt;rec-number&gt;161&lt;/rec-number&gt;&lt;last-updated-date format="utc"&gt;1486859699&lt;/last-updated-date&gt;&lt;accession-num&gt;11401896&lt;/accession-num&gt;&lt;electronic-resource-num&gt;10.1164/ajrccm.163.7.2011060&lt;/electronic-resource-num&gt;&lt;volume&gt;163&lt;/volume&gt;&lt;/record&gt;&lt;/Cite&gt;&lt;/EndNote&gt;</w:instrText>
      </w:r>
      <w:r w:rsidRPr="00CA70FB">
        <w:rPr>
          <w:rFonts w:cstheme="minorHAnsi"/>
          <w:sz w:val="20"/>
          <w:szCs w:val="20"/>
          <w:lang w:val="en-US"/>
        </w:rPr>
        <w:fldChar w:fldCharType="separate"/>
      </w:r>
      <w:r>
        <w:rPr>
          <w:rFonts w:cstheme="minorHAnsi"/>
          <w:noProof/>
          <w:sz w:val="20"/>
          <w:szCs w:val="20"/>
          <w:lang w:val="en-US"/>
        </w:rPr>
        <w:t>[1]</w:t>
      </w:r>
      <w:r w:rsidRPr="00CA70FB">
        <w:rPr>
          <w:rFonts w:cstheme="minorHAnsi"/>
          <w:sz w:val="20"/>
          <w:szCs w:val="20"/>
          <w:lang w:val="en-US"/>
        </w:rPr>
        <w:fldChar w:fldCharType="end"/>
      </w:r>
      <w:r w:rsidRPr="00CA70FB">
        <w:rPr>
          <w:rFonts w:cstheme="minorHAnsi"/>
          <w:sz w:val="20"/>
          <w:szCs w:val="20"/>
          <w:lang w:val="en-US"/>
        </w:rPr>
        <w:t xml:space="preserve">, classifying patients who needed high-flow oxygen (more than 2 L/min) </w:t>
      </w:r>
      <w:r>
        <w:rPr>
          <w:rFonts w:cstheme="minorHAnsi"/>
          <w:sz w:val="20"/>
          <w:szCs w:val="20"/>
          <w:lang w:val="en-US"/>
        </w:rPr>
        <w:t xml:space="preserve">as receiving </w:t>
      </w:r>
      <w:r w:rsidRPr="00CA70FB">
        <w:rPr>
          <w:rFonts w:cstheme="minorHAnsi"/>
          <w:sz w:val="20"/>
          <w:szCs w:val="20"/>
          <w:lang w:val="en-US"/>
        </w:rPr>
        <w:t xml:space="preserve">positive pressure </w:t>
      </w:r>
      <w:r>
        <w:rPr>
          <w:rFonts w:cstheme="minorHAnsi"/>
          <w:sz w:val="20"/>
          <w:szCs w:val="20"/>
          <w:lang w:val="en-US"/>
        </w:rPr>
        <w:t xml:space="preserve">and therefore as </w:t>
      </w:r>
      <w:r w:rsidRPr="00CA70FB">
        <w:rPr>
          <w:rFonts w:cstheme="minorHAnsi"/>
          <w:sz w:val="20"/>
          <w:szCs w:val="20"/>
          <w:lang w:val="en-US"/>
        </w:rPr>
        <w:t>type 3 BPD. We subdivided the group of patients with type 3 BPD into those who needed an FiO</w:t>
      </w:r>
      <w:r w:rsidRPr="00CA70FB">
        <w:rPr>
          <w:rFonts w:cstheme="minorHAnsi"/>
          <w:sz w:val="20"/>
          <w:szCs w:val="20"/>
          <w:vertAlign w:val="subscript"/>
          <w:lang w:val="en-US"/>
        </w:rPr>
        <w:t>2</w:t>
      </w:r>
      <w:r w:rsidRPr="00CA70FB">
        <w:rPr>
          <w:rFonts w:cstheme="minorHAnsi"/>
          <w:sz w:val="20"/>
          <w:szCs w:val="20"/>
          <w:lang w:val="en-US"/>
        </w:rPr>
        <w:t xml:space="preserve"> &gt; 30% at 36 weeks’ PMA </w:t>
      </w:r>
      <w:r>
        <w:rPr>
          <w:rFonts w:cstheme="minorHAnsi"/>
          <w:sz w:val="20"/>
          <w:szCs w:val="20"/>
          <w:lang w:val="en-US"/>
        </w:rPr>
        <w:t xml:space="preserve">and </w:t>
      </w:r>
      <w:r w:rsidRPr="00CA70FB">
        <w:rPr>
          <w:rFonts w:cstheme="minorHAnsi"/>
          <w:sz w:val="20"/>
          <w:szCs w:val="20"/>
          <w:lang w:val="en-US"/>
        </w:rPr>
        <w:t>compared</w:t>
      </w:r>
      <w:r>
        <w:rPr>
          <w:rFonts w:cstheme="minorHAnsi"/>
          <w:sz w:val="20"/>
          <w:szCs w:val="20"/>
          <w:lang w:val="en-US"/>
        </w:rPr>
        <w:t xml:space="preserve"> these</w:t>
      </w:r>
      <w:r w:rsidRPr="00CA70FB">
        <w:rPr>
          <w:rFonts w:cstheme="minorHAnsi"/>
          <w:sz w:val="20"/>
          <w:szCs w:val="20"/>
          <w:lang w:val="en-US"/>
        </w:rPr>
        <w:t xml:space="preserve"> with patients who received positive-pressure respiratory support but at an FiO</w:t>
      </w:r>
      <w:r w:rsidRPr="00CA70FB">
        <w:rPr>
          <w:rFonts w:cstheme="minorHAnsi"/>
          <w:sz w:val="20"/>
          <w:szCs w:val="20"/>
          <w:vertAlign w:val="subscript"/>
          <w:lang w:val="en-US"/>
        </w:rPr>
        <w:t>2</w:t>
      </w:r>
      <w:r w:rsidRPr="00CA70FB">
        <w:rPr>
          <w:rFonts w:cstheme="minorHAnsi"/>
          <w:sz w:val="20"/>
          <w:szCs w:val="20"/>
          <w:lang w:val="en-US"/>
        </w:rPr>
        <w:t> &lt; 30%</w:t>
      </w:r>
      <w:r>
        <w:rPr>
          <w:rFonts w:cstheme="minorHAnsi"/>
          <w:sz w:val="20"/>
          <w:szCs w:val="20"/>
          <w:lang w:val="en-US"/>
        </w:rPr>
        <w:t>.</w:t>
      </w:r>
    </w:p>
    <w:p w:rsidR="00BC57DB" w:rsidRPr="00CA70FB" w:rsidRDefault="00BC57DB" w:rsidP="00BC57DB">
      <w:pPr>
        <w:pStyle w:val="EndNoteBibliography"/>
        <w:spacing w:line="360" w:lineRule="auto"/>
        <w:rPr>
          <w:rFonts w:asciiTheme="minorHAnsi" w:hAnsiTheme="minorHAnsi" w:cstheme="minorHAnsi"/>
          <w:sz w:val="20"/>
          <w:szCs w:val="20"/>
        </w:rPr>
      </w:pPr>
      <w:r w:rsidRPr="00CA70FB">
        <w:rPr>
          <w:rFonts w:asciiTheme="minorHAnsi" w:hAnsiTheme="minorHAnsi" w:cstheme="minorHAnsi"/>
          <w:sz w:val="20"/>
          <w:szCs w:val="20"/>
        </w:rPr>
        <w:t xml:space="preserve">We also analyzed morbidity associated with BPD. </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 xml:space="preserve">Patent ductus arteriosus (PDA): </w:t>
      </w:r>
      <w:r w:rsidRPr="00CA70FB">
        <w:rPr>
          <w:rFonts w:cstheme="minorHAnsi"/>
          <w:color w:val="312E25"/>
          <w:sz w:val="20"/>
          <w:szCs w:val="20"/>
          <w:shd w:val="clear" w:color="auto" w:fill="FFFFFF"/>
          <w:lang w:val="en-US"/>
        </w:rPr>
        <w:t>PDA Doppler diameter of 1.5–2 mm. LA/</w:t>
      </w:r>
      <w:proofErr w:type="spellStart"/>
      <w:r w:rsidRPr="00CA70FB">
        <w:rPr>
          <w:rFonts w:cstheme="minorHAnsi"/>
          <w:color w:val="312E25"/>
          <w:sz w:val="20"/>
          <w:szCs w:val="20"/>
          <w:shd w:val="clear" w:color="auto" w:fill="FFFFFF"/>
          <w:lang w:val="en-US"/>
        </w:rPr>
        <w:t>Ao</w:t>
      </w:r>
      <w:proofErr w:type="spellEnd"/>
      <w:r w:rsidRPr="00CA70FB">
        <w:rPr>
          <w:rFonts w:cstheme="minorHAnsi"/>
          <w:color w:val="312E25"/>
          <w:sz w:val="20"/>
          <w:szCs w:val="20"/>
          <w:shd w:val="clear" w:color="auto" w:fill="FFFFFF"/>
          <w:lang w:val="en-US"/>
        </w:rPr>
        <w:t> &gt; 1.4.</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Nosocomial sepsis</w:t>
      </w:r>
      <w:r>
        <w:rPr>
          <w:rFonts w:cstheme="minorHAnsi"/>
          <w:sz w:val="20"/>
          <w:szCs w:val="20"/>
          <w:lang w:val="en-US"/>
        </w:rPr>
        <w:t>.</w:t>
      </w:r>
      <w:r w:rsidRPr="00CA70FB">
        <w:rPr>
          <w:rFonts w:cstheme="minorHAnsi"/>
          <w:sz w:val="20"/>
          <w:szCs w:val="20"/>
          <w:lang w:val="en-US"/>
        </w:rPr>
        <w:t xml:space="preserve"> </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 xml:space="preserve">Nosocomial pneumonia. </w:t>
      </w:r>
      <w:r w:rsidRPr="00CA70FB">
        <w:rPr>
          <w:rFonts w:cstheme="minorHAnsi"/>
          <w:color w:val="312E25"/>
          <w:sz w:val="20"/>
          <w:szCs w:val="20"/>
          <w:shd w:val="clear" w:color="auto" w:fill="FFFFFF"/>
          <w:lang w:val="en-US"/>
        </w:rPr>
        <w:t>Increased need for oxygen or ventilation, pathological X-ray and three or more of the following signs: temperature instability, change in secretions, tachypnea, altered heart rate, cough, wheezing, or leukocytosis.</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Ectopic air (pneumothorax or interstitial emphysema).</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 xml:space="preserve">Pulmonary hypertension: </w:t>
      </w:r>
      <w:r w:rsidRPr="00CA70FB">
        <w:rPr>
          <w:rFonts w:cstheme="minorHAnsi"/>
          <w:color w:val="312E25"/>
          <w:sz w:val="20"/>
          <w:szCs w:val="20"/>
          <w:shd w:val="clear" w:color="auto" w:fill="FFFFFF"/>
          <w:lang w:val="en-US"/>
        </w:rPr>
        <w:t>Right ventricular systolic pressure (RVSP) &gt; 40 mmHg; RVSP/SP &gt; 0.5; bidirectional or right-to-left shunt; any grade of IVS flattening.</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Enterocolitis requiring surgery.</w:t>
      </w:r>
    </w:p>
    <w:p w:rsidR="00BC57DB" w:rsidRPr="00CA70FB" w:rsidRDefault="00BC57DB" w:rsidP="00BC57DB">
      <w:pPr>
        <w:pStyle w:val="Prrafodelista"/>
        <w:numPr>
          <w:ilvl w:val="0"/>
          <w:numId w:val="5"/>
        </w:numPr>
        <w:autoSpaceDE w:val="0"/>
        <w:autoSpaceDN w:val="0"/>
        <w:adjustRightInd w:val="0"/>
        <w:spacing w:line="360" w:lineRule="auto"/>
        <w:rPr>
          <w:rFonts w:cstheme="minorHAnsi"/>
          <w:color w:val="131413"/>
          <w:sz w:val="20"/>
          <w:szCs w:val="20"/>
          <w:lang w:val="en-US"/>
        </w:rPr>
      </w:pPr>
      <w:r w:rsidRPr="00CA70FB">
        <w:rPr>
          <w:rFonts w:cstheme="minorHAnsi"/>
          <w:sz w:val="20"/>
          <w:szCs w:val="20"/>
          <w:lang w:val="en-US"/>
        </w:rPr>
        <w:t xml:space="preserve">Intraventricular hemorrhage: Volpe classification </w:t>
      </w:r>
      <w:r w:rsidRPr="00CA70FB">
        <w:rPr>
          <w:rFonts w:cstheme="minorHAnsi"/>
          <w:color w:val="131413"/>
          <w:sz w:val="20"/>
          <w:szCs w:val="20"/>
          <w:lang w:val="en-US"/>
        </w:rPr>
        <w:fldChar w:fldCharType="begin"/>
      </w:r>
      <w:r>
        <w:rPr>
          <w:rFonts w:cstheme="minorHAnsi"/>
          <w:color w:val="131413"/>
          <w:sz w:val="20"/>
          <w:szCs w:val="20"/>
          <w:lang w:val="en-US"/>
        </w:rPr>
        <w:instrText xml:space="preserve"> ADDIN EN.CITE &lt;EndNote&gt;&lt;Cite&gt;&lt;Author&gt;J.J&lt;/Author&gt;&lt;Year&gt;2008&lt;/Year&gt;&lt;IDText&gt;Neurology of the newborn&lt;/IDText&gt;&lt;DisplayText&gt;[2]&lt;/DisplayText&gt;&lt;record&gt;&lt;isbn&gt;9781437720792&lt;/isbn&gt;&lt;titles&gt;&lt;title&gt;&lt;style font="default" size="100%"&gt;N&lt;/style&gt;&lt;style face="bold" font="default" size="100%"&gt;eurology o&lt;/style&gt;&lt;style font="default" size="100%"&gt;f the n&lt;/style&gt;&lt;style face="bold" font="default" size="100%"&gt;ewborn&lt;/style&gt;&lt;/title&gt;&lt;/titles&gt;&lt;contributors&gt;&lt;authors&gt;&lt;author&gt;J.J Volpe&lt;/author&gt;&lt;/authors&gt;&lt;/contributors&gt;&lt;edition&gt;5th&lt;/edition&gt;&lt;added-date format="utc"&gt;1591632972&lt;/added-date&gt;&lt;pub-location&gt;Philadelphia:&lt;/pub-location&gt;&lt;ref-type name="Generic"&gt;13&lt;/ref-type&gt;&lt;dates&gt;&lt;year&gt;2008&lt;/year&gt;&lt;/dates&gt;&lt;rec-number&gt;767&lt;/rec-number&gt;&lt;publisher&gt;Saunders/Elsevier.&lt;/publisher&gt;&lt;last-updated-date format="utc"&gt;1591633244&lt;/last-updated-date&gt;&lt;/record&gt;&lt;/Cite&gt;&lt;/EndNote&gt;</w:instrText>
      </w:r>
      <w:r w:rsidRPr="00CA70FB">
        <w:rPr>
          <w:rFonts w:cstheme="minorHAnsi"/>
          <w:color w:val="131413"/>
          <w:sz w:val="20"/>
          <w:szCs w:val="20"/>
          <w:lang w:val="en-US"/>
        </w:rPr>
        <w:fldChar w:fldCharType="separate"/>
      </w:r>
      <w:r>
        <w:rPr>
          <w:rFonts w:cstheme="minorHAnsi"/>
          <w:noProof/>
          <w:color w:val="131413"/>
          <w:sz w:val="20"/>
          <w:szCs w:val="20"/>
          <w:lang w:val="en-US"/>
        </w:rPr>
        <w:t>[2]</w:t>
      </w:r>
      <w:r w:rsidRPr="00CA70FB">
        <w:rPr>
          <w:rFonts w:cstheme="minorHAnsi"/>
          <w:color w:val="131413"/>
          <w:sz w:val="20"/>
          <w:szCs w:val="20"/>
          <w:lang w:val="en-US"/>
        </w:rPr>
        <w:fldChar w:fldCharType="end"/>
      </w:r>
      <w:r w:rsidRPr="00CA70FB">
        <w:rPr>
          <w:rFonts w:cstheme="minorHAnsi"/>
          <w:color w:val="131413"/>
          <w:sz w:val="20"/>
          <w:szCs w:val="20"/>
          <w:lang w:val="en-US"/>
        </w:rPr>
        <w:t xml:space="preserve">. </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Hemorrhagic stroke</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 xml:space="preserve">Periventricular leukomalacia (modified from De Vries </w:t>
      </w:r>
      <w:r w:rsidRPr="00CA70FB">
        <w:rPr>
          <w:rFonts w:cstheme="minorHAnsi"/>
          <w:sz w:val="20"/>
          <w:szCs w:val="20"/>
          <w:lang w:val="en-US"/>
        </w:rPr>
        <w:fldChar w:fldCharType="begin"/>
      </w:r>
      <w:r>
        <w:rPr>
          <w:rFonts w:cstheme="minorHAnsi"/>
          <w:sz w:val="20"/>
          <w:szCs w:val="20"/>
          <w:lang w:val="en-US"/>
        </w:rPr>
        <w:instrText xml:space="preserve"> ADDIN EN.CITE &lt;EndNote&gt;&lt;Cite&gt;&lt;Author&gt;de Vries&lt;/Author&gt;&lt;Year&gt;1993&lt;/Year&gt;&lt;IDText&gt;Correlation between the degree of periventricular leukomalacia diagnosed using cranial ultrasound and MRI later in infancy in children with cerebral palsy&lt;/IDText&gt;&lt;DisplayText&gt;[3]&lt;/DisplayText&gt;&lt;record&gt;&lt;dates&gt;&lt;pub-dates&gt;&lt;date&gt;Oct&lt;/date&gt;&lt;/pub-dates&gt;&lt;year&gt;1993&lt;/year&gt;&lt;/dates&gt;&lt;keywords&gt;&lt;keyword&gt;Brain&lt;/keyword&gt;&lt;keyword&gt;Cerebral Palsy&lt;/keyword&gt;&lt;keyword&gt;Cerebral Ventricles&lt;/keyword&gt;&lt;keyword&gt;Child, Preschool&lt;/keyword&gt;&lt;keyword&gt;Echoencephalography&lt;/keyword&gt;&lt;keyword&gt;Female&lt;/keyword&gt;&lt;keyword&gt;Follow-Up Studies&lt;/keyword&gt;&lt;keyword&gt;Humans&lt;/keyword&gt;&lt;keyword&gt;Infant&lt;/keyword&gt;&lt;keyword&gt;Infant, Newborn&lt;/keyword&gt;&lt;keyword&gt;Leukomalacia, Periventricular&lt;/keyword&gt;&lt;keyword&gt;Magnetic Resonance Imaging&lt;/keyword&gt;&lt;keyword&gt;Male&lt;/keyword&gt;&lt;keyword&gt;Neurologic Examination&lt;/keyword&gt;&lt;/keywords&gt;&lt;urls&gt;&lt;related-urls&gt;&lt;url&gt;https://www.ncbi.nlm.nih.gov/pubmed/8309515&lt;/url&gt;&lt;/related-urls&gt;&lt;/urls&gt;&lt;isbn&gt;0174-304X&lt;/isbn&gt;&lt;titles&gt;&lt;title&gt;Correlation between the degree of periventricular leukomalacia diagnosed using cranial ultrasound and MRI later in infancy in children with cerebral palsy&lt;/title&gt;&lt;secondary-title&gt;Neuropediatrics&lt;/secondary-title&gt;&lt;/titles&gt;&lt;pages&gt;263-8&lt;/pages&gt;&lt;number&gt;5&lt;/number&gt;&lt;contributors&gt;&lt;authors&gt;&lt;author&gt;de Vries, L. S.&lt;/author&gt;&lt;author&gt;Eken, P.&lt;/author&gt;&lt;author&gt;Groenendaal, F.&lt;/author&gt;&lt;author&gt;van Haastert, I. C.&lt;/author&gt;&lt;author&gt;Meiners, L. C.&lt;/author&gt;&lt;/authors&gt;&lt;/contributors&gt;&lt;language&gt;eng&lt;/language&gt;&lt;added-date format="utc"&gt;1591633523&lt;/added-date&gt;&lt;ref-type name="Journal Article"&gt;17&lt;/ref-type&gt;&lt;rec-number&gt;768&lt;/rec-number&gt;&lt;last-updated-date format="utc"&gt;1591633523&lt;/last-updated-date&gt;&lt;accession-num&gt;8309515&lt;/accession-num&gt;&lt;electronic-resource-num&gt;10.1055/s-2008-1071554&lt;/electronic-resource-num&gt;&lt;volume&gt;24&lt;/volume&gt;&lt;/record&gt;&lt;/Cite&gt;&lt;/EndNote&gt;</w:instrText>
      </w:r>
      <w:r w:rsidRPr="00CA70FB">
        <w:rPr>
          <w:rFonts w:cstheme="minorHAnsi"/>
          <w:sz w:val="20"/>
          <w:szCs w:val="20"/>
          <w:lang w:val="en-US"/>
        </w:rPr>
        <w:fldChar w:fldCharType="separate"/>
      </w:r>
      <w:r>
        <w:rPr>
          <w:rFonts w:cstheme="minorHAnsi"/>
          <w:noProof/>
          <w:sz w:val="20"/>
          <w:szCs w:val="20"/>
          <w:lang w:val="en-US"/>
        </w:rPr>
        <w:t>[3]</w:t>
      </w:r>
      <w:r w:rsidRPr="00CA70FB">
        <w:rPr>
          <w:rFonts w:cstheme="minorHAnsi"/>
          <w:sz w:val="20"/>
          <w:szCs w:val="20"/>
          <w:lang w:val="en-US"/>
        </w:rPr>
        <w:fldChar w:fldCharType="end"/>
      </w:r>
      <w:r w:rsidRPr="00CA70FB">
        <w:rPr>
          <w:rFonts w:cstheme="minorHAnsi"/>
          <w:sz w:val="20"/>
          <w:szCs w:val="20"/>
          <w:lang w:val="en-US"/>
        </w:rPr>
        <w:t xml:space="preserve">), considering grades greater than 1. </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 xml:space="preserve">Hydrocephalus requiring a shunt. </w:t>
      </w:r>
    </w:p>
    <w:p w:rsidR="00BC57DB" w:rsidRPr="00CA70FB" w:rsidRDefault="00BC57DB" w:rsidP="00BC57DB">
      <w:pPr>
        <w:pStyle w:val="Prrafodelista"/>
        <w:numPr>
          <w:ilvl w:val="0"/>
          <w:numId w:val="5"/>
        </w:numPr>
        <w:spacing w:line="360" w:lineRule="auto"/>
        <w:rPr>
          <w:rFonts w:cstheme="minorHAnsi"/>
          <w:sz w:val="20"/>
          <w:szCs w:val="20"/>
          <w:lang w:val="en-US"/>
        </w:rPr>
      </w:pPr>
      <w:r w:rsidRPr="00CA70FB">
        <w:rPr>
          <w:rFonts w:cstheme="minorHAnsi"/>
          <w:sz w:val="20"/>
          <w:szCs w:val="20"/>
          <w:lang w:val="en-US"/>
        </w:rPr>
        <w:t xml:space="preserve">Retinopathy of prematurity, international classification (ICROP) </w:t>
      </w:r>
      <w:r w:rsidRPr="00CA70FB">
        <w:rPr>
          <w:rFonts w:cstheme="minorHAnsi"/>
          <w:sz w:val="20"/>
          <w:szCs w:val="20"/>
          <w:lang w:val="en-US"/>
        </w:rPr>
        <w:fldChar w:fldCharType="begin"/>
      </w:r>
      <w:r>
        <w:rPr>
          <w:rFonts w:cstheme="minorHAnsi"/>
          <w:sz w:val="20"/>
          <w:szCs w:val="20"/>
          <w:lang w:val="en-US"/>
        </w:rPr>
        <w:instrText xml:space="preserve"> ADDIN EN.CITE &lt;EndNote&gt;&lt;Cite&gt;&lt;Author&gt;C. Ramos-Navarro&lt;/Author&gt;&lt;Year&gt;2018&lt;/Year&gt;&lt;IDText&gt;ANTENATAL STEROIDS TREATMENT AND RESPIRATORY OUTCOMES IN PRETERM INFANTS&lt;/IDText&gt;&lt;DisplayText&gt;[4]&lt;/DisplayText&gt;&lt;record&gt;&lt;isbn&gt;2281-0692&lt;/isbn&gt;&lt;titles&gt;&lt;title&gt;ANTENATAL STEROIDS TREATMENT AND RESPIRATORY OUTCOMES IN PRETERM INFANTS&lt;/title&gt;&lt;secondary-title&gt;Journal of Pediatric and Neonatal Individualized Medicine&lt;/secondary-title&gt;&lt;/titles&gt;&lt;pages&gt;2&lt;/pages&gt;&lt;number&gt;2&lt;/number&gt;&lt;contributors&gt;&lt;authors&gt;&lt;author&gt;C. Ramos-Navarro, M. Arriaga-Redondo, S. Villar Castro, N. Gonzalez-Pacheco. &lt;/author&gt;&lt;/authors&gt;&lt;/contributors&gt;&lt;added-date format="utc"&gt;1548870149&lt;/added-date&gt;&lt;ref-type name="Journal Article"&gt;17&lt;/ref-type&gt;&lt;dates&gt;&lt;year&gt;2018&lt;/year&gt;&lt;/dates&gt;&lt;rec-number&gt;354&lt;/rec-number&gt;&lt;last-updated-date format="utc"&gt;1548871156&lt;/last-updated-date&gt;&lt;electronic-resource-num&gt;10.7363/070230&lt;/electronic-resource-num&gt;&lt;volume&gt;7&lt;/volume&gt;&lt;/record&gt;&lt;/Cite&gt;&lt;/EndNote&gt;</w:instrText>
      </w:r>
      <w:r w:rsidRPr="00CA70FB">
        <w:rPr>
          <w:rFonts w:cstheme="minorHAnsi"/>
          <w:sz w:val="20"/>
          <w:szCs w:val="20"/>
          <w:lang w:val="en-US"/>
        </w:rPr>
        <w:fldChar w:fldCharType="separate"/>
      </w:r>
      <w:r>
        <w:rPr>
          <w:rFonts w:cstheme="minorHAnsi"/>
          <w:noProof/>
          <w:sz w:val="20"/>
          <w:szCs w:val="20"/>
          <w:lang w:val="en-US"/>
        </w:rPr>
        <w:t>[4]</w:t>
      </w:r>
      <w:r w:rsidRPr="00CA70FB">
        <w:rPr>
          <w:rFonts w:cstheme="minorHAnsi"/>
          <w:sz w:val="20"/>
          <w:szCs w:val="20"/>
          <w:lang w:val="en-US"/>
        </w:rPr>
        <w:fldChar w:fldCharType="end"/>
      </w:r>
    </w:p>
    <w:p w:rsidR="00BC57DB" w:rsidRDefault="00BC57DB"/>
    <w:p w:rsidR="00BC57DB" w:rsidRDefault="00BC57DB"/>
    <w:p w:rsidR="00BC57DB" w:rsidRDefault="00BC57DB"/>
    <w:p w:rsidR="00BC57DB" w:rsidRDefault="00BC57DB"/>
    <w:p w:rsidR="00BC57DB" w:rsidRDefault="00BC57DB"/>
    <w:p w:rsidR="00BC57DB" w:rsidRDefault="00BC57DB"/>
    <w:p w:rsidR="00BC57DB" w:rsidRDefault="00BC57DB"/>
    <w:p w:rsidR="00BC57DB" w:rsidRDefault="00BC57DB"/>
    <w:p w:rsidR="00BC57DB" w:rsidRDefault="00BC57DB"/>
    <w:p w:rsidR="00BC57DB" w:rsidRDefault="00BC57DB"/>
    <w:p w:rsidR="00BC57DB" w:rsidRDefault="00BC57DB"/>
    <w:p w:rsidR="00BC57DB" w:rsidRPr="00BC57DB" w:rsidRDefault="00BC57DB" w:rsidP="00BC57DB">
      <w:pPr>
        <w:pStyle w:val="EndNoteBibliography"/>
        <w:spacing w:after="0"/>
        <w:ind w:left="720" w:hanging="720"/>
        <w:rPr>
          <w:noProof/>
        </w:rPr>
      </w:pPr>
      <w:r>
        <w:lastRenderedPageBreak/>
        <w:fldChar w:fldCharType="begin"/>
      </w:r>
      <w:r>
        <w:instrText xml:space="preserve"> ADDIN EN.REFLIST </w:instrText>
      </w:r>
      <w:r>
        <w:fldChar w:fldCharType="separate"/>
      </w:r>
      <w:r w:rsidRPr="00BC57DB">
        <w:rPr>
          <w:noProof/>
        </w:rPr>
        <w:t>1.</w:t>
      </w:r>
      <w:r w:rsidRPr="00BC57DB">
        <w:rPr>
          <w:noProof/>
        </w:rPr>
        <w:tab/>
        <w:t>Jobe AH, Bancalari E. Bronchopulmonary dysplasia. Am J Respir Crit Care Med. 2001 Jun;163(7):1723-9.</w:t>
      </w:r>
    </w:p>
    <w:p w:rsidR="00BC57DB" w:rsidRPr="00BC57DB" w:rsidRDefault="00BC57DB" w:rsidP="00BC57DB">
      <w:pPr>
        <w:pStyle w:val="EndNoteBibliography"/>
        <w:spacing w:after="0"/>
        <w:ind w:left="720" w:hanging="720"/>
        <w:rPr>
          <w:noProof/>
        </w:rPr>
      </w:pPr>
      <w:r w:rsidRPr="00BC57DB">
        <w:rPr>
          <w:noProof/>
        </w:rPr>
        <w:t>2.</w:t>
      </w:r>
      <w:r w:rsidRPr="00BC57DB">
        <w:rPr>
          <w:noProof/>
        </w:rPr>
        <w:tab/>
        <w:t>Volpe JJ. N</w:t>
      </w:r>
      <w:r w:rsidRPr="00BC57DB">
        <w:rPr>
          <w:b/>
          <w:noProof/>
        </w:rPr>
        <w:t>eurology o</w:t>
      </w:r>
      <w:r w:rsidRPr="00BC57DB">
        <w:rPr>
          <w:noProof/>
        </w:rPr>
        <w:t>f the n</w:t>
      </w:r>
      <w:r w:rsidRPr="00BC57DB">
        <w:rPr>
          <w:b/>
          <w:noProof/>
        </w:rPr>
        <w:t>ewborn</w:t>
      </w:r>
      <w:r w:rsidRPr="00BC57DB">
        <w:rPr>
          <w:noProof/>
        </w:rPr>
        <w:t>. 5th ed. Philadelphia:: Saunders/Elsevier.; 2008.</w:t>
      </w:r>
    </w:p>
    <w:p w:rsidR="00BC57DB" w:rsidRPr="00BC57DB" w:rsidRDefault="00BC57DB" w:rsidP="00BC57DB">
      <w:pPr>
        <w:pStyle w:val="EndNoteBibliography"/>
        <w:spacing w:after="0"/>
        <w:ind w:left="720" w:hanging="720"/>
        <w:rPr>
          <w:noProof/>
        </w:rPr>
      </w:pPr>
      <w:r w:rsidRPr="00BC57DB">
        <w:rPr>
          <w:noProof/>
        </w:rPr>
        <w:t>3.</w:t>
      </w:r>
      <w:r w:rsidRPr="00BC57DB">
        <w:rPr>
          <w:noProof/>
        </w:rPr>
        <w:tab/>
        <w:t>de Vries LS, Eken P, Groenendaal F, et al. Correlation between the degree of periventricular leukomalacia diagnosed using cranial ultrasound and MRI later in infancy in children with cerebral palsy. Neuropediatrics. 1993 Oct;24(5):263-8.</w:t>
      </w:r>
    </w:p>
    <w:bookmarkStart w:id="0" w:name="_GoBack"/>
    <w:bookmarkEnd w:id="0"/>
    <w:p w:rsidR="009C7857" w:rsidRDefault="00BC57DB">
      <w:r>
        <w:fldChar w:fldCharType="end"/>
      </w:r>
    </w:p>
    <w:sectPr w:rsidR="009C7857" w:rsidSect="001D264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B2093E"/>
    <w:multiLevelType w:val="multilevel"/>
    <w:tmpl w:val="74DA52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F667413"/>
    <w:multiLevelType w:val="hybridMultilevel"/>
    <w:tmpl w:val="66041754"/>
    <w:lvl w:ilvl="0" w:tplc="21589070">
      <w:start w:val="27"/>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0BB4998"/>
    <w:multiLevelType w:val="multilevel"/>
    <w:tmpl w:val="B6BA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AA61E6"/>
    <w:multiLevelType w:val="multilevel"/>
    <w:tmpl w:val="F508CB98"/>
    <w:lvl w:ilvl="0">
      <w:start w:val="2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CC07A0"/>
    <w:multiLevelType w:val="multilevel"/>
    <w:tmpl w:val="502E8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B41D74"/>
    <w:multiLevelType w:val="hybridMultilevel"/>
    <w:tmpl w:val="761C69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C57DB"/>
    <w:rsid w:val="000B166E"/>
    <w:rsid w:val="000F02F6"/>
    <w:rsid w:val="00144F67"/>
    <w:rsid w:val="001644CC"/>
    <w:rsid w:val="001D2643"/>
    <w:rsid w:val="002A6E9A"/>
    <w:rsid w:val="002E259F"/>
    <w:rsid w:val="003648F1"/>
    <w:rsid w:val="006649A5"/>
    <w:rsid w:val="00763BB4"/>
    <w:rsid w:val="007A703D"/>
    <w:rsid w:val="0081186F"/>
    <w:rsid w:val="00822E40"/>
    <w:rsid w:val="009B175A"/>
    <w:rsid w:val="009C7857"/>
    <w:rsid w:val="00A04120"/>
    <w:rsid w:val="00A55528"/>
    <w:rsid w:val="00AE2F13"/>
    <w:rsid w:val="00B93F12"/>
    <w:rsid w:val="00BC57DB"/>
    <w:rsid w:val="00BC6CB0"/>
    <w:rsid w:val="00BD6850"/>
    <w:rsid w:val="00C63758"/>
    <w:rsid w:val="00C949AD"/>
    <w:rsid w:val="00E00B8D"/>
    <w:rsid w:val="00E216AB"/>
    <w:rsid w:val="00F51256"/>
    <w:rsid w:val="00F66931"/>
    <w:rsid w:val="00FB107B"/>
    <w:rsid w:val="00FE1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53FAE0C"/>
  <w15:chartTrackingRefBased/>
  <w15:docId w15:val="{B54AF77F-083F-E445-95D7-4E163990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7DB"/>
    <w:rPr>
      <w:rFonts w:ascii="Times New Roman" w:eastAsia="Times New Roman" w:hAnsi="Times New Roman" w:cs="Times New Roman"/>
      <w:lang w:val="en-US"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C57DB"/>
    <w:rPr>
      <w:sz w:val="18"/>
      <w:szCs w:val="18"/>
    </w:rPr>
  </w:style>
  <w:style w:type="character" w:customStyle="1" w:styleId="TextodegloboCar">
    <w:name w:val="Texto de globo Car"/>
    <w:basedOn w:val="Fuentedeprrafopredeter"/>
    <w:link w:val="Textodeglobo"/>
    <w:uiPriority w:val="99"/>
    <w:semiHidden/>
    <w:rsid w:val="00BC57DB"/>
    <w:rPr>
      <w:rFonts w:ascii="Times New Roman" w:eastAsia="Times New Roman" w:hAnsi="Times New Roman" w:cs="Times New Roman"/>
      <w:sz w:val="18"/>
      <w:szCs w:val="18"/>
      <w:lang w:val="en-US" w:eastAsia="es-ES_tradnl"/>
    </w:rPr>
  </w:style>
  <w:style w:type="paragraph" w:styleId="Prrafodelista">
    <w:name w:val="List Paragraph"/>
    <w:basedOn w:val="Normal"/>
    <w:uiPriority w:val="34"/>
    <w:qFormat/>
    <w:rsid w:val="00BC57DB"/>
    <w:pPr>
      <w:ind w:left="720"/>
      <w:contextualSpacing/>
    </w:pPr>
    <w:rPr>
      <w:rFonts w:asciiTheme="minorHAnsi" w:eastAsiaTheme="minorHAnsi" w:hAnsiTheme="minorHAnsi" w:cstheme="minorBidi"/>
      <w:lang w:val="es-ES" w:eastAsia="en-US"/>
    </w:rPr>
  </w:style>
  <w:style w:type="paragraph" w:customStyle="1" w:styleId="EndNoteBibliography">
    <w:name w:val="EndNote Bibliography"/>
    <w:basedOn w:val="Normal"/>
    <w:rsid w:val="00BC57DB"/>
    <w:pPr>
      <w:spacing w:before="100" w:beforeAutospacing="1" w:after="100" w:afterAutospacing="1"/>
      <w:ind w:left="714" w:hanging="357"/>
    </w:pPr>
    <w:rPr>
      <w:rFonts w:eastAsiaTheme="minorHAnsi"/>
      <w:szCs w:val="22"/>
      <w:lang w:eastAsia="en-US"/>
    </w:rPr>
  </w:style>
  <w:style w:type="paragraph" w:customStyle="1" w:styleId="EndNoteBibliographyTitle">
    <w:name w:val="EndNote Bibliography Title"/>
    <w:basedOn w:val="Normal"/>
    <w:link w:val="EndNoteBibliographyTitleCar"/>
    <w:rsid w:val="00BC57DB"/>
    <w:pPr>
      <w:jc w:val="center"/>
    </w:pPr>
    <w:rPr>
      <w:lang w:val="es-ES_tradnl"/>
    </w:rPr>
  </w:style>
  <w:style w:type="character" w:customStyle="1" w:styleId="EndNoteBibliographyTitleCar">
    <w:name w:val="EndNote Bibliography Title Car"/>
    <w:basedOn w:val="Fuentedeprrafopredeter"/>
    <w:link w:val="EndNoteBibliographyTitle"/>
    <w:rsid w:val="00BC57DB"/>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1745</Words>
  <Characters>9598</Characters>
  <Application>Microsoft Office Word</Application>
  <DocSecurity>0</DocSecurity>
  <Lines>79</Lines>
  <Paragraphs>22</Paragraphs>
  <ScaleCrop>false</ScaleCrop>
  <Company>Hospital Gregorio Marañón</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Ramos Navarro</dc:creator>
  <cp:keywords/>
  <dc:description/>
  <cp:lastModifiedBy>Cristina Ramos Navarro</cp:lastModifiedBy>
  <cp:revision>1</cp:revision>
  <dcterms:created xsi:type="dcterms:W3CDTF">2021-04-25T17:15:00Z</dcterms:created>
  <dcterms:modified xsi:type="dcterms:W3CDTF">2021-04-25T17:21:00Z</dcterms:modified>
</cp:coreProperties>
</file>