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EC24B6" w14:textId="77777777" w:rsidR="00857B8E" w:rsidRDefault="00857B8E" w:rsidP="00857B8E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  <w:lang w:eastAsia="ko-KR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  <w:lang w:eastAsia="ko-KR"/>
        </w:rPr>
        <w:t>Appendix 1</w:t>
      </w:r>
      <w:r>
        <w:rPr>
          <w:rFonts w:asciiTheme="majorBidi" w:hAnsiTheme="majorBidi" w:cstheme="majorBidi"/>
          <w:color w:val="000000" w:themeColor="text1"/>
          <w:sz w:val="20"/>
          <w:szCs w:val="20"/>
          <w:lang w:eastAsia="ko-KR"/>
        </w:rPr>
        <w:t>：</w:t>
      </w:r>
      <w:r>
        <w:rPr>
          <w:rFonts w:asciiTheme="majorBidi" w:hAnsiTheme="majorBidi" w:cstheme="majorBidi"/>
          <w:color w:val="000000" w:themeColor="text1"/>
          <w:sz w:val="20"/>
          <w:szCs w:val="20"/>
          <w:lang w:eastAsia="ko-KR"/>
        </w:rPr>
        <w:t>Variable Definitions and Explanations</w:t>
      </w:r>
    </w:p>
    <w:tbl>
      <w:tblPr>
        <w:tblW w:w="0" w:type="auto"/>
        <w:tblCellSpacing w:w="15" w:type="dxa"/>
        <w:tblBorders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3"/>
        <w:gridCol w:w="7937"/>
      </w:tblGrid>
      <w:tr w:rsidR="00857B8E" w:rsidRPr="009E1900" w14:paraId="733C7491" w14:textId="77777777" w:rsidTr="005378B5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D493886" w14:textId="77777777" w:rsidR="00857B8E" w:rsidRPr="00EE3D68" w:rsidRDefault="00857B8E" w:rsidP="005378B5">
            <w:pPr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EE3D68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D0A67C9" w14:textId="77777777" w:rsidR="00857B8E" w:rsidRPr="00EE3D68" w:rsidRDefault="00857B8E" w:rsidP="005378B5">
            <w:pPr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EE3D68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Explanation/Definition</w:t>
            </w:r>
          </w:p>
        </w:tc>
      </w:tr>
      <w:tr w:rsidR="00857B8E" w:rsidRPr="009E1900" w14:paraId="422FCC0F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50C3C0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Analyst</w:t>
            </w:r>
          </w:p>
        </w:tc>
        <w:tc>
          <w:tcPr>
            <w:tcW w:w="0" w:type="auto"/>
            <w:vAlign w:val="center"/>
            <w:hideMark/>
          </w:tcPr>
          <w:p w14:paraId="42729E4D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The number of analysts tracking a company, used as a proxy for the extent of analyst coverage.</w:t>
            </w:r>
          </w:p>
        </w:tc>
      </w:tr>
      <w:tr w:rsidR="00857B8E" w:rsidRPr="009E1900" w14:paraId="702812BE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B43E5B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BIG4</w:t>
            </w:r>
          </w:p>
        </w:tc>
        <w:tc>
          <w:tcPr>
            <w:tcW w:w="0" w:type="auto"/>
            <w:vAlign w:val="center"/>
            <w:hideMark/>
          </w:tcPr>
          <w:p w14:paraId="23C8F9E9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An indicator variable that equals 1 if the audit is conducted by a Big Four firm, and 0 otherwise.</w:t>
            </w:r>
          </w:p>
        </w:tc>
      </w:tr>
      <w:tr w:rsidR="00857B8E" w:rsidRPr="009E1900" w14:paraId="7BF8220F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63FE94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CF</w:t>
            </w:r>
          </w:p>
        </w:tc>
        <w:tc>
          <w:tcPr>
            <w:tcW w:w="0" w:type="auto"/>
            <w:vAlign w:val="center"/>
            <w:hideMark/>
          </w:tcPr>
          <w:p w14:paraId="332A61D6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Cash flow from operations, scaled by total assets.</w:t>
            </w:r>
          </w:p>
        </w:tc>
      </w:tr>
      <w:tr w:rsidR="00857B8E" w:rsidRPr="009E1900" w14:paraId="719D0CD0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3F990D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DIRS</w:t>
            </w:r>
          </w:p>
        </w:tc>
        <w:tc>
          <w:tcPr>
            <w:tcW w:w="0" w:type="auto"/>
            <w:vAlign w:val="center"/>
            <w:hideMark/>
          </w:tcPr>
          <w:p w14:paraId="17DF6E74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The proportion of directors who are shareholders, used as a measure of director incentives.</w:t>
            </w:r>
          </w:p>
        </w:tc>
      </w:tr>
      <w:tr w:rsidR="00857B8E" w:rsidRPr="009E1900" w14:paraId="6F56A8AB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017C01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H&amp;S300</w:t>
            </w:r>
          </w:p>
        </w:tc>
        <w:tc>
          <w:tcPr>
            <w:tcW w:w="0" w:type="auto"/>
            <w:vAlign w:val="center"/>
            <w:hideMark/>
          </w:tcPr>
          <w:p w14:paraId="20FEF055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Represents firms included in the Shanghai and Shenzhen 300 Index.</w:t>
            </w:r>
          </w:p>
        </w:tc>
      </w:tr>
      <w:tr w:rsidR="00857B8E" w:rsidRPr="009E1900" w14:paraId="0D401BC2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91A65F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LARS</w:t>
            </w:r>
          </w:p>
        </w:tc>
        <w:tc>
          <w:tcPr>
            <w:tcW w:w="0" w:type="auto"/>
            <w:vAlign w:val="center"/>
            <w:hideMark/>
          </w:tcPr>
          <w:p w14:paraId="70A88D42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The ratio of large shareholders, used as a measure of ownership concentration.</w:t>
            </w:r>
          </w:p>
        </w:tc>
      </w:tr>
      <w:tr w:rsidR="00857B8E" w:rsidRPr="009E1900" w14:paraId="2579C9CC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75A1D6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LEV</w:t>
            </w:r>
          </w:p>
        </w:tc>
        <w:tc>
          <w:tcPr>
            <w:tcW w:w="0" w:type="auto"/>
            <w:vAlign w:val="center"/>
            <w:hideMark/>
          </w:tcPr>
          <w:p w14:paraId="0ECE9012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Financial leverage, measured as total liabilities scaled by total assets.</w:t>
            </w:r>
          </w:p>
        </w:tc>
      </w:tr>
      <w:tr w:rsidR="00857B8E" w:rsidRPr="009E1900" w14:paraId="43BF9F35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3F66FC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MAO</w:t>
            </w:r>
          </w:p>
        </w:tc>
        <w:tc>
          <w:tcPr>
            <w:tcW w:w="0" w:type="auto"/>
            <w:vAlign w:val="center"/>
            <w:hideMark/>
          </w:tcPr>
          <w:p w14:paraId="375E9D26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An indicator variable that equals 1 if a company receives a modified audit opinion in a given year, and 0 otherwise.</w:t>
            </w:r>
          </w:p>
        </w:tc>
      </w:tr>
      <w:tr w:rsidR="00857B8E" w:rsidRPr="009E1900" w14:paraId="66133769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4B9D61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MAOLag</w:t>
            </w:r>
          </w:p>
        </w:tc>
        <w:tc>
          <w:tcPr>
            <w:tcW w:w="0" w:type="auto"/>
            <w:vAlign w:val="center"/>
            <w:hideMark/>
          </w:tcPr>
          <w:p w14:paraId="54E16602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An indicator variable that equals 1 if a company received a modified audit opinion in the preceding year, and 0 otherwise.</w:t>
            </w:r>
          </w:p>
        </w:tc>
      </w:tr>
      <w:tr w:rsidR="00857B8E" w:rsidRPr="009E1900" w14:paraId="72757222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41AB70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OpnShop</w:t>
            </w:r>
          </w:p>
        </w:tc>
        <w:tc>
          <w:tcPr>
            <w:tcW w:w="0" w:type="auto"/>
            <w:vAlign w:val="center"/>
            <w:hideMark/>
          </w:tcPr>
          <w:p w14:paraId="145A9792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An indicator variable that equals 1 for firms with clean audits and partner changes under conditions indicative of opinion shopping, and 0 otherwise.</w:t>
            </w:r>
          </w:p>
        </w:tc>
      </w:tr>
      <w:tr w:rsidR="00857B8E" w:rsidRPr="009E1900" w14:paraId="5ED56025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A8881A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Switch</w:t>
            </w:r>
          </w:p>
        </w:tc>
        <w:tc>
          <w:tcPr>
            <w:tcW w:w="0" w:type="auto"/>
            <w:vAlign w:val="center"/>
            <w:hideMark/>
          </w:tcPr>
          <w:p w14:paraId="427A09C3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An indicator variable that equals 1 if a company is audited by a new partner and 0 otherwise.</w:t>
            </w:r>
          </w:p>
        </w:tc>
      </w:tr>
      <w:tr w:rsidR="00857B8E" w:rsidRPr="009E1900" w14:paraId="3DF148E9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D65145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ROC</w:t>
            </w:r>
          </w:p>
        </w:tc>
        <w:tc>
          <w:tcPr>
            <w:tcW w:w="0" w:type="auto"/>
            <w:vAlign w:val="center"/>
            <w:hideMark/>
          </w:tcPr>
          <w:p w14:paraId="4AF89823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Return on capital, measured as earnings before interest and tax scaled by total invested capital.</w:t>
            </w:r>
          </w:p>
        </w:tc>
      </w:tr>
      <w:tr w:rsidR="00857B8E" w:rsidRPr="009E1900" w14:paraId="4F74C9C4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86F672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ROA</w:t>
            </w:r>
          </w:p>
        </w:tc>
        <w:tc>
          <w:tcPr>
            <w:tcW w:w="0" w:type="auto"/>
            <w:vAlign w:val="center"/>
            <w:hideMark/>
          </w:tcPr>
          <w:p w14:paraId="10A97186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Return on assets, measured as net income scaled by total assets.</w:t>
            </w:r>
          </w:p>
        </w:tc>
      </w:tr>
      <w:tr w:rsidR="00857B8E" w:rsidRPr="009E1900" w14:paraId="44A50690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6D44DC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SIZE</w:t>
            </w:r>
          </w:p>
        </w:tc>
        <w:tc>
          <w:tcPr>
            <w:tcW w:w="0" w:type="auto"/>
            <w:vAlign w:val="center"/>
            <w:hideMark/>
          </w:tcPr>
          <w:p w14:paraId="50F791E6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Company size, measured as the natural logarithm of total assets.</w:t>
            </w:r>
          </w:p>
        </w:tc>
      </w:tr>
      <w:tr w:rsidR="00857B8E" w:rsidRPr="009E1900" w14:paraId="64E241AC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F98C45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SOER</w:t>
            </w:r>
          </w:p>
        </w:tc>
        <w:tc>
          <w:tcPr>
            <w:tcW w:w="0" w:type="auto"/>
            <w:vAlign w:val="center"/>
            <w:hideMark/>
          </w:tcPr>
          <w:p w14:paraId="4586F142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State ownership equity ratio, indicating the proportion of state-owned shares.</w:t>
            </w:r>
          </w:p>
        </w:tc>
      </w:tr>
      <w:tr w:rsidR="00857B8E" w:rsidRPr="009E1900" w14:paraId="7CF0C0F1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FE5560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Analyst Presence</w:t>
            </w:r>
          </w:p>
        </w:tc>
        <w:tc>
          <w:tcPr>
            <w:tcW w:w="0" w:type="auto"/>
            <w:vAlign w:val="center"/>
            <w:hideMark/>
          </w:tcPr>
          <w:p w14:paraId="761E214F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 dummy variable that equals 1 if a firm is covered by at least one analyst, and 0 otherwise.</w:t>
            </w:r>
          </w:p>
        </w:tc>
      </w:tr>
      <w:tr w:rsidR="00857B8E" w:rsidRPr="009E1900" w14:paraId="01F74778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26D776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LocalPromote17</w:t>
            </w:r>
          </w:p>
        </w:tc>
        <w:tc>
          <w:tcPr>
            <w:tcW w:w="0" w:type="auto"/>
            <w:vAlign w:val="center"/>
            <w:hideMark/>
          </w:tcPr>
          <w:p w14:paraId="5C2491B9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 dummy variable that equals 1 if the provincial party secretary during the 17th National Congress was promoted from within the region, and 0 if parachuted in from another region.</w:t>
            </w:r>
          </w:p>
        </w:tc>
      </w:tr>
      <w:tr w:rsidR="00857B8E" w:rsidRPr="009E1900" w14:paraId="2A71F6E7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7D713B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LocalPromote18</w:t>
            </w:r>
          </w:p>
        </w:tc>
        <w:tc>
          <w:tcPr>
            <w:tcW w:w="0" w:type="auto"/>
            <w:vAlign w:val="center"/>
            <w:hideMark/>
          </w:tcPr>
          <w:p w14:paraId="156DA57A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 dummy variable that equals 1 if the provincial party secretary during the 18th National Congress was promoted from within the region, and 0 if parachuted in from another region.</w:t>
            </w:r>
          </w:p>
        </w:tc>
      </w:tr>
      <w:tr w:rsidR="00857B8E" w:rsidRPr="009E1900" w14:paraId="6227CA48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19D258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LocalPromote19</w:t>
            </w:r>
          </w:p>
        </w:tc>
        <w:tc>
          <w:tcPr>
            <w:tcW w:w="0" w:type="auto"/>
            <w:vAlign w:val="center"/>
            <w:hideMark/>
          </w:tcPr>
          <w:p w14:paraId="06A77B09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 dummy variable that equals 1 if the provincial party secretary during the 19th National Congress was promoted from within the region, and 0 if parachuted in from another region.</w:t>
            </w:r>
          </w:p>
        </w:tc>
      </w:tr>
      <w:tr w:rsidR="00857B8E" w:rsidRPr="009E1900" w14:paraId="7DE2E5AA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8806F9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Announcement</w:t>
            </w:r>
          </w:p>
        </w:tc>
        <w:tc>
          <w:tcPr>
            <w:tcW w:w="0" w:type="auto"/>
            <w:vAlign w:val="center"/>
            <w:hideMark/>
          </w:tcPr>
          <w:p w14:paraId="1C8037A1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 variable indicating whether a firm had a significant public announcement during the observation period, potentially influencing market perception.</w:t>
            </w:r>
          </w:p>
        </w:tc>
      </w:tr>
      <w:tr w:rsidR="00857B8E" w:rsidRPr="009E1900" w14:paraId="0E370BBD" w14:textId="77777777" w:rsidTr="005378B5">
        <w:trPr>
          <w:tblCellSpacing w:w="15" w:type="dxa"/>
        </w:trPr>
        <w:tc>
          <w:tcPr>
            <w:tcW w:w="0" w:type="auto"/>
            <w:vAlign w:val="center"/>
          </w:tcPr>
          <w:p w14:paraId="0491A438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DengXian" w:hAnsiTheme="majorBidi" w:cstheme="majorBidi" w:hint="eastAsia"/>
                <w:color w:val="000000" w:themeColor="text1"/>
                <w:sz w:val="20"/>
                <w:szCs w:val="20"/>
              </w:rPr>
              <w:t>PC</w:t>
            </w:r>
          </w:p>
        </w:tc>
        <w:tc>
          <w:tcPr>
            <w:tcW w:w="0" w:type="auto"/>
            <w:vAlign w:val="center"/>
          </w:tcPr>
          <w:p w14:paraId="6255BCC0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C40C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 dummy variable that equals 1 if the firm’s CEO or Chairperson has held a political position, such as an officer in the central or local government, the military, or as a member of the People’s Congress (CPC) or People’s Political Consultative Conference (CPPCC), and 0 otherwise.</w:t>
            </w:r>
          </w:p>
        </w:tc>
      </w:tr>
      <w:tr w:rsidR="00857B8E" w:rsidRPr="009E1900" w14:paraId="4DA534AF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C9FA0B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PolConnect</w:t>
            </w:r>
          </w:p>
        </w:tc>
        <w:tc>
          <w:tcPr>
            <w:tcW w:w="0" w:type="auto"/>
            <w:vAlign w:val="center"/>
            <w:hideMark/>
          </w:tcPr>
          <w:p w14:paraId="0F8A7488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A dummy variable that equals 1 if a firm has high political connections, classified as having a SOER value above the median; otherwise, it is considered to have low political connections.</w:t>
            </w:r>
          </w:p>
        </w:tc>
      </w:tr>
      <w:tr w:rsidR="00857B8E" w:rsidRPr="009E1900" w14:paraId="306C5CA9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E30F04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MarketCap</w:t>
            </w:r>
          </w:p>
        </w:tc>
        <w:tc>
          <w:tcPr>
            <w:tcW w:w="0" w:type="auto"/>
            <w:vAlign w:val="center"/>
            <w:hideMark/>
          </w:tcPr>
          <w:p w14:paraId="02C3E672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Market capitalization, measured as the total market value of a company's outstanding shares.</w:t>
            </w:r>
          </w:p>
        </w:tc>
      </w:tr>
      <w:tr w:rsidR="00857B8E" w:rsidRPr="009E1900" w14:paraId="3B7FA5F7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2B908B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BTM</w:t>
            </w:r>
          </w:p>
        </w:tc>
        <w:tc>
          <w:tcPr>
            <w:tcW w:w="0" w:type="auto"/>
            <w:vAlign w:val="center"/>
            <w:hideMark/>
          </w:tcPr>
          <w:p w14:paraId="4A550A79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Book-to-market ratio, indicating the ratio of a company's book value to its market value.</w:t>
            </w:r>
          </w:p>
        </w:tc>
      </w:tr>
      <w:tr w:rsidR="00857B8E" w:rsidRPr="009E1900" w14:paraId="3994D6B0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0EBEB0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InstOwn</w:t>
            </w:r>
          </w:p>
        </w:tc>
        <w:tc>
          <w:tcPr>
            <w:tcW w:w="0" w:type="auto"/>
            <w:vAlign w:val="center"/>
            <w:hideMark/>
          </w:tcPr>
          <w:p w14:paraId="6FB62420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Institutional ownership, measured as the proportion of a company's shares owned by institutional investors.</w:t>
            </w:r>
          </w:p>
        </w:tc>
      </w:tr>
      <w:tr w:rsidR="00857B8E" w:rsidRPr="009E1900" w14:paraId="0C976BE6" w14:textId="77777777" w:rsidTr="005378B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FCE98B" w14:textId="77777777" w:rsidR="00857B8E" w:rsidRPr="00FD0BBB" w:rsidRDefault="00857B8E" w:rsidP="005378B5">
            <w:pPr>
              <w:pStyle w:val="NoSpacing"/>
              <w:jc w:val="center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ReturnSD</w:t>
            </w:r>
          </w:p>
        </w:tc>
        <w:tc>
          <w:tcPr>
            <w:tcW w:w="0" w:type="auto"/>
            <w:vAlign w:val="center"/>
            <w:hideMark/>
          </w:tcPr>
          <w:p w14:paraId="0A98378A" w14:textId="77777777" w:rsidR="00857B8E" w:rsidRPr="00FD0BBB" w:rsidRDefault="00857B8E" w:rsidP="005378B5">
            <w:pPr>
              <w:pStyle w:val="NoSpacing"/>
              <w:jc w:val="both"/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</w:pPr>
            <w:r w:rsidRPr="00FD0BBB">
              <w:rPr>
                <w:rFonts w:asciiTheme="majorBidi" w:eastAsia="DengXian" w:hAnsiTheme="majorBidi" w:cstheme="majorBidi"/>
                <w:color w:val="000000" w:themeColor="text1"/>
                <w:sz w:val="20"/>
                <w:szCs w:val="20"/>
              </w:rPr>
              <w:t>Return standard deviation, a measure of stock price volatility over a specific period.</w:t>
            </w:r>
          </w:p>
        </w:tc>
      </w:tr>
    </w:tbl>
    <w:p w14:paraId="281303F7" w14:textId="77777777" w:rsidR="00857B8E" w:rsidRPr="009E1900" w:rsidRDefault="00857B8E" w:rsidP="00857B8E">
      <w:pPr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16E11B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B8E"/>
    <w:rsid w:val="003C2EF4"/>
    <w:rsid w:val="00857B8E"/>
    <w:rsid w:val="0092236A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C8195"/>
  <w15:chartTrackingRefBased/>
  <w15:docId w15:val="{6A72282C-AC7F-49B2-A64B-3CA157DD4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B8E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7B8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B8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B8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B8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B8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B8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B8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B8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B8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B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B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B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B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B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B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B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B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B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7B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7B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B8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7B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7B8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7B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B8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7B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B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B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B8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57B8E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490</Words>
  <Characters>2799</Characters>
  <Application>Microsoft Office Word</Application>
  <DocSecurity>0</DocSecurity>
  <Lines>23</Lines>
  <Paragraphs>6</Paragraphs>
  <ScaleCrop>false</ScaleCrop>
  <Company>Springer Nature</Company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2024-10-28T08:32:00Z</dcterms:created>
  <dcterms:modified xsi:type="dcterms:W3CDTF">2024-10-28T08:32:00Z</dcterms:modified>
</cp:coreProperties>
</file>