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A2453E8" w14:textId="77777777" w:rsidR="00206107" w:rsidRDefault="00206107" w:rsidP="00206107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kern w:val="0"/>
          <w:sz w:val="22"/>
        </w:rPr>
      </w:pPr>
      <w:r>
        <w:rPr>
          <w:rFonts w:ascii="Times New Roman" w:hAnsi="Times New Roman" w:cs="Times New Roman"/>
          <w:b/>
          <w:bCs/>
          <w:noProof/>
          <w:kern w:val="0"/>
          <w:sz w:val="22"/>
        </w:rPr>
        <w:drawing>
          <wp:inline distT="0" distB="0" distL="0" distR="0" wp14:anchorId="43FDBC79" wp14:editId="0295AB33">
            <wp:extent cx="5759450" cy="5748655"/>
            <wp:effectExtent l="0" t="0" r="0" b="4445"/>
            <wp:docPr id="4" name="图片 4" descr="A collage of a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A collage of a diagram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5748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bCs/>
          <w:kern w:val="0"/>
          <w:sz w:val="22"/>
        </w:rPr>
        <w:t>Supplementary</w:t>
      </w:r>
      <w:r>
        <w:rPr>
          <w:rFonts w:ascii="Times New Roman" w:hAnsi="Times New Roman" w:cs="Times New Roman" w:hint="eastAsia"/>
          <w:b/>
          <w:bCs/>
          <w:kern w:val="0"/>
          <w:sz w:val="22"/>
        </w:rPr>
        <w:t xml:space="preserve"> </w:t>
      </w:r>
      <w:r>
        <w:rPr>
          <w:rFonts w:ascii="Times New Roman" w:hAnsi="Times New Roman" w:cs="Times New Roman"/>
          <w:b/>
          <w:bCs/>
          <w:kern w:val="0"/>
          <w:sz w:val="22"/>
        </w:rPr>
        <w:t xml:space="preserve">Figure </w:t>
      </w:r>
      <w:r>
        <w:rPr>
          <w:rFonts w:ascii="Times New Roman" w:hAnsi="Times New Roman" w:cs="Times New Roman" w:hint="eastAsia"/>
          <w:b/>
          <w:bCs/>
          <w:kern w:val="0"/>
          <w:sz w:val="22"/>
        </w:rPr>
        <w:t>1</w:t>
      </w:r>
      <w:r>
        <w:rPr>
          <w:rFonts w:ascii="Times New Roman" w:hAnsi="Times New Roman" w:cs="Times New Roman"/>
          <w:b/>
          <w:bCs/>
          <w:kern w:val="0"/>
          <w:sz w:val="22"/>
        </w:rPr>
        <w:t xml:space="preserve">. Identification distinct metabolic subtypes in </w:t>
      </w:r>
      <w:r>
        <w:rPr>
          <w:rFonts w:ascii="Times New Roman" w:hAnsi="Times New Roman" w:cs="Times New Roman"/>
          <w:b/>
          <w:bCs/>
          <w:sz w:val="22"/>
        </w:rPr>
        <w:t>HNSCC</w:t>
      </w:r>
      <w:r>
        <w:rPr>
          <w:rFonts w:ascii="Times New Roman" w:hAnsi="Times New Roman" w:cs="Times New Roman"/>
          <w:b/>
          <w:bCs/>
          <w:kern w:val="0"/>
          <w:sz w:val="22"/>
        </w:rPr>
        <w:t xml:space="preserve"> through metabolism gene profiling.</w:t>
      </w:r>
      <w:r>
        <w:rPr>
          <w:rFonts w:ascii="Times New Roman" w:hAnsi="Times New Roman" w:cs="Times New Roman" w:hint="eastAsia"/>
          <w:b/>
          <w:bCs/>
          <w:kern w:val="0"/>
          <w:sz w:val="22"/>
        </w:rPr>
        <w:t xml:space="preserve"> </w:t>
      </w:r>
    </w:p>
    <w:p w14:paraId="7EB3A19A" w14:textId="77777777" w:rsidR="00206107" w:rsidRDefault="00206107" w:rsidP="00206107">
      <w:pPr>
        <w:adjustRightInd w:val="0"/>
        <w:snapToGrid w:val="0"/>
        <w:spacing w:line="480" w:lineRule="auto"/>
        <w:rPr>
          <w:rFonts w:ascii="Times New Roman" w:hAnsi="Times New Roman" w:cs="Times New Roman"/>
          <w:kern w:val="0"/>
          <w:sz w:val="22"/>
        </w:rPr>
      </w:pPr>
      <w:r>
        <w:rPr>
          <w:rFonts w:ascii="Times New Roman" w:hAnsi="Times New Roman" w:cs="Times New Roman" w:hint="eastAsia"/>
          <w:kern w:val="0"/>
          <w:sz w:val="22"/>
        </w:rPr>
        <w:t xml:space="preserve">A-D. </w:t>
      </w:r>
      <w:r>
        <w:rPr>
          <w:rFonts w:ascii="Times New Roman" w:hAnsi="Times New Roman" w:cs="Times New Roman"/>
          <w:kern w:val="0"/>
          <w:sz w:val="22"/>
        </w:rPr>
        <w:t xml:space="preserve">Heatmaps </w:t>
      </w:r>
      <w:r>
        <w:rPr>
          <w:rFonts w:ascii="Times New Roman" w:hAnsi="Times New Roman" w:cs="Times New Roman" w:hint="eastAsia"/>
          <w:kern w:val="0"/>
          <w:sz w:val="22"/>
        </w:rPr>
        <w:t xml:space="preserve">shows the different </w:t>
      </w:r>
      <w:r>
        <w:rPr>
          <w:rFonts w:ascii="Times New Roman" w:hAnsi="Times New Roman" w:cs="Times New Roman"/>
          <w:kern w:val="0"/>
          <w:sz w:val="22"/>
        </w:rPr>
        <w:t>k value</w:t>
      </w:r>
      <w:r>
        <w:rPr>
          <w:rFonts w:ascii="Times New Roman" w:hAnsi="Times New Roman" w:cs="Times New Roman" w:hint="eastAsia"/>
          <w:kern w:val="0"/>
          <w:sz w:val="22"/>
        </w:rPr>
        <w:t xml:space="preserve"> of consensus matrix in </w:t>
      </w:r>
      <w:r>
        <w:rPr>
          <w:rFonts w:ascii="Times New Roman" w:hAnsi="Times New Roman" w:cs="Times New Roman"/>
          <w:kern w:val="0"/>
          <w:sz w:val="22"/>
        </w:rPr>
        <w:t>TCGA cohort.</w:t>
      </w:r>
      <w:r>
        <w:rPr>
          <w:rFonts w:ascii="Times New Roman" w:hAnsi="Times New Roman" w:cs="Times New Roman" w:hint="eastAsia"/>
          <w:kern w:val="0"/>
          <w:sz w:val="22"/>
        </w:rPr>
        <w:t xml:space="preserve"> E. Delta area</w:t>
      </w:r>
      <w:r>
        <w:rPr>
          <w:rFonts w:ascii="Times New Roman" w:hAnsi="Times New Roman" w:cs="Times New Roman"/>
          <w:kern w:val="0"/>
          <w:sz w:val="22"/>
        </w:rPr>
        <w:t xml:space="preserve"> </w:t>
      </w:r>
      <w:r>
        <w:rPr>
          <w:rFonts w:ascii="Times New Roman" w:hAnsi="Times New Roman" w:cs="Times New Roman" w:hint="eastAsia"/>
          <w:kern w:val="0"/>
          <w:sz w:val="22"/>
        </w:rPr>
        <w:t xml:space="preserve">of </w:t>
      </w:r>
      <w:r>
        <w:rPr>
          <w:rFonts w:ascii="Times New Roman" w:hAnsi="Times New Roman" w:cs="Times New Roman"/>
          <w:kern w:val="0"/>
          <w:sz w:val="22"/>
        </w:rPr>
        <w:t>distribution function (</w:t>
      </w:r>
      <w:r>
        <w:rPr>
          <w:rFonts w:ascii="Times New Roman" w:hAnsi="Times New Roman" w:cs="Times New Roman" w:hint="eastAsia"/>
          <w:kern w:val="0"/>
          <w:sz w:val="22"/>
        </w:rPr>
        <w:t>CDF</w:t>
      </w:r>
      <w:r>
        <w:rPr>
          <w:rFonts w:ascii="Times New Roman" w:hAnsi="Times New Roman" w:cs="Times New Roman"/>
          <w:kern w:val="0"/>
          <w:sz w:val="22"/>
        </w:rPr>
        <w:t>) curve for k = 2</w:t>
      </w:r>
      <w:r>
        <w:rPr>
          <w:rFonts w:ascii="Times New Roman" w:hAnsi="Times New Roman" w:cs="Times New Roman" w:hint="eastAsia"/>
          <w:kern w:val="0"/>
          <w:sz w:val="22"/>
        </w:rPr>
        <w:t>-6</w:t>
      </w:r>
      <w:r>
        <w:rPr>
          <w:rFonts w:ascii="Times New Roman" w:hAnsi="Times New Roman" w:cs="Times New Roman"/>
          <w:kern w:val="0"/>
          <w:sz w:val="22"/>
        </w:rPr>
        <w:t xml:space="preserve"> is shown</w:t>
      </w:r>
      <w:r>
        <w:rPr>
          <w:rFonts w:ascii="Times New Roman" w:hAnsi="Times New Roman" w:cs="Times New Roman" w:hint="eastAsia"/>
          <w:kern w:val="0"/>
          <w:sz w:val="22"/>
        </w:rPr>
        <w:t xml:space="preserve">. F. Consensus </w:t>
      </w:r>
      <w:r>
        <w:rPr>
          <w:rFonts w:ascii="Times New Roman" w:hAnsi="Times New Roman" w:cs="Times New Roman"/>
          <w:kern w:val="0"/>
          <w:sz w:val="22"/>
        </w:rPr>
        <w:t>CDF for k = 2</w:t>
      </w:r>
      <w:r>
        <w:rPr>
          <w:rFonts w:ascii="Times New Roman" w:hAnsi="Times New Roman" w:cs="Times New Roman" w:hint="eastAsia"/>
          <w:kern w:val="0"/>
          <w:sz w:val="22"/>
        </w:rPr>
        <w:t>-6</w:t>
      </w:r>
      <w:r>
        <w:rPr>
          <w:rFonts w:ascii="Times New Roman" w:hAnsi="Times New Roman" w:cs="Times New Roman"/>
          <w:kern w:val="0"/>
          <w:sz w:val="22"/>
        </w:rPr>
        <w:t xml:space="preserve"> is shown. </w:t>
      </w:r>
      <w:r>
        <w:rPr>
          <w:rFonts w:ascii="Times New Roman" w:hAnsi="Times New Roman" w:cs="Times New Roman" w:hint="eastAsia"/>
          <w:kern w:val="0"/>
          <w:sz w:val="22"/>
        </w:rPr>
        <w:t xml:space="preserve">G-H. PCA </w:t>
      </w:r>
      <w:r>
        <w:rPr>
          <w:rFonts w:ascii="Times New Roman" w:hAnsi="Times New Roman" w:cs="Times New Roman"/>
          <w:kern w:val="0"/>
          <w:sz w:val="22"/>
        </w:rPr>
        <w:t xml:space="preserve">of </w:t>
      </w:r>
      <w:r>
        <w:rPr>
          <w:rFonts w:ascii="Times New Roman" w:hAnsi="Times New Roman" w:cs="Times New Roman" w:hint="eastAsia"/>
          <w:kern w:val="0"/>
          <w:sz w:val="22"/>
        </w:rPr>
        <w:t>different</w:t>
      </w:r>
      <w:r>
        <w:rPr>
          <w:rFonts w:ascii="Times New Roman" w:hAnsi="Times New Roman" w:cs="Times New Roman"/>
          <w:kern w:val="0"/>
          <w:sz w:val="22"/>
        </w:rPr>
        <w:t xml:space="preserve"> metabolic subtypes using candidate</w:t>
      </w:r>
      <w:r>
        <w:rPr>
          <w:rFonts w:ascii="Times New Roman" w:hAnsi="Times New Roman" w:cs="Times New Roman" w:hint="eastAsia"/>
          <w:kern w:val="0"/>
          <w:sz w:val="22"/>
        </w:rPr>
        <w:t xml:space="preserve"> </w:t>
      </w:r>
      <w:r>
        <w:rPr>
          <w:rFonts w:ascii="Times New Roman" w:hAnsi="Times New Roman" w:cs="Times New Roman"/>
          <w:kern w:val="0"/>
          <w:sz w:val="22"/>
        </w:rPr>
        <w:t>genes</w:t>
      </w:r>
      <w:r>
        <w:rPr>
          <w:rFonts w:ascii="Times New Roman" w:hAnsi="Times New Roman" w:cs="Times New Roman" w:hint="eastAsia"/>
          <w:kern w:val="0"/>
          <w:sz w:val="22"/>
        </w:rPr>
        <w:t>.</w:t>
      </w:r>
    </w:p>
    <w:p w14:paraId="4C4B853C" w14:textId="77777777" w:rsidR="00206107" w:rsidRDefault="00206107" w:rsidP="00206107">
      <w:pPr>
        <w:adjustRightInd w:val="0"/>
        <w:snapToGrid w:val="0"/>
        <w:spacing w:line="480" w:lineRule="auto"/>
        <w:rPr>
          <w:rFonts w:ascii="Times New Roman" w:hAnsi="Times New Roman" w:cs="Times New Roman"/>
          <w:kern w:val="0"/>
          <w:sz w:val="22"/>
        </w:rPr>
      </w:pPr>
      <w:r>
        <w:rPr>
          <w:rFonts w:ascii="Times New Roman" w:hAnsi="Times New Roman" w:cs="Times New Roman"/>
          <w:kern w:val="0"/>
          <w:sz w:val="22"/>
        </w:rPr>
        <w:br w:type="page"/>
      </w:r>
    </w:p>
    <w:p w14:paraId="0843250B" w14:textId="77777777" w:rsidR="00206107" w:rsidRDefault="00206107" w:rsidP="00206107">
      <w:pPr>
        <w:adjustRightInd w:val="0"/>
        <w:snapToGrid w:val="0"/>
        <w:spacing w:line="480" w:lineRule="auto"/>
        <w:rPr>
          <w:rFonts w:ascii="Times New Roman" w:hAnsi="Times New Roman" w:cs="Times New Roman"/>
          <w:kern w:val="0"/>
          <w:sz w:val="22"/>
        </w:rPr>
      </w:pPr>
      <w:r>
        <w:rPr>
          <w:rFonts w:ascii="Times New Roman" w:hAnsi="Times New Roman" w:cs="Times New Roman"/>
          <w:noProof/>
          <w:kern w:val="0"/>
          <w:sz w:val="22"/>
        </w:rPr>
        <w:lastRenderedPageBreak/>
        <w:drawing>
          <wp:inline distT="0" distB="0" distL="0" distR="0" wp14:anchorId="08D2CD5D" wp14:editId="68B854AF">
            <wp:extent cx="5759450" cy="5718175"/>
            <wp:effectExtent l="0" t="0" r="0" b="0"/>
            <wp:docPr id="5" name="图片 5" descr="A screenshot of a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A screenshot of a chart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5718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F0CD19" w14:textId="77777777" w:rsidR="00206107" w:rsidRDefault="00206107" w:rsidP="00206107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kern w:val="0"/>
          <w:sz w:val="22"/>
        </w:rPr>
      </w:pPr>
      <w:r>
        <w:rPr>
          <w:rFonts w:ascii="Times New Roman" w:hAnsi="Times New Roman" w:cs="Times New Roman"/>
          <w:b/>
          <w:bCs/>
          <w:kern w:val="0"/>
          <w:sz w:val="22"/>
        </w:rPr>
        <w:t>Supplementary</w:t>
      </w:r>
      <w:r>
        <w:rPr>
          <w:rFonts w:ascii="Times New Roman" w:hAnsi="Times New Roman" w:cs="Times New Roman" w:hint="eastAsia"/>
          <w:b/>
          <w:bCs/>
          <w:kern w:val="0"/>
          <w:sz w:val="22"/>
        </w:rPr>
        <w:t xml:space="preserve"> </w:t>
      </w:r>
      <w:r>
        <w:rPr>
          <w:rFonts w:ascii="Times New Roman" w:hAnsi="Times New Roman" w:cs="Times New Roman"/>
          <w:b/>
          <w:bCs/>
          <w:kern w:val="0"/>
          <w:sz w:val="22"/>
        </w:rPr>
        <w:t xml:space="preserve">Figure </w:t>
      </w:r>
      <w:r>
        <w:rPr>
          <w:rFonts w:ascii="Times New Roman" w:hAnsi="Times New Roman" w:cs="Times New Roman" w:hint="eastAsia"/>
          <w:b/>
          <w:bCs/>
          <w:kern w:val="0"/>
          <w:sz w:val="22"/>
        </w:rPr>
        <w:t>2</w:t>
      </w:r>
      <w:r>
        <w:rPr>
          <w:rFonts w:ascii="Times New Roman" w:hAnsi="Times New Roman" w:cs="Times New Roman"/>
          <w:b/>
          <w:bCs/>
          <w:kern w:val="0"/>
          <w:sz w:val="22"/>
        </w:rPr>
        <w:t>. Clinical characteristics of metabolic subtypes in TCGA</w:t>
      </w:r>
      <w:r>
        <w:rPr>
          <w:rFonts w:ascii="Times New Roman" w:hAnsi="Times New Roman" w:cs="Times New Roman" w:hint="eastAsia"/>
          <w:b/>
          <w:bCs/>
          <w:kern w:val="0"/>
          <w:sz w:val="22"/>
        </w:rPr>
        <w:t xml:space="preserve"> and GEO</w:t>
      </w:r>
      <w:r>
        <w:rPr>
          <w:rFonts w:ascii="Times New Roman" w:hAnsi="Times New Roman" w:cs="Times New Roman"/>
          <w:b/>
          <w:bCs/>
          <w:kern w:val="0"/>
          <w:sz w:val="22"/>
        </w:rPr>
        <w:t xml:space="preserve"> cohorts.</w:t>
      </w:r>
    </w:p>
    <w:p w14:paraId="3AF8F11A" w14:textId="77777777" w:rsidR="00206107" w:rsidRDefault="00206107" w:rsidP="00206107">
      <w:pPr>
        <w:adjustRightInd w:val="0"/>
        <w:snapToGrid w:val="0"/>
        <w:spacing w:line="480" w:lineRule="auto"/>
        <w:rPr>
          <w:rFonts w:ascii="Times New Roman" w:hAnsi="Times New Roman" w:cs="Times New Roman"/>
          <w:kern w:val="0"/>
          <w:sz w:val="22"/>
        </w:rPr>
      </w:pPr>
      <w:r>
        <w:rPr>
          <w:rFonts w:ascii="Times New Roman" w:hAnsi="Times New Roman" w:cs="Times New Roman" w:hint="eastAsia"/>
          <w:kern w:val="0"/>
          <w:sz w:val="22"/>
        </w:rPr>
        <w:t xml:space="preserve">A. </w:t>
      </w:r>
      <w:r>
        <w:rPr>
          <w:rFonts w:ascii="Times New Roman" w:hAnsi="Times New Roman" w:cs="Times New Roman"/>
          <w:kern w:val="0"/>
          <w:sz w:val="22"/>
        </w:rPr>
        <w:t xml:space="preserve">Correlation of the </w:t>
      </w:r>
      <w:r>
        <w:rPr>
          <w:rFonts w:ascii="Times New Roman" w:hAnsi="Times New Roman" w:cs="Times New Roman"/>
          <w:sz w:val="22"/>
        </w:rPr>
        <w:t>HNSCC</w:t>
      </w:r>
      <w:r>
        <w:rPr>
          <w:rFonts w:ascii="Times New Roman" w:hAnsi="Times New Roman" w:cs="Times New Roman"/>
          <w:kern w:val="0"/>
          <w:sz w:val="22"/>
        </w:rPr>
        <w:t xml:space="preserve"> subclasses with</w:t>
      </w:r>
      <w:r>
        <w:rPr>
          <w:rFonts w:ascii="Times New Roman" w:hAnsi="Times New Roman" w:cs="Times New Roman" w:hint="eastAsia"/>
          <w:kern w:val="0"/>
          <w:sz w:val="22"/>
        </w:rPr>
        <w:t xml:space="preserve"> </w:t>
      </w:r>
      <w:r>
        <w:rPr>
          <w:rFonts w:ascii="Times New Roman" w:hAnsi="Times New Roman" w:cs="Times New Roman"/>
          <w:kern w:val="0"/>
          <w:sz w:val="22"/>
        </w:rPr>
        <w:t>clinical</w:t>
      </w:r>
      <w:r>
        <w:rPr>
          <w:rFonts w:ascii="Times New Roman" w:hAnsi="Times New Roman" w:cs="Times New Roman" w:hint="eastAsia"/>
          <w:kern w:val="0"/>
          <w:sz w:val="22"/>
        </w:rPr>
        <w:t xml:space="preserve"> </w:t>
      </w:r>
      <w:r>
        <w:rPr>
          <w:rFonts w:ascii="Times New Roman" w:hAnsi="Times New Roman" w:cs="Times New Roman"/>
          <w:kern w:val="0"/>
          <w:sz w:val="22"/>
        </w:rPr>
        <w:t>characteristics in the TCGA cohort</w:t>
      </w:r>
      <w:r>
        <w:rPr>
          <w:rFonts w:ascii="Times New Roman" w:hAnsi="Times New Roman" w:cs="Times New Roman" w:hint="eastAsia"/>
          <w:kern w:val="0"/>
          <w:sz w:val="22"/>
        </w:rPr>
        <w:t xml:space="preserve"> and GEO </w:t>
      </w:r>
      <w:r>
        <w:rPr>
          <w:rFonts w:ascii="Times New Roman" w:hAnsi="Times New Roman" w:cs="Times New Roman"/>
          <w:kern w:val="0"/>
          <w:sz w:val="22"/>
        </w:rPr>
        <w:t>cohort.</w:t>
      </w:r>
      <w:r>
        <w:rPr>
          <w:rFonts w:ascii="Times New Roman" w:hAnsi="Times New Roman" w:cs="Times New Roman" w:hint="eastAsia"/>
          <w:kern w:val="0"/>
          <w:sz w:val="22"/>
        </w:rPr>
        <w:t xml:space="preserve"> B-C. </w:t>
      </w:r>
      <w:r>
        <w:rPr>
          <w:rFonts w:ascii="Times New Roman" w:hAnsi="Times New Roman" w:cs="Times New Roman"/>
          <w:kern w:val="0"/>
          <w:sz w:val="22"/>
        </w:rPr>
        <w:t>Heatmaps show</w:t>
      </w:r>
      <w:r>
        <w:rPr>
          <w:rFonts w:ascii="Times New Roman" w:hAnsi="Times New Roman" w:cs="Times New Roman" w:hint="eastAsia"/>
          <w:kern w:val="0"/>
          <w:sz w:val="22"/>
        </w:rPr>
        <w:t xml:space="preserve"> the key up-regulated (B) and down-regulated (C) genes in </w:t>
      </w:r>
      <w:r>
        <w:rPr>
          <w:rFonts w:ascii="Times New Roman" w:hAnsi="Times New Roman" w:cs="Times New Roman"/>
          <w:kern w:val="0"/>
          <w:sz w:val="22"/>
        </w:rPr>
        <w:t>different metabolic subtypes.</w:t>
      </w:r>
    </w:p>
    <w:p w14:paraId="7B46550C" w14:textId="77777777" w:rsidR="00206107" w:rsidRDefault="00206107" w:rsidP="00206107">
      <w:pPr>
        <w:adjustRightInd w:val="0"/>
        <w:snapToGrid w:val="0"/>
        <w:spacing w:line="480" w:lineRule="auto"/>
        <w:rPr>
          <w:rFonts w:ascii="Times New Roman" w:hAnsi="Times New Roman" w:cs="Times New Roman"/>
          <w:kern w:val="0"/>
          <w:sz w:val="22"/>
        </w:rPr>
      </w:pPr>
    </w:p>
    <w:p w14:paraId="5439AF0F" w14:textId="77777777" w:rsidR="00206107" w:rsidRDefault="00206107" w:rsidP="00206107">
      <w:pPr>
        <w:adjustRightInd w:val="0"/>
        <w:snapToGrid w:val="0"/>
        <w:spacing w:line="480" w:lineRule="auto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fldChar w:fldCharType="begin"/>
      </w:r>
      <w:r>
        <w:rPr>
          <w:rFonts w:ascii="Times New Roman" w:hAnsi="Times New Roman" w:cs="Times New Roman"/>
          <w:kern w:val="0"/>
          <w:sz w:val="24"/>
          <w:szCs w:val="24"/>
        </w:rPr>
        <w:instrText xml:space="preserve"> ADDIN </w:instrText>
      </w:r>
      <w:r>
        <w:rPr>
          <w:rFonts w:ascii="Times New Roman" w:hAnsi="Times New Roman" w:cs="Times New Roman"/>
          <w:kern w:val="0"/>
          <w:sz w:val="24"/>
          <w:szCs w:val="24"/>
        </w:rPr>
        <w:fldChar w:fldCharType="end"/>
      </w:r>
    </w:p>
    <w:p w14:paraId="27B290E9" w14:textId="77777777" w:rsidR="00F553FF" w:rsidRDefault="00F553FF"/>
    <w:sectPr w:rsidR="00F553FF" w:rsidSect="00206107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6107"/>
    <w:rsid w:val="00206107"/>
    <w:rsid w:val="003C2EF4"/>
    <w:rsid w:val="00B74216"/>
    <w:rsid w:val="00D62F8C"/>
    <w:rsid w:val="00EE3363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CEB675"/>
  <w15:chartTrackingRefBased/>
  <w15:docId w15:val="{7E9FF4FB-A710-4AA1-AE11-6428FCB946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6107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06107"/>
    <w:pPr>
      <w:keepNext/>
      <w:keepLines/>
      <w:widowControl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06107"/>
    <w:pPr>
      <w:keepNext/>
      <w:keepLines/>
      <w:widowControl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06107"/>
    <w:pPr>
      <w:keepNext/>
      <w:keepLines/>
      <w:widowControl/>
      <w:spacing w:before="160" w:after="80" w:line="259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06107"/>
    <w:pPr>
      <w:keepNext/>
      <w:keepLines/>
      <w:widowControl/>
      <w:spacing w:before="80" w:after="40" w:line="259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06107"/>
    <w:pPr>
      <w:keepNext/>
      <w:keepLines/>
      <w:widowControl/>
      <w:spacing w:before="80" w:after="40" w:line="259" w:lineRule="auto"/>
      <w:jc w:val="left"/>
      <w:outlineLvl w:val="4"/>
    </w:pPr>
    <w:rPr>
      <w:rFonts w:eastAsiaTheme="majorEastAsia" w:cstheme="majorBidi"/>
      <w:color w:val="0F4761" w:themeColor="accent1" w:themeShade="BF"/>
      <w:sz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06107"/>
    <w:pPr>
      <w:keepNext/>
      <w:keepLines/>
      <w:widowControl/>
      <w:spacing w:before="40" w:line="259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06107"/>
    <w:pPr>
      <w:keepNext/>
      <w:keepLines/>
      <w:widowControl/>
      <w:spacing w:before="40" w:line="259" w:lineRule="auto"/>
      <w:jc w:val="left"/>
      <w:outlineLvl w:val="6"/>
    </w:pPr>
    <w:rPr>
      <w:rFonts w:eastAsiaTheme="majorEastAsia" w:cstheme="majorBidi"/>
      <w:color w:val="595959" w:themeColor="text1" w:themeTint="A6"/>
      <w:sz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06107"/>
    <w:pPr>
      <w:keepNext/>
      <w:keepLines/>
      <w:widowControl/>
      <w:spacing w:line="259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06107"/>
    <w:pPr>
      <w:keepNext/>
      <w:keepLines/>
      <w:widowControl/>
      <w:spacing w:line="259" w:lineRule="auto"/>
      <w:jc w:val="left"/>
      <w:outlineLvl w:val="8"/>
    </w:pPr>
    <w:rPr>
      <w:rFonts w:eastAsiaTheme="majorEastAsia" w:cstheme="majorBidi"/>
      <w:color w:val="272727" w:themeColor="text1" w:themeTint="D8"/>
      <w:sz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0610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0610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0610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0610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0610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0610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0610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0610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0610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06107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0610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06107"/>
    <w:pPr>
      <w:widowControl/>
      <w:numPr>
        <w:ilvl w:val="1"/>
      </w:numPr>
      <w:spacing w:after="160" w:line="259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0610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06107"/>
    <w:pPr>
      <w:widowControl/>
      <w:spacing w:before="160" w:after="160" w:line="259" w:lineRule="auto"/>
      <w:jc w:val="center"/>
    </w:pPr>
    <w:rPr>
      <w:rFonts w:eastAsiaTheme="minorHAnsi"/>
      <w:i/>
      <w:iCs/>
      <w:color w:val="404040" w:themeColor="text1" w:themeTint="BF"/>
      <w:sz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0610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06107"/>
    <w:pPr>
      <w:widowControl/>
      <w:spacing w:after="160" w:line="259" w:lineRule="auto"/>
      <w:ind w:left="720"/>
      <w:contextualSpacing/>
      <w:jc w:val="left"/>
    </w:pPr>
    <w:rPr>
      <w:rFonts w:eastAsiaTheme="minorHAnsi"/>
      <w:sz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0610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06107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0610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0610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102</Words>
  <Characters>587</Characters>
  <Application>Microsoft Office Word</Application>
  <DocSecurity>0</DocSecurity>
  <Lines>4</Lines>
  <Paragraphs>1</Paragraphs>
  <ScaleCrop>false</ScaleCrop>
  <Company>Springer Nature</Company>
  <LinksUpToDate>false</LinksUpToDate>
  <CharactersWithSpaces>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2024-12-13T11:27:00Z</dcterms:created>
  <dcterms:modified xsi:type="dcterms:W3CDTF">2024-12-13T11:28:00Z</dcterms:modified>
</cp:coreProperties>
</file>