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E05487" w14:textId="4C794387" w:rsidR="00AF35DA" w:rsidRDefault="00AF35DA">
      <w:pPr>
        <w:rPr>
          <w:rFonts w:ascii="Bold" w:hAnsi="Bold" w:cs="Times New Roman" w:hint="eastAsia"/>
          <w:b/>
          <w:bCs/>
          <w:sz w:val="32"/>
          <w:szCs w:val="32"/>
        </w:rPr>
      </w:pPr>
      <w:r w:rsidRPr="00AF35DA">
        <w:rPr>
          <w:rFonts w:ascii="Bold" w:hAnsi="Bold" w:cs="Times New Roman"/>
          <w:b/>
          <w:bCs/>
          <w:sz w:val="32"/>
          <w:szCs w:val="32"/>
        </w:rPr>
        <w:t>Supporting Information</w:t>
      </w:r>
      <w:r>
        <w:rPr>
          <w:rFonts w:ascii="Bold" w:hAnsi="Bold" w:cs="Times New Roman"/>
          <w:b/>
          <w:bCs/>
          <w:sz w:val="32"/>
          <w:szCs w:val="32"/>
        </w:rPr>
        <w:t xml:space="preserve"> </w:t>
      </w:r>
      <w:r w:rsidRPr="00AF35DA">
        <w:rPr>
          <w:rFonts w:ascii="Bold" w:hAnsi="Bold" w:cs="Times New Roman"/>
          <w:b/>
          <w:bCs/>
          <w:sz w:val="32"/>
          <w:szCs w:val="32"/>
        </w:rPr>
        <w:t>for</w:t>
      </w:r>
    </w:p>
    <w:p w14:paraId="63206F07" w14:textId="14A39C48" w:rsidR="00AF35DA" w:rsidRPr="00AF35DA" w:rsidRDefault="00AF35DA">
      <w:pPr>
        <w:rPr>
          <w:rFonts w:ascii="Times New Roman" w:hAnsi="Times New Roman" w:cs="Times New Roman"/>
          <w:sz w:val="24"/>
          <w:szCs w:val="24"/>
        </w:rPr>
      </w:pPr>
      <w:r w:rsidRPr="00AF35DA">
        <w:rPr>
          <w:rFonts w:ascii="Times New Roman" w:hAnsi="Times New Roman" w:cs="Times New Roman"/>
          <w:sz w:val="24"/>
          <w:szCs w:val="24"/>
        </w:rPr>
        <w:t xml:space="preserve">Estimating Regional Terrestrial Ecosystem Carbon Sinks </w:t>
      </w:r>
      <w:r w:rsidR="006A26C8">
        <w:rPr>
          <w:rFonts w:ascii="Times New Roman" w:hAnsi="Times New Roman" w:cs="Times New Roman"/>
          <w:sz w:val="24"/>
          <w:szCs w:val="24"/>
        </w:rPr>
        <w:t xml:space="preserve">on </w:t>
      </w:r>
      <w:r w:rsidRPr="00AF35DA">
        <w:rPr>
          <w:rFonts w:ascii="Times New Roman" w:hAnsi="Times New Roman" w:cs="Times New Roman"/>
          <w:sz w:val="24"/>
          <w:szCs w:val="24"/>
        </w:rPr>
        <w:t>Multi-Model Coupling Approach</w:t>
      </w:r>
    </w:p>
    <w:p w14:paraId="71EF326F" w14:textId="77777777" w:rsidR="006A26C8" w:rsidRPr="00E74834" w:rsidRDefault="006A26C8" w:rsidP="006A26C8">
      <w:pPr>
        <w:rPr>
          <w:rFonts w:ascii="Arial" w:hAnsi="Arial" w:cs="Arial"/>
          <w:b/>
          <w:bCs/>
          <w:sz w:val="18"/>
          <w:szCs w:val="18"/>
        </w:rPr>
      </w:pPr>
      <w:r w:rsidRPr="00E74834">
        <w:rPr>
          <w:rFonts w:ascii="Arial" w:hAnsi="Arial" w:cs="Arial"/>
          <w:b/>
          <w:bCs/>
          <w:sz w:val="18"/>
          <w:szCs w:val="18"/>
        </w:rPr>
        <w:t>Qingzhou Lv</w:t>
      </w:r>
      <w:r w:rsidRPr="00E74834">
        <w:rPr>
          <w:rFonts w:ascii="Arial" w:hAnsi="Arial" w:cs="Arial"/>
          <w:b/>
          <w:bCs/>
          <w:sz w:val="18"/>
          <w:szCs w:val="18"/>
          <w:vertAlign w:val="superscript"/>
        </w:rPr>
        <w:t>1</w:t>
      </w:r>
      <w:r w:rsidRPr="00E74834">
        <w:rPr>
          <w:rFonts w:ascii="Arial" w:hAnsi="Arial" w:cs="Arial"/>
          <w:b/>
          <w:bCs/>
          <w:sz w:val="18"/>
          <w:szCs w:val="18"/>
        </w:rPr>
        <w:t>, Hui Yang</w:t>
      </w:r>
      <w:r w:rsidRPr="00E74834">
        <w:rPr>
          <w:rFonts w:ascii="Arial" w:hAnsi="Arial" w:cs="Arial"/>
          <w:b/>
          <w:bCs/>
          <w:sz w:val="18"/>
          <w:szCs w:val="18"/>
          <w:vertAlign w:val="superscript"/>
        </w:rPr>
        <w:t>1</w:t>
      </w:r>
      <w:r w:rsidRPr="00E74834">
        <w:rPr>
          <w:rFonts w:ascii="Arial" w:hAnsi="Arial" w:cs="Arial"/>
          <w:b/>
          <w:bCs/>
          <w:sz w:val="18"/>
          <w:szCs w:val="18"/>
        </w:rPr>
        <w:t>*, Jia Wang</w:t>
      </w:r>
      <w:r w:rsidRPr="00E74834">
        <w:rPr>
          <w:rFonts w:ascii="Arial" w:hAnsi="Arial" w:cs="Arial"/>
          <w:b/>
          <w:bCs/>
          <w:sz w:val="18"/>
          <w:szCs w:val="18"/>
          <w:vertAlign w:val="superscript"/>
        </w:rPr>
        <w:t>2</w:t>
      </w:r>
      <w:r w:rsidRPr="00E74834">
        <w:rPr>
          <w:rFonts w:ascii="Arial" w:hAnsi="Arial" w:cs="Arial"/>
          <w:b/>
          <w:bCs/>
          <w:sz w:val="18"/>
          <w:szCs w:val="18"/>
        </w:rPr>
        <w:t xml:space="preserve"> Gefei Feng</w:t>
      </w:r>
      <w:r w:rsidRPr="00E74834">
        <w:rPr>
          <w:rFonts w:ascii="Arial" w:hAnsi="Arial" w:cs="Arial"/>
          <w:b/>
          <w:bCs/>
          <w:sz w:val="18"/>
          <w:szCs w:val="18"/>
          <w:vertAlign w:val="superscript"/>
        </w:rPr>
        <w:t>3</w:t>
      </w:r>
      <w:r w:rsidRPr="00E74834">
        <w:rPr>
          <w:rFonts w:ascii="Arial" w:hAnsi="Arial" w:cs="Arial"/>
          <w:b/>
          <w:bCs/>
          <w:sz w:val="18"/>
          <w:szCs w:val="18"/>
        </w:rPr>
        <w:t>, W</w:t>
      </w:r>
      <w:r w:rsidRPr="00E74834">
        <w:rPr>
          <w:rFonts w:ascii="Arial" w:hAnsi="Arial" w:cs="Arial" w:hint="eastAsia"/>
          <w:b/>
          <w:bCs/>
          <w:sz w:val="18"/>
          <w:szCs w:val="18"/>
        </w:rPr>
        <w:t>anzeng</w:t>
      </w:r>
      <w:r w:rsidRPr="00E74834">
        <w:rPr>
          <w:rFonts w:ascii="Arial" w:hAnsi="Arial" w:cs="Arial"/>
          <w:b/>
          <w:bCs/>
          <w:sz w:val="18"/>
          <w:szCs w:val="18"/>
        </w:rPr>
        <w:t xml:space="preserve"> Liu</w:t>
      </w:r>
      <w:r w:rsidRPr="00E74834">
        <w:rPr>
          <w:rFonts w:ascii="Arial" w:hAnsi="Arial" w:cs="Arial"/>
          <w:b/>
          <w:bCs/>
          <w:sz w:val="18"/>
          <w:szCs w:val="18"/>
          <w:vertAlign w:val="superscript"/>
        </w:rPr>
        <w:t>4,5</w:t>
      </w:r>
      <w:r w:rsidRPr="00E74834">
        <w:rPr>
          <w:rFonts w:ascii="Arial" w:hAnsi="Arial" w:cs="Arial"/>
          <w:b/>
          <w:bCs/>
          <w:sz w:val="18"/>
          <w:szCs w:val="18"/>
        </w:rPr>
        <w:t>,</w:t>
      </w:r>
      <w:r w:rsidRPr="00E74834">
        <w:rPr>
          <w:sz w:val="20"/>
          <w:szCs w:val="21"/>
        </w:rPr>
        <w:t xml:space="preserve"> </w:t>
      </w:r>
      <w:r w:rsidRPr="00E74834">
        <w:rPr>
          <w:rFonts w:ascii="Arial" w:hAnsi="Arial" w:cs="Arial"/>
          <w:b/>
          <w:bCs/>
          <w:sz w:val="18"/>
          <w:szCs w:val="18"/>
        </w:rPr>
        <w:t>Yunhui Zhang</w:t>
      </w:r>
      <w:r w:rsidRPr="00E74834">
        <w:rPr>
          <w:rFonts w:ascii="Arial" w:hAnsi="Arial" w:cs="Arial"/>
          <w:b/>
          <w:bCs/>
          <w:sz w:val="18"/>
          <w:szCs w:val="18"/>
          <w:vertAlign w:val="superscript"/>
        </w:rPr>
        <w:t>6</w:t>
      </w:r>
      <w:r w:rsidRPr="00E74834">
        <w:rPr>
          <w:rFonts w:ascii="Arial" w:hAnsi="Arial" w:cs="Arial"/>
          <w:b/>
          <w:bCs/>
          <w:sz w:val="18"/>
          <w:szCs w:val="18"/>
        </w:rPr>
        <w:t>, Wenfeng Wang</w:t>
      </w:r>
      <w:r w:rsidRPr="00E74834">
        <w:rPr>
          <w:rFonts w:ascii="Arial" w:hAnsi="Arial" w:cs="Arial"/>
          <w:b/>
          <w:bCs/>
          <w:sz w:val="18"/>
          <w:szCs w:val="18"/>
          <w:vertAlign w:val="superscript"/>
        </w:rPr>
        <w:t>7,8</w:t>
      </w:r>
      <w:r w:rsidRPr="00E74834">
        <w:rPr>
          <w:rFonts w:ascii="Arial" w:hAnsi="Arial" w:cs="Arial"/>
          <w:b/>
          <w:bCs/>
          <w:sz w:val="18"/>
          <w:szCs w:val="18"/>
        </w:rPr>
        <w:t>, Cheng Wang</w:t>
      </w:r>
      <w:r w:rsidRPr="00E74834">
        <w:rPr>
          <w:rFonts w:ascii="Arial" w:hAnsi="Arial" w:cs="Arial"/>
          <w:b/>
          <w:bCs/>
          <w:sz w:val="18"/>
          <w:szCs w:val="18"/>
          <w:vertAlign w:val="superscript"/>
        </w:rPr>
        <w:t>9</w:t>
      </w:r>
      <w:r w:rsidRPr="00E74834">
        <w:rPr>
          <w:rFonts w:ascii="Arial" w:hAnsi="Arial" w:cs="Arial"/>
          <w:b/>
          <w:bCs/>
          <w:sz w:val="18"/>
          <w:szCs w:val="18"/>
        </w:rPr>
        <w:t>, Guoqin</w:t>
      </w:r>
      <w:r w:rsidRPr="00E74834">
        <w:rPr>
          <w:rFonts w:ascii="Arial" w:hAnsi="Arial" w:cs="Arial" w:hint="eastAsia"/>
          <w:b/>
          <w:bCs/>
          <w:sz w:val="18"/>
          <w:szCs w:val="18"/>
        </w:rPr>
        <w:t>g</w:t>
      </w:r>
      <w:r w:rsidRPr="00E74834">
        <w:rPr>
          <w:rFonts w:ascii="Arial" w:hAnsi="Arial" w:cs="Arial"/>
          <w:b/>
          <w:bCs/>
          <w:sz w:val="18"/>
          <w:szCs w:val="18"/>
        </w:rPr>
        <w:t xml:space="preserve"> Z</w:t>
      </w:r>
      <w:r w:rsidRPr="00E74834">
        <w:rPr>
          <w:rFonts w:ascii="Arial" w:hAnsi="Arial" w:cs="Arial" w:hint="eastAsia"/>
          <w:b/>
          <w:bCs/>
          <w:sz w:val="18"/>
          <w:szCs w:val="18"/>
        </w:rPr>
        <w:t>hang</w:t>
      </w:r>
      <w:r w:rsidRPr="00E74834">
        <w:rPr>
          <w:rFonts w:ascii="Arial" w:hAnsi="Arial" w:cs="Arial"/>
          <w:b/>
          <w:bCs/>
          <w:sz w:val="18"/>
          <w:szCs w:val="18"/>
          <w:vertAlign w:val="superscript"/>
        </w:rPr>
        <w:t>10</w:t>
      </w:r>
      <w:r w:rsidRPr="00E74834">
        <w:rPr>
          <w:rFonts w:ascii="Arial" w:hAnsi="Arial" w:cs="Arial" w:hint="eastAsia"/>
          <w:b/>
          <w:bCs/>
          <w:sz w:val="18"/>
          <w:szCs w:val="18"/>
        </w:rPr>
        <w:t>,</w:t>
      </w:r>
      <w:r w:rsidRPr="00E74834">
        <w:rPr>
          <w:rFonts w:ascii="Arial" w:hAnsi="Arial" w:cs="Arial"/>
          <w:b/>
          <w:bCs/>
          <w:sz w:val="18"/>
          <w:szCs w:val="18"/>
        </w:rPr>
        <w:t xml:space="preserve"> </w:t>
      </w:r>
      <w:r w:rsidRPr="00E74834">
        <w:rPr>
          <w:rFonts w:ascii="Arial" w:hAnsi="Arial" w:cs="Arial" w:hint="eastAsia"/>
          <w:b/>
          <w:bCs/>
          <w:sz w:val="18"/>
          <w:szCs w:val="18"/>
        </w:rPr>
        <w:t>Lei</w:t>
      </w:r>
      <w:r w:rsidRPr="00E74834">
        <w:rPr>
          <w:rFonts w:ascii="Arial" w:hAnsi="Arial" w:cs="Arial"/>
          <w:b/>
          <w:bCs/>
          <w:sz w:val="18"/>
          <w:szCs w:val="18"/>
        </w:rPr>
        <w:t xml:space="preserve"> L</w:t>
      </w:r>
      <w:r w:rsidRPr="00E74834">
        <w:rPr>
          <w:rFonts w:ascii="Arial" w:hAnsi="Arial" w:cs="Arial" w:hint="eastAsia"/>
          <w:b/>
          <w:bCs/>
          <w:sz w:val="18"/>
          <w:szCs w:val="18"/>
        </w:rPr>
        <w:t>iu</w:t>
      </w:r>
      <w:r w:rsidRPr="00E74834">
        <w:rPr>
          <w:rFonts w:ascii="Arial" w:hAnsi="Arial" w:cs="Arial"/>
          <w:b/>
          <w:bCs/>
          <w:sz w:val="18"/>
          <w:szCs w:val="18"/>
          <w:vertAlign w:val="superscript"/>
        </w:rPr>
        <w:t>11</w:t>
      </w:r>
      <w:r w:rsidRPr="00E74834">
        <w:rPr>
          <w:rFonts w:ascii="Arial" w:hAnsi="Arial" w:cs="Arial" w:hint="eastAsia"/>
          <w:b/>
          <w:bCs/>
          <w:sz w:val="18"/>
          <w:szCs w:val="18"/>
        </w:rPr>
        <w:t>,</w:t>
      </w:r>
      <w:r w:rsidRPr="00E74834">
        <w:rPr>
          <w:rFonts w:ascii="Arial" w:hAnsi="Arial" w:cs="Arial"/>
          <w:b/>
          <w:bCs/>
          <w:sz w:val="18"/>
          <w:szCs w:val="18"/>
        </w:rPr>
        <w:t xml:space="preserve"> Xinfeng Huang</w:t>
      </w:r>
      <w:r w:rsidRPr="00E74834">
        <w:rPr>
          <w:rFonts w:ascii="Arial" w:hAnsi="Arial" w:cs="Arial"/>
          <w:b/>
          <w:bCs/>
          <w:sz w:val="18"/>
          <w:szCs w:val="18"/>
          <w:vertAlign w:val="superscript"/>
        </w:rPr>
        <w:t>1</w:t>
      </w:r>
      <w:r w:rsidRPr="00E74834">
        <w:rPr>
          <w:rFonts w:ascii="Arial" w:hAnsi="Arial" w:cs="Arial"/>
          <w:b/>
          <w:bCs/>
          <w:sz w:val="18"/>
          <w:szCs w:val="18"/>
        </w:rPr>
        <w:t>, Liu Cui</w:t>
      </w:r>
      <w:r w:rsidRPr="00E74834">
        <w:rPr>
          <w:rFonts w:ascii="Arial" w:hAnsi="Arial" w:cs="Arial"/>
          <w:b/>
          <w:bCs/>
          <w:sz w:val="18"/>
          <w:szCs w:val="18"/>
          <w:vertAlign w:val="superscript"/>
        </w:rPr>
        <w:t>1</w:t>
      </w:r>
      <w:r w:rsidRPr="00E74834">
        <w:rPr>
          <w:rFonts w:ascii="Arial" w:hAnsi="Arial" w:cs="Arial"/>
          <w:b/>
          <w:bCs/>
          <w:sz w:val="18"/>
          <w:szCs w:val="18"/>
        </w:rPr>
        <w:t>, Yina Qiao</w:t>
      </w:r>
      <w:r w:rsidRPr="00E74834">
        <w:rPr>
          <w:rFonts w:ascii="Arial" w:hAnsi="Arial" w:cs="Arial"/>
          <w:b/>
          <w:bCs/>
          <w:sz w:val="18"/>
          <w:szCs w:val="18"/>
          <w:vertAlign w:val="superscript"/>
        </w:rPr>
        <w:t>1</w:t>
      </w:r>
      <w:r w:rsidRPr="00E74834">
        <w:rPr>
          <w:rFonts w:ascii="Arial" w:hAnsi="Arial" w:cs="Arial"/>
          <w:b/>
          <w:bCs/>
          <w:sz w:val="18"/>
          <w:szCs w:val="18"/>
        </w:rPr>
        <w:t>, Huaiwei Fan</w:t>
      </w:r>
      <w:r w:rsidRPr="00E74834">
        <w:rPr>
          <w:rFonts w:ascii="Arial" w:hAnsi="Arial" w:cs="Arial"/>
          <w:b/>
          <w:bCs/>
          <w:sz w:val="18"/>
          <w:szCs w:val="18"/>
          <w:vertAlign w:val="superscript"/>
        </w:rPr>
        <w:t>1</w:t>
      </w:r>
      <w:r w:rsidRPr="00E74834">
        <w:rPr>
          <w:rFonts w:ascii="Arial" w:hAnsi="Arial" w:cs="Arial"/>
          <w:b/>
          <w:bCs/>
          <w:sz w:val="18"/>
          <w:szCs w:val="18"/>
        </w:rPr>
        <w:t>, Yuejing Yao</w:t>
      </w:r>
      <w:r w:rsidRPr="00E74834">
        <w:rPr>
          <w:rFonts w:ascii="Arial" w:hAnsi="Arial" w:cs="Arial"/>
          <w:b/>
          <w:bCs/>
          <w:sz w:val="18"/>
          <w:szCs w:val="18"/>
          <w:vertAlign w:val="superscript"/>
        </w:rPr>
        <w:t>1</w:t>
      </w:r>
      <w:r w:rsidRPr="00E74834">
        <w:rPr>
          <w:rFonts w:ascii="Arial" w:hAnsi="Arial" w:cs="Arial"/>
          <w:b/>
          <w:bCs/>
          <w:sz w:val="18"/>
          <w:szCs w:val="18"/>
        </w:rPr>
        <w:t xml:space="preserve">, </w:t>
      </w:r>
      <w:bookmarkStart w:id="0" w:name="_Hlk170763595"/>
      <w:r w:rsidRPr="00E74834">
        <w:rPr>
          <w:rFonts w:ascii="Arial" w:hAnsi="Arial" w:cs="Arial"/>
          <w:b/>
          <w:bCs/>
          <w:sz w:val="18"/>
          <w:szCs w:val="18"/>
        </w:rPr>
        <w:t>Yin Qin</w:t>
      </w:r>
      <w:r w:rsidRPr="00E74834">
        <w:rPr>
          <w:rFonts w:ascii="Arial" w:hAnsi="Arial" w:cs="Arial"/>
          <w:b/>
          <w:bCs/>
          <w:sz w:val="18"/>
          <w:szCs w:val="18"/>
          <w:vertAlign w:val="superscript"/>
        </w:rPr>
        <w:t>1</w:t>
      </w:r>
      <w:r w:rsidRPr="00E74834">
        <w:rPr>
          <w:rFonts w:ascii="Arial" w:hAnsi="Arial" w:cs="Arial"/>
          <w:b/>
          <w:bCs/>
          <w:sz w:val="18"/>
          <w:szCs w:val="18"/>
        </w:rPr>
        <w:t>, Wenkai Zhang</w:t>
      </w:r>
      <w:bookmarkEnd w:id="0"/>
      <w:r>
        <w:rPr>
          <w:rFonts w:ascii="Arial" w:hAnsi="Arial" w:cs="Arial"/>
          <w:b/>
          <w:bCs/>
          <w:sz w:val="18"/>
          <w:szCs w:val="18"/>
          <w:vertAlign w:val="superscript"/>
        </w:rPr>
        <w:t>12</w:t>
      </w:r>
      <w:r w:rsidRPr="00E74834">
        <w:rPr>
          <w:rFonts w:ascii="Arial" w:hAnsi="Arial" w:cs="Arial"/>
          <w:b/>
          <w:bCs/>
          <w:sz w:val="18"/>
          <w:szCs w:val="18"/>
        </w:rPr>
        <w:t>, Yang</w:t>
      </w:r>
      <w:r>
        <w:rPr>
          <w:rFonts w:ascii="Arial" w:hAnsi="Arial" w:cs="Arial"/>
          <w:b/>
          <w:bCs/>
          <w:sz w:val="18"/>
          <w:szCs w:val="18"/>
        </w:rPr>
        <w:t xml:space="preserve"> Han</w:t>
      </w:r>
      <w:r w:rsidRPr="00E74834">
        <w:rPr>
          <w:rFonts w:ascii="Arial" w:hAnsi="Arial" w:cs="Arial"/>
          <w:b/>
          <w:bCs/>
          <w:sz w:val="18"/>
          <w:szCs w:val="18"/>
          <w:vertAlign w:val="superscript"/>
        </w:rPr>
        <w:t>1</w:t>
      </w:r>
    </w:p>
    <w:p w14:paraId="6861EEBB" w14:textId="77777777" w:rsidR="00AF35DA" w:rsidRPr="006A26C8" w:rsidRDefault="00AF35DA">
      <w:pPr>
        <w:pStyle w:val="a3"/>
        <w:rPr>
          <w:rFonts w:cstheme="minorHAnsi"/>
          <w:szCs w:val="21"/>
          <w:vertAlign w:val="superscript"/>
        </w:rPr>
      </w:pPr>
    </w:p>
    <w:p w14:paraId="5FBFA731" w14:textId="60D493E1" w:rsidR="00AF35DA" w:rsidRPr="00AF35DA" w:rsidRDefault="00AF35DA" w:rsidP="00AF35DA">
      <w:pPr>
        <w:rPr>
          <w:rFonts w:ascii="Times New Roman" w:hAnsi="Times New Roman" w:cs="Times New Roman"/>
          <w:b/>
          <w:bCs/>
          <w:szCs w:val="21"/>
        </w:rPr>
      </w:pPr>
      <w:r w:rsidRPr="00AF35DA">
        <w:rPr>
          <w:rFonts w:ascii="Times New Roman" w:hAnsi="Times New Roman" w:cs="Times New Roman" w:hint="eastAsia"/>
          <w:b/>
          <w:bCs/>
          <w:szCs w:val="21"/>
        </w:rPr>
        <w:t>Affiliations:</w:t>
      </w:r>
    </w:p>
    <w:p w14:paraId="53A98B5D" w14:textId="77777777" w:rsidR="006A26C8" w:rsidRPr="00286D89" w:rsidRDefault="006A26C8" w:rsidP="006A26C8">
      <w:pPr>
        <w:pStyle w:val="a3"/>
        <w:rPr>
          <w:rFonts w:cstheme="minorHAnsi"/>
          <w:szCs w:val="21"/>
        </w:rPr>
      </w:pPr>
      <w:r w:rsidRPr="00286D89">
        <w:rPr>
          <w:rFonts w:cstheme="minorHAnsi"/>
          <w:szCs w:val="21"/>
          <w:vertAlign w:val="superscript"/>
        </w:rPr>
        <w:t>1</w:t>
      </w:r>
      <w:r w:rsidRPr="00286D89">
        <w:rPr>
          <w:rFonts w:cstheme="minorHAnsi"/>
          <w:szCs w:val="21"/>
        </w:rPr>
        <w:t>School of Resources and Geosciences, China University of Mining and Technology, Xuzhou 221116, China.</w:t>
      </w:r>
    </w:p>
    <w:p w14:paraId="2A544182" w14:textId="77777777" w:rsidR="006A26C8" w:rsidRPr="00286D89" w:rsidRDefault="006A26C8" w:rsidP="006A26C8">
      <w:pPr>
        <w:pStyle w:val="a3"/>
        <w:rPr>
          <w:rFonts w:cstheme="minorHAnsi"/>
          <w:szCs w:val="21"/>
        </w:rPr>
      </w:pPr>
      <w:r w:rsidRPr="00286D89">
        <w:rPr>
          <w:rFonts w:cstheme="minorHAnsi"/>
          <w:szCs w:val="21"/>
          <w:vertAlign w:val="superscript"/>
        </w:rPr>
        <w:t>2</w:t>
      </w:r>
      <w:r w:rsidRPr="00286D89">
        <w:rPr>
          <w:rFonts w:cstheme="minorHAnsi"/>
          <w:szCs w:val="21"/>
        </w:rPr>
        <w:t>School of Computing and Mathematical Sciences, University of Greenwich, London, United Kingdom</w:t>
      </w:r>
    </w:p>
    <w:p w14:paraId="7D61E014" w14:textId="77777777" w:rsidR="006A26C8" w:rsidRPr="00286D89" w:rsidRDefault="006A26C8" w:rsidP="006A26C8">
      <w:pPr>
        <w:pStyle w:val="a3"/>
        <w:rPr>
          <w:rFonts w:cstheme="minorHAnsi"/>
          <w:szCs w:val="21"/>
        </w:rPr>
      </w:pPr>
      <w:r w:rsidRPr="00286D89">
        <w:rPr>
          <w:rFonts w:cstheme="minorHAnsi"/>
          <w:szCs w:val="21"/>
          <w:vertAlign w:val="superscript"/>
        </w:rPr>
        <w:t>3</w:t>
      </w:r>
      <w:r w:rsidRPr="00286D89">
        <w:rPr>
          <w:rFonts w:cstheme="minorHAnsi"/>
          <w:szCs w:val="21"/>
        </w:rPr>
        <w:t xml:space="preserve">School of Linguistic Sciences and Arts, Jiangsu Normal University, Xuzhou 221009, China. </w:t>
      </w:r>
    </w:p>
    <w:p w14:paraId="2EDE66E3" w14:textId="77777777" w:rsidR="006A26C8" w:rsidRPr="00286D89" w:rsidRDefault="006A26C8" w:rsidP="006A26C8">
      <w:pPr>
        <w:pStyle w:val="a3"/>
        <w:rPr>
          <w:rFonts w:cstheme="minorHAnsi"/>
          <w:szCs w:val="21"/>
        </w:rPr>
      </w:pPr>
      <w:r w:rsidRPr="00286D89">
        <w:rPr>
          <w:rFonts w:cstheme="minorHAnsi"/>
          <w:szCs w:val="21"/>
          <w:vertAlign w:val="superscript"/>
        </w:rPr>
        <w:t>4</w:t>
      </w:r>
      <w:r w:rsidRPr="00286D89">
        <w:rPr>
          <w:rFonts w:cstheme="minorHAnsi"/>
          <w:szCs w:val="21"/>
        </w:rPr>
        <w:t>National Geomatics Center of China, Beijing 100830, China</w:t>
      </w:r>
    </w:p>
    <w:p w14:paraId="251DE39D" w14:textId="77777777" w:rsidR="006A26C8" w:rsidRPr="00286D89" w:rsidRDefault="006A26C8" w:rsidP="006A26C8">
      <w:pPr>
        <w:pStyle w:val="a3"/>
        <w:rPr>
          <w:rFonts w:cstheme="minorHAnsi"/>
          <w:szCs w:val="21"/>
        </w:rPr>
      </w:pPr>
      <w:r w:rsidRPr="00286D89">
        <w:rPr>
          <w:rFonts w:cstheme="minorHAnsi"/>
          <w:szCs w:val="21"/>
          <w:vertAlign w:val="superscript"/>
        </w:rPr>
        <w:t>5</w:t>
      </w:r>
      <w:r w:rsidRPr="00286D89">
        <w:rPr>
          <w:rFonts w:cstheme="minorHAnsi"/>
          <w:szCs w:val="21"/>
        </w:rPr>
        <w:t>Key Laboratory of Spatio-Temporal Information and Intelligent Services, Ministry of Natural Resources of China, Beijing 100830, China</w:t>
      </w:r>
    </w:p>
    <w:p w14:paraId="06B1CD03" w14:textId="77777777" w:rsidR="006A26C8" w:rsidRPr="00286D89" w:rsidRDefault="006A26C8" w:rsidP="006A26C8">
      <w:pPr>
        <w:pStyle w:val="a3"/>
        <w:rPr>
          <w:rFonts w:cstheme="minorHAnsi"/>
          <w:szCs w:val="21"/>
        </w:rPr>
      </w:pPr>
      <w:r w:rsidRPr="00E74834">
        <w:rPr>
          <w:rFonts w:cstheme="minorHAnsi" w:hint="eastAsia"/>
          <w:szCs w:val="21"/>
          <w:vertAlign w:val="superscript"/>
        </w:rPr>
        <w:t>6</w:t>
      </w:r>
      <w:r w:rsidRPr="00286D89">
        <w:rPr>
          <w:rFonts w:cstheme="minorHAnsi"/>
          <w:szCs w:val="21"/>
        </w:rPr>
        <w:t>Xinjiang Uygur Autonomous Region Meteorological Observatory, Ürümqi 830002, China</w:t>
      </w:r>
    </w:p>
    <w:p w14:paraId="6E12B0CC" w14:textId="77777777" w:rsidR="006A26C8" w:rsidRPr="00E74834" w:rsidRDefault="006A26C8" w:rsidP="006A26C8">
      <w:pPr>
        <w:pStyle w:val="a3"/>
        <w:rPr>
          <w:rFonts w:cstheme="minorHAnsi"/>
          <w:szCs w:val="21"/>
        </w:rPr>
      </w:pPr>
      <w:r w:rsidRPr="00E74834">
        <w:rPr>
          <w:rFonts w:cstheme="minorHAnsi" w:hint="eastAsia"/>
          <w:szCs w:val="21"/>
          <w:vertAlign w:val="superscript"/>
        </w:rPr>
        <w:t>7</w:t>
      </w:r>
      <w:r>
        <w:t xml:space="preserve">Key Laboratory of Coalbed Methane Resource and Reservoir Formation Process, Ministry of Education, School of </w:t>
      </w:r>
      <w:r w:rsidRPr="00E74834">
        <w:t>Resources and Geosci ences, China University of Mining and Technology, Xuzhou 221116, China</w:t>
      </w:r>
    </w:p>
    <w:p w14:paraId="5E15719A" w14:textId="77777777" w:rsidR="006A26C8" w:rsidRPr="00E74834" w:rsidRDefault="006A26C8" w:rsidP="006A26C8">
      <w:pPr>
        <w:pStyle w:val="a3"/>
        <w:rPr>
          <w:rFonts w:cstheme="minorHAnsi"/>
          <w:szCs w:val="21"/>
        </w:rPr>
      </w:pPr>
      <w:r w:rsidRPr="00E74834">
        <w:rPr>
          <w:rFonts w:cstheme="minorHAnsi" w:hint="eastAsia"/>
          <w:szCs w:val="21"/>
          <w:vertAlign w:val="superscript"/>
        </w:rPr>
        <w:t>8</w:t>
      </w:r>
      <w:r w:rsidRPr="00E74834">
        <w:t>College of Geology and Mining Engineering, Xinjiang University, Ürümqi 830017, China</w:t>
      </w:r>
    </w:p>
    <w:p w14:paraId="77B40592" w14:textId="77777777" w:rsidR="006A26C8" w:rsidRPr="00E74834" w:rsidRDefault="006A26C8" w:rsidP="006A26C8">
      <w:pPr>
        <w:pStyle w:val="a3"/>
      </w:pPr>
      <w:r w:rsidRPr="00E74834">
        <w:rPr>
          <w:rFonts w:cstheme="minorHAnsi" w:hint="eastAsia"/>
          <w:szCs w:val="21"/>
          <w:vertAlign w:val="superscript"/>
        </w:rPr>
        <w:t>9</w:t>
      </w:r>
      <w:r w:rsidRPr="00E74834">
        <w:t>National 305 Project Office, The People’s Government of Xinjiang Uygur Autonomous Region, Ürümqi 830000, China</w:t>
      </w:r>
    </w:p>
    <w:p w14:paraId="5046B011" w14:textId="77777777" w:rsidR="006A26C8" w:rsidRPr="00E74834" w:rsidRDefault="006A26C8" w:rsidP="006A26C8">
      <w:pPr>
        <w:pStyle w:val="a3"/>
      </w:pPr>
      <w:r w:rsidRPr="00E74834">
        <w:rPr>
          <w:rFonts w:hint="eastAsia"/>
          <w:vertAlign w:val="superscript"/>
        </w:rPr>
        <w:t>1</w:t>
      </w:r>
      <w:r w:rsidRPr="00E74834">
        <w:rPr>
          <w:vertAlign w:val="superscript"/>
        </w:rPr>
        <w:t>0</w:t>
      </w:r>
      <w:r w:rsidRPr="00E74834">
        <w:t>Geological Bureau of Xinjiang Uygur Autonomous Region, Ürümqi 830000, China</w:t>
      </w:r>
    </w:p>
    <w:p w14:paraId="42DD6A19" w14:textId="77777777" w:rsidR="006A26C8" w:rsidRPr="00E74834" w:rsidRDefault="006A26C8" w:rsidP="006A26C8">
      <w:pPr>
        <w:pStyle w:val="a3"/>
      </w:pPr>
      <w:r w:rsidRPr="00E74834">
        <w:rPr>
          <w:rFonts w:hint="eastAsia"/>
          <w:vertAlign w:val="superscript"/>
        </w:rPr>
        <w:t>1</w:t>
      </w:r>
      <w:r w:rsidRPr="00E74834">
        <w:rPr>
          <w:vertAlign w:val="superscript"/>
        </w:rPr>
        <w:t>1</w:t>
      </w:r>
      <w:r w:rsidRPr="00E74834">
        <w:t>Ecological Environment Monitoring Station of Xinjiang Uygur Autonomous Region, Ürümqi 830011, China</w:t>
      </w:r>
    </w:p>
    <w:p w14:paraId="433C0677" w14:textId="77777777" w:rsidR="006A26C8" w:rsidRPr="00E74834" w:rsidRDefault="006A26C8" w:rsidP="006A26C8">
      <w:pPr>
        <w:pStyle w:val="a3"/>
        <w:rPr>
          <w:rFonts w:cstheme="minorHAnsi"/>
          <w:szCs w:val="21"/>
        </w:rPr>
      </w:pPr>
      <w:r w:rsidRPr="00134C01">
        <w:rPr>
          <w:rFonts w:cstheme="minorHAnsi"/>
          <w:szCs w:val="21"/>
          <w:vertAlign w:val="superscript"/>
        </w:rPr>
        <w:t>12</w:t>
      </w:r>
      <w:r w:rsidRPr="009E2354">
        <w:rPr>
          <w:rFonts w:cstheme="minorHAnsi" w:hint="eastAsia"/>
          <w:szCs w:val="21"/>
        </w:rPr>
        <w:t>Key Laboratory of Investigation,Monitoring and Protection of Natural Resources in Mining Cities,MNR</w:t>
      </w:r>
      <w:r w:rsidRPr="009E2354">
        <w:rPr>
          <w:rFonts w:cstheme="minorHAnsi" w:hint="eastAsia"/>
          <w:szCs w:val="21"/>
        </w:rPr>
        <w:t>，</w:t>
      </w:r>
      <w:r w:rsidRPr="009E2354">
        <w:rPr>
          <w:rFonts w:cstheme="minorHAnsi" w:hint="eastAsia"/>
          <w:szCs w:val="21"/>
        </w:rPr>
        <w:t>Jinzhong 030600.China</w:t>
      </w:r>
    </w:p>
    <w:p w14:paraId="01E37FC9" w14:textId="240BDE8A" w:rsidR="00855071" w:rsidRPr="006A26C8" w:rsidRDefault="006A26C8" w:rsidP="006A26C8">
      <w:pPr>
        <w:pStyle w:val="a3"/>
      </w:pPr>
      <w:r>
        <w:rPr>
          <w:rFonts w:cstheme="minorHAnsi"/>
          <w:szCs w:val="21"/>
        </w:rPr>
        <w:t>e-mail: TB23010015A41@cumt.edu.cn</w:t>
      </w:r>
    </w:p>
    <w:p w14:paraId="06F82258" w14:textId="77777777" w:rsidR="00855071" w:rsidRDefault="00855071">
      <w:pPr>
        <w:rPr>
          <w:rFonts w:ascii="Times New Roman" w:hAnsi="Times New Roman" w:cs="Times New Roman"/>
          <w:szCs w:val="21"/>
        </w:rPr>
      </w:pPr>
    </w:p>
    <w:p w14:paraId="1D0B7E6F" w14:textId="5CF17BBC" w:rsidR="00855071" w:rsidRPr="00C8272E" w:rsidRDefault="00556B23" w:rsidP="00C8272E">
      <w:pPr>
        <w:pStyle w:val="1"/>
        <w:spacing w:before="100" w:after="0" w:line="240" w:lineRule="exact"/>
        <w:rPr>
          <w:rFonts w:ascii="Times New Roman" w:hAnsi="Times New Roman" w:cs="Times New Roman"/>
          <w:sz w:val="28"/>
          <w:szCs w:val="28"/>
          <w:shd w:val="clear" w:color="auto" w:fill="FFFFFF"/>
        </w:rPr>
      </w:pPr>
      <w:r w:rsidRPr="00C8272E">
        <w:rPr>
          <w:rFonts w:ascii="Times New Roman" w:hAnsi="Times New Roman" w:cs="Times New Roman"/>
          <w:sz w:val="28"/>
          <w:szCs w:val="28"/>
          <w:shd w:val="clear" w:color="auto" w:fill="FFFFFF"/>
        </w:rPr>
        <w:t>Carbon Density Classification Results</w:t>
      </w:r>
    </w:p>
    <w:p w14:paraId="0742B5E8" w14:textId="2549456C" w:rsidR="001911CD" w:rsidRDefault="001911CD" w:rsidP="001911CD">
      <w:pPr>
        <w:ind w:firstLineChars="200" w:firstLine="420"/>
        <w:rPr>
          <w:rFonts w:ascii="Times New Roman" w:hAnsi="Times New Roman" w:cs="Times New Roman"/>
          <w:szCs w:val="21"/>
        </w:rPr>
      </w:pPr>
      <w:r w:rsidRPr="001911CD">
        <w:rPr>
          <w:rFonts w:ascii="Times New Roman" w:hAnsi="Times New Roman" w:cs="Times New Roman"/>
          <w:szCs w:val="21"/>
        </w:rPr>
        <w:t>Using the CatBoost model, the underground, aboveground, and soil carbon density in Xinjiang were classified into three categories: low, medium, and high. This classification helps to differentiate spatial heterogeneity, thereby improving the accuracy of the assessment.</w:t>
      </w:r>
    </w:p>
    <w:p w14:paraId="1F712BA0" w14:textId="36E878F0" w:rsidR="00855071" w:rsidRDefault="00C8272E" w:rsidP="00262ED5">
      <w:pPr>
        <w:jc w:val="center"/>
        <w:rPr>
          <w:rFonts w:ascii="Times New Roman" w:hAnsi="Times New Roman" w:cs="Times New Roman"/>
          <w:szCs w:val="21"/>
        </w:rPr>
      </w:pPr>
      <w:r w:rsidRPr="00C8272E">
        <w:rPr>
          <w:noProof/>
        </w:rPr>
        <w:drawing>
          <wp:inline distT="0" distB="0" distL="0" distR="0" wp14:anchorId="192DA23F" wp14:editId="45E6453E">
            <wp:extent cx="2444400" cy="21600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44400" cy="2160000"/>
                    </a:xfrm>
                    <a:prstGeom prst="rect">
                      <a:avLst/>
                    </a:prstGeom>
                    <a:noFill/>
                    <a:ln>
                      <a:noFill/>
                    </a:ln>
                  </pic:spPr>
                </pic:pic>
              </a:graphicData>
            </a:graphic>
          </wp:inline>
        </w:drawing>
      </w:r>
      <w:r w:rsidRPr="00C8272E">
        <w:rPr>
          <w:noProof/>
        </w:rPr>
        <w:drawing>
          <wp:inline distT="0" distB="0" distL="0" distR="0" wp14:anchorId="6C68504D" wp14:editId="2DFB4446">
            <wp:extent cx="2437200" cy="2160000"/>
            <wp:effectExtent l="0" t="0" r="127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37200" cy="2160000"/>
                    </a:xfrm>
                    <a:prstGeom prst="rect">
                      <a:avLst/>
                    </a:prstGeom>
                    <a:noFill/>
                    <a:ln>
                      <a:noFill/>
                    </a:ln>
                  </pic:spPr>
                </pic:pic>
              </a:graphicData>
            </a:graphic>
          </wp:inline>
        </w:drawing>
      </w:r>
      <w:r w:rsidRPr="00C8272E">
        <w:rPr>
          <w:noProof/>
        </w:rPr>
        <w:lastRenderedPageBreak/>
        <w:drawing>
          <wp:inline distT="0" distB="0" distL="0" distR="0" wp14:anchorId="7A2B3C07" wp14:editId="1B7708B9">
            <wp:extent cx="2437200" cy="2160000"/>
            <wp:effectExtent l="0" t="0" r="127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37200" cy="2160000"/>
                    </a:xfrm>
                    <a:prstGeom prst="rect">
                      <a:avLst/>
                    </a:prstGeom>
                    <a:noFill/>
                    <a:ln>
                      <a:noFill/>
                    </a:ln>
                  </pic:spPr>
                </pic:pic>
              </a:graphicData>
            </a:graphic>
          </wp:inline>
        </w:drawing>
      </w:r>
    </w:p>
    <w:p w14:paraId="44D52491" w14:textId="47076D23" w:rsidR="00855071" w:rsidRDefault="00557534" w:rsidP="00C8272E">
      <w:pPr>
        <w:widowControl/>
        <w:spacing w:line="200" w:lineRule="exact"/>
        <w:rPr>
          <w:rFonts w:ascii="Times New Roman" w:eastAsia="宋体" w:hAnsi="Times New Roman"/>
          <w:sz w:val="18"/>
          <w:szCs w:val="18"/>
        </w:rPr>
      </w:pPr>
      <w:r w:rsidRPr="00A716A6">
        <w:rPr>
          <w:rFonts w:ascii="Times New Roman" w:eastAsia="宋体" w:hAnsi="Times New Roman"/>
          <w:b/>
          <w:bCs/>
          <w:sz w:val="18"/>
          <w:szCs w:val="18"/>
        </w:rPr>
        <w:t>Supplementary Fig. 1</w:t>
      </w:r>
      <w:r w:rsidR="00E34CC2" w:rsidRPr="003658F0">
        <w:rPr>
          <w:rFonts w:ascii="Times New Roman" w:eastAsia="宋体" w:hAnsi="Times New Roman"/>
          <w:b/>
          <w:bCs/>
          <w:sz w:val="18"/>
          <w:szCs w:val="18"/>
        </w:rPr>
        <w:t xml:space="preserve"> Carbon density classification results of Catboost model</w:t>
      </w:r>
      <w:r w:rsidR="003658F0">
        <w:rPr>
          <w:rFonts w:ascii="Times New Roman" w:eastAsia="宋体" w:hAnsi="Times New Roman"/>
          <w:b/>
          <w:bCs/>
          <w:sz w:val="18"/>
          <w:szCs w:val="18"/>
        </w:rPr>
        <w:t xml:space="preserve">. </w:t>
      </w:r>
      <w:r w:rsidR="003658F0" w:rsidRPr="003658F0">
        <w:rPr>
          <w:rFonts w:ascii="Times New Roman" w:eastAsia="宋体" w:hAnsi="Times New Roman"/>
          <w:sz w:val="18"/>
          <w:szCs w:val="18"/>
        </w:rPr>
        <w:t>Panel</w:t>
      </w:r>
      <w:r w:rsidR="003658F0" w:rsidRPr="003658F0">
        <w:rPr>
          <w:rFonts w:ascii="Times New Roman" w:eastAsia="宋体" w:hAnsi="Times New Roman"/>
          <w:b/>
          <w:bCs/>
          <w:sz w:val="18"/>
          <w:szCs w:val="18"/>
        </w:rPr>
        <w:t xml:space="preserve"> a</w:t>
      </w:r>
      <w:r w:rsidR="00F75E45">
        <w:rPr>
          <w:rFonts w:ascii="Times New Roman" w:eastAsia="宋体" w:hAnsi="Times New Roman"/>
          <w:b/>
          <w:bCs/>
          <w:sz w:val="18"/>
          <w:szCs w:val="18"/>
        </w:rPr>
        <w:t xml:space="preserve"> </w:t>
      </w:r>
      <w:r w:rsidR="00EC1CBE" w:rsidRPr="00EC1CBE">
        <w:rPr>
          <w:rFonts w:ascii="Times New Roman" w:eastAsia="宋体" w:hAnsi="Times New Roman"/>
          <w:sz w:val="18"/>
          <w:szCs w:val="18"/>
        </w:rPr>
        <w:t>Soil Carbon Density Classification Results</w:t>
      </w:r>
      <w:r w:rsidR="00EC1CBE">
        <w:rPr>
          <w:rFonts w:ascii="Times New Roman" w:eastAsia="宋体" w:hAnsi="Times New Roman"/>
          <w:sz w:val="18"/>
          <w:szCs w:val="18"/>
        </w:rPr>
        <w:t xml:space="preserve">. </w:t>
      </w:r>
      <w:r w:rsidR="00EC1CBE" w:rsidRPr="003658F0">
        <w:rPr>
          <w:rFonts w:ascii="Times New Roman" w:eastAsia="宋体" w:hAnsi="Times New Roman"/>
          <w:sz w:val="18"/>
          <w:szCs w:val="18"/>
        </w:rPr>
        <w:t>Panel</w:t>
      </w:r>
      <w:r w:rsidR="00EC1CBE" w:rsidRPr="003658F0">
        <w:rPr>
          <w:rFonts w:ascii="Times New Roman" w:eastAsia="宋体" w:hAnsi="Times New Roman"/>
          <w:b/>
          <w:bCs/>
          <w:sz w:val="18"/>
          <w:szCs w:val="18"/>
        </w:rPr>
        <w:t xml:space="preserve"> </w:t>
      </w:r>
      <w:r w:rsidR="00F72470">
        <w:rPr>
          <w:rFonts w:ascii="Times New Roman" w:eastAsia="宋体" w:hAnsi="Times New Roman" w:hint="eastAsia"/>
          <w:b/>
          <w:bCs/>
          <w:sz w:val="18"/>
          <w:szCs w:val="18"/>
        </w:rPr>
        <w:t>b</w:t>
      </w:r>
      <w:r w:rsidR="003658F0" w:rsidRPr="00EC1CBE">
        <w:rPr>
          <w:rFonts w:ascii="Times New Roman" w:eastAsia="宋体" w:hAnsi="Times New Roman"/>
          <w:sz w:val="18"/>
          <w:szCs w:val="18"/>
        </w:rPr>
        <w:t xml:space="preserve"> </w:t>
      </w:r>
      <w:r w:rsidR="00EC1CBE">
        <w:rPr>
          <w:rFonts w:ascii="Times New Roman" w:eastAsia="宋体" w:hAnsi="Times New Roman"/>
          <w:sz w:val="18"/>
          <w:szCs w:val="18"/>
        </w:rPr>
        <w:t xml:space="preserve">Belowground </w:t>
      </w:r>
      <w:r w:rsidR="00EC1CBE" w:rsidRPr="00EC1CBE">
        <w:rPr>
          <w:rFonts w:ascii="Times New Roman" w:eastAsia="宋体" w:hAnsi="Times New Roman"/>
          <w:sz w:val="18"/>
          <w:szCs w:val="18"/>
        </w:rPr>
        <w:t>Carbon Density Classification Results</w:t>
      </w:r>
      <w:r w:rsidR="00EC1CBE">
        <w:rPr>
          <w:rFonts w:ascii="Times New Roman" w:eastAsia="宋体" w:hAnsi="Times New Roman"/>
          <w:sz w:val="18"/>
          <w:szCs w:val="18"/>
        </w:rPr>
        <w:t>.</w:t>
      </w:r>
      <w:r w:rsidR="00EC1CBE" w:rsidRPr="00EC1CBE">
        <w:rPr>
          <w:rFonts w:ascii="Times New Roman" w:eastAsia="宋体" w:hAnsi="Times New Roman"/>
          <w:sz w:val="18"/>
          <w:szCs w:val="18"/>
        </w:rPr>
        <w:t xml:space="preserve"> </w:t>
      </w:r>
      <w:r w:rsidR="00EC1CBE" w:rsidRPr="003658F0">
        <w:rPr>
          <w:rFonts w:ascii="Times New Roman" w:eastAsia="宋体" w:hAnsi="Times New Roman"/>
          <w:sz w:val="18"/>
          <w:szCs w:val="18"/>
        </w:rPr>
        <w:t>Panels</w:t>
      </w:r>
      <w:r w:rsidR="00EC1CBE" w:rsidRPr="003658F0">
        <w:rPr>
          <w:rFonts w:ascii="Times New Roman" w:eastAsia="宋体" w:hAnsi="Times New Roman"/>
          <w:b/>
          <w:bCs/>
          <w:sz w:val="18"/>
          <w:szCs w:val="18"/>
        </w:rPr>
        <w:t xml:space="preserve"> </w:t>
      </w:r>
      <w:r w:rsidR="00F72470">
        <w:rPr>
          <w:rFonts w:ascii="Times New Roman" w:eastAsia="宋体" w:hAnsi="Times New Roman" w:hint="eastAsia"/>
          <w:b/>
          <w:bCs/>
          <w:sz w:val="18"/>
          <w:szCs w:val="18"/>
        </w:rPr>
        <w:t>c</w:t>
      </w:r>
      <w:r w:rsidR="00EC1CBE">
        <w:rPr>
          <w:rFonts w:ascii="Times New Roman" w:eastAsia="宋体" w:hAnsi="Times New Roman"/>
          <w:b/>
          <w:bCs/>
          <w:sz w:val="18"/>
          <w:szCs w:val="18"/>
        </w:rPr>
        <w:t xml:space="preserve"> </w:t>
      </w:r>
      <w:r w:rsidR="00EC1CBE" w:rsidRPr="00EC1CBE">
        <w:rPr>
          <w:rFonts w:ascii="Times New Roman" w:eastAsia="宋体" w:hAnsi="Times New Roman"/>
          <w:sz w:val="18"/>
          <w:szCs w:val="18"/>
        </w:rPr>
        <w:t>ab</w:t>
      </w:r>
      <w:r w:rsidR="00EC1CBE">
        <w:rPr>
          <w:rFonts w:ascii="Times New Roman" w:eastAsia="宋体" w:hAnsi="Times New Roman"/>
          <w:sz w:val="18"/>
          <w:szCs w:val="18"/>
        </w:rPr>
        <w:t xml:space="preserve">oveground </w:t>
      </w:r>
      <w:r w:rsidR="00EC1CBE" w:rsidRPr="00EC1CBE">
        <w:rPr>
          <w:rFonts w:ascii="Times New Roman" w:eastAsia="宋体" w:hAnsi="Times New Roman"/>
          <w:sz w:val="18"/>
          <w:szCs w:val="18"/>
        </w:rPr>
        <w:t>Carbon Density Classification Results</w:t>
      </w:r>
      <w:r w:rsidR="00EC1CBE">
        <w:rPr>
          <w:rFonts w:ascii="Times New Roman" w:eastAsia="宋体" w:hAnsi="Times New Roman"/>
          <w:sz w:val="18"/>
          <w:szCs w:val="18"/>
        </w:rPr>
        <w:t>.</w:t>
      </w:r>
      <w:r w:rsidR="00EC1CBE" w:rsidRPr="00EC1CBE">
        <w:t xml:space="preserve"> </w:t>
      </w:r>
      <w:r w:rsidR="00EC1CBE" w:rsidRPr="00EC1CBE">
        <w:rPr>
          <w:rFonts w:ascii="Times New Roman" w:eastAsia="宋体" w:hAnsi="Times New Roman"/>
          <w:sz w:val="18"/>
          <w:szCs w:val="18"/>
        </w:rPr>
        <w:t>Deeper color intensities indicate higher levels of carbon density.</w:t>
      </w:r>
    </w:p>
    <w:p w14:paraId="02F2A066" w14:textId="77777777" w:rsidR="00C8272E" w:rsidRPr="00C8272E" w:rsidRDefault="00C8272E" w:rsidP="00C8272E">
      <w:pPr>
        <w:widowControl/>
        <w:spacing w:line="200" w:lineRule="exact"/>
        <w:rPr>
          <w:rFonts w:ascii="Times New Roman" w:eastAsia="宋体" w:hAnsi="Times New Roman"/>
          <w:sz w:val="18"/>
          <w:szCs w:val="18"/>
        </w:rPr>
      </w:pPr>
    </w:p>
    <w:p w14:paraId="3FE8B58D" w14:textId="77777777" w:rsidR="00855071" w:rsidRPr="00C8272E" w:rsidRDefault="00E34CC2" w:rsidP="00C8272E">
      <w:pPr>
        <w:pStyle w:val="1"/>
        <w:spacing w:before="100" w:after="0" w:line="240" w:lineRule="exact"/>
        <w:rPr>
          <w:rFonts w:ascii="Times New Roman" w:hAnsi="Times New Roman" w:cs="Times New Roman"/>
          <w:sz w:val="28"/>
          <w:szCs w:val="28"/>
          <w:shd w:val="clear" w:color="auto" w:fill="FFFFFF"/>
        </w:rPr>
      </w:pPr>
      <w:r w:rsidRPr="00C8272E">
        <w:rPr>
          <w:rFonts w:ascii="Times New Roman" w:hAnsi="Times New Roman" w:cs="Times New Roman"/>
          <w:sz w:val="28"/>
          <w:szCs w:val="28"/>
          <w:shd w:val="clear" w:color="auto" w:fill="FFFFFF"/>
        </w:rPr>
        <w:t>study area</w:t>
      </w:r>
    </w:p>
    <w:p w14:paraId="0A42497E" w14:textId="77777777" w:rsidR="00855071" w:rsidRDefault="00E34CC2">
      <w:pPr>
        <w:ind w:firstLineChars="200" w:firstLine="420"/>
        <w:jc w:val="center"/>
        <w:rPr>
          <w:rFonts w:ascii="Times New Roman" w:hAnsi="Times New Roman" w:cs="Times New Roman"/>
          <w:szCs w:val="21"/>
        </w:rPr>
      </w:pPr>
      <w:r>
        <w:rPr>
          <w:noProof/>
        </w:rPr>
        <w:drawing>
          <wp:inline distT="0" distB="0" distL="0" distR="0" wp14:anchorId="3E213547" wp14:editId="1B05BC29">
            <wp:extent cx="3145790" cy="251968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146400" cy="2520000"/>
                    </a:xfrm>
                    <a:prstGeom prst="rect">
                      <a:avLst/>
                    </a:prstGeom>
                    <a:noFill/>
                    <a:ln>
                      <a:noFill/>
                    </a:ln>
                  </pic:spPr>
                </pic:pic>
              </a:graphicData>
            </a:graphic>
          </wp:inline>
        </w:drawing>
      </w:r>
    </w:p>
    <w:p w14:paraId="2C0A2976" w14:textId="5051F50D" w:rsidR="00855071" w:rsidRDefault="00C8272E">
      <w:pPr>
        <w:widowControl/>
        <w:spacing w:line="200" w:lineRule="exact"/>
        <w:jc w:val="center"/>
        <w:rPr>
          <w:rFonts w:ascii="Times New Roman" w:eastAsia="宋体" w:hAnsi="Times New Roman"/>
          <w:sz w:val="18"/>
          <w:szCs w:val="18"/>
        </w:rPr>
      </w:pPr>
      <w:r w:rsidRPr="00A716A6">
        <w:rPr>
          <w:rFonts w:ascii="Times New Roman" w:eastAsia="宋体" w:hAnsi="Times New Roman"/>
          <w:b/>
          <w:bCs/>
          <w:sz w:val="18"/>
          <w:szCs w:val="18"/>
        </w:rPr>
        <w:t>Supplementary Fig. 2</w:t>
      </w:r>
      <w:r w:rsidR="00E34CC2">
        <w:rPr>
          <w:rFonts w:ascii="Times New Roman" w:eastAsia="宋体" w:hAnsi="Times New Roman"/>
          <w:sz w:val="18"/>
          <w:szCs w:val="18"/>
        </w:rPr>
        <w:t xml:space="preserve"> </w:t>
      </w:r>
      <w:r w:rsidR="00ED2904" w:rsidRPr="00ED2904">
        <w:rPr>
          <w:rFonts w:ascii="Times New Roman" w:eastAsia="宋体" w:hAnsi="Times New Roman"/>
          <w:sz w:val="18"/>
          <w:szCs w:val="18"/>
        </w:rPr>
        <w:t>research zoning</w:t>
      </w:r>
      <w:r w:rsidR="00E34CC2">
        <w:rPr>
          <w:rFonts w:ascii="Times New Roman" w:eastAsia="宋体" w:hAnsi="Times New Roman"/>
          <w:sz w:val="18"/>
          <w:szCs w:val="18"/>
        </w:rPr>
        <w:t xml:space="preserve"> of the Xinjiang Tianshan Mountains</w:t>
      </w:r>
    </w:p>
    <w:p w14:paraId="7332E04A" w14:textId="3AD4E7A6" w:rsidR="00C8272E" w:rsidRDefault="00C8272E" w:rsidP="00C8272E">
      <w:pPr>
        <w:ind w:firstLineChars="200" w:firstLine="420"/>
        <w:rPr>
          <w:rFonts w:ascii="Times New Roman" w:hAnsi="Times New Roman" w:cs="Times New Roman"/>
          <w:szCs w:val="21"/>
        </w:rPr>
      </w:pPr>
      <w:r w:rsidRPr="00C8272E">
        <w:rPr>
          <w:rFonts w:ascii="Times New Roman" w:hAnsi="Times New Roman" w:cs="Times New Roman"/>
          <w:szCs w:val="21"/>
        </w:rPr>
        <w:t>Xinjiang's terrain and landscape exhibit the characteristic "three mountains and two basins" pattern, with distinct vertical natural zones encompassing glaciers, frozen tundra, forests, grasslands, deserts, and mountains. This composition forms unique natural ecosystems and geographical features, making it one of the 36 global biodiversity hotspots. However, over the past two decades, urban expansion and ecosystem degradation have exacerbated ecological issues such as desertification, salinization, and shrinking lakes in Xinjiang. These changes have significantly altered the carbon storage in terrestrial ecosystems, necessitating detailed research for timely management. Moreover, climatically, Xinjiang experiences a typical temperate continental arid climate characterized by strong continental influence, large annual temperature variations, concentrated precipitation, and distinct seasons. This climate context facilitates analysis of factors like temperature and precipitation, contributing to understanding the carbon sequestration capacity of terrestrial ecosystems, attributing changes, and forecasting trends.</w:t>
      </w:r>
    </w:p>
    <w:p w14:paraId="14C7A286" w14:textId="77777777" w:rsidR="00C8272E" w:rsidRPr="00C8272E" w:rsidRDefault="00C8272E" w:rsidP="00C8272E">
      <w:pPr>
        <w:ind w:firstLineChars="200" w:firstLine="420"/>
        <w:rPr>
          <w:rFonts w:ascii="Times New Roman" w:hAnsi="Times New Roman" w:cs="Times New Roman"/>
          <w:szCs w:val="21"/>
        </w:rPr>
      </w:pPr>
    </w:p>
    <w:p w14:paraId="26BA60EE" w14:textId="77777777" w:rsidR="00855071" w:rsidRPr="00C8272E" w:rsidRDefault="00E34CC2" w:rsidP="00C8272E">
      <w:pPr>
        <w:pStyle w:val="1"/>
        <w:spacing w:before="100" w:after="0" w:line="240" w:lineRule="exact"/>
        <w:rPr>
          <w:rFonts w:ascii="Times New Roman" w:hAnsi="Times New Roman" w:cs="Times New Roman"/>
          <w:sz w:val="28"/>
          <w:szCs w:val="28"/>
          <w:shd w:val="clear" w:color="auto" w:fill="FFFFFF"/>
        </w:rPr>
      </w:pPr>
      <w:r w:rsidRPr="00C8272E">
        <w:rPr>
          <w:rFonts w:ascii="Times New Roman" w:hAnsi="Times New Roman" w:cs="Times New Roman"/>
          <w:sz w:val="28"/>
          <w:szCs w:val="28"/>
          <w:shd w:val="clear" w:color="auto" w:fill="FFFFFF"/>
        </w:rPr>
        <w:t xml:space="preserve">Data Acquisition and Processing </w:t>
      </w:r>
    </w:p>
    <w:p w14:paraId="57255803" w14:textId="77777777" w:rsidR="00855071" w:rsidRPr="00C8272E" w:rsidRDefault="00E34CC2" w:rsidP="00C8272E">
      <w:pPr>
        <w:pStyle w:val="2"/>
        <w:spacing w:before="0" w:after="0" w:line="300" w:lineRule="exact"/>
        <w:rPr>
          <w:rFonts w:ascii="Times New Roman" w:hAnsi="Times New Roman" w:cs="Times New Roman"/>
          <w:b w:val="0"/>
          <w:bCs w:val="0"/>
          <w:sz w:val="24"/>
          <w:szCs w:val="24"/>
          <w:shd w:val="clear" w:color="auto" w:fill="F5F5F5"/>
        </w:rPr>
      </w:pPr>
      <w:r w:rsidRPr="00C8272E">
        <w:rPr>
          <w:rFonts w:ascii="Times New Roman" w:hAnsi="Times New Roman" w:cs="Times New Roman"/>
          <w:b w:val="0"/>
          <w:bCs w:val="0"/>
          <w:sz w:val="24"/>
          <w:szCs w:val="24"/>
          <w:shd w:val="clear" w:color="auto" w:fill="F5F5F5"/>
        </w:rPr>
        <w:t>Influencing Factor Data</w:t>
      </w:r>
    </w:p>
    <w:p w14:paraId="4EAE44DA" w14:textId="75866F23" w:rsidR="00855071" w:rsidRDefault="00E34CC2">
      <w:pPr>
        <w:ind w:firstLineChars="200" w:firstLine="420"/>
        <w:rPr>
          <w:rFonts w:ascii="Times New Roman" w:hAnsi="Times New Roman" w:cs="Times New Roman"/>
          <w:szCs w:val="21"/>
        </w:rPr>
      </w:pPr>
      <w:r>
        <w:rPr>
          <w:rFonts w:ascii="Times New Roman" w:hAnsi="Times New Roman" w:cs="Times New Roman"/>
          <w:szCs w:val="21"/>
        </w:rPr>
        <w:t>Influencing factor data includes eight categories: annual average precipitation</w:t>
      </w:r>
      <w:r>
        <w:rPr>
          <w:rFonts w:ascii="Times New Roman" w:hAnsi="Times New Roman" w:cs="Times New Roman"/>
          <w:szCs w:val="21"/>
          <w:vertAlign w:val="superscript"/>
        </w:rPr>
        <w:t>[</w:t>
      </w:r>
      <w:r w:rsidR="008E2006">
        <w:rPr>
          <w:rFonts w:ascii="Times New Roman" w:hAnsi="Times New Roman" w:cs="Times New Roman"/>
          <w:szCs w:val="21"/>
          <w:vertAlign w:val="superscript"/>
        </w:rPr>
        <w:t>1</w:t>
      </w:r>
      <w:r>
        <w:rPr>
          <w:rFonts w:ascii="Times New Roman" w:hAnsi="Times New Roman" w:cs="Times New Roman"/>
          <w:szCs w:val="21"/>
          <w:vertAlign w:val="superscript"/>
        </w:rPr>
        <w:t>]</w:t>
      </w:r>
      <w:r>
        <w:rPr>
          <w:rFonts w:ascii="Times New Roman" w:hAnsi="Times New Roman" w:cs="Times New Roman"/>
          <w:szCs w:val="21"/>
        </w:rPr>
        <w:t xml:space="preserve">, annual </w:t>
      </w:r>
      <w:r>
        <w:rPr>
          <w:rFonts w:ascii="Times New Roman" w:hAnsi="Times New Roman" w:cs="Times New Roman"/>
          <w:szCs w:val="21"/>
        </w:rPr>
        <w:lastRenderedPageBreak/>
        <w:t>average temperature</w:t>
      </w:r>
      <w:r>
        <w:rPr>
          <w:rFonts w:ascii="Times New Roman" w:hAnsi="Times New Roman" w:cs="Times New Roman"/>
          <w:szCs w:val="21"/>
          <w:vertAlign w:val="superscript"/>
        </w:rPr>
        <w:t>[</w:t>
      </w:r>
      <w:r w:rsidR="008E2006">
        <w:rPr>
          <w:rFonts w:ascii="Times New Roman" w:hAnsi="Times New Roman" w:cs="Times New Roman"/>
          <w:szCs w:val="21"/>
          <w:vertAlign w:val="superscript"/>
        </w:rPr>
        <w:t>2</w:t>
      </w:r>
      <w:r>
        <w:rPr>
          <w:rFonts w:ascii="Times New Roman" w:hAnsi="Times New Roman" w:cs="Times New Roman"/>
          <w:szCs w:val="21"/>
          <w:vertAlign w:val="superscript"/>
        </w:rPr>
        <w:t>]</w:t>
      </w:r>
      <w:r>
        <w:rPr>
          <w:rFonts w:ascii="Times New Roman" w:hAnsi="Times New Roman" w:cs="Times New Roman"/>
          <w:szCs w:val="21"/>
        </w:rPr>
        <w:t>, annual average soil moisture</w:t>
      </w:r>
      <w:r>
        <w:rPr>
          <w:rFonts w:ascii="Times New Roman" w:hAnsi="Times New Roman" w:cs="Times New Roman"/>
          <w:szCs w:val="21"/>
          <w:vertAlign w:val="superscript"/>
        </w:rPr>
        <w:t>[</w:t>
      </w:r>
      <w:r w:rsidR="008E2006">
        <w:rPr>
          <w:rFonts w:ascii="Times New Roman" w:hAnsi="Times New Roman" w:cs="Times New Roman"/>
          <w:szCs w:val="21"/>
          <w:vertAlign w:val="superscript"/>
        </w:rPr>
        <w:t>3</w:t>
      </w:r>
      <w:r>
        <w:rPr>
          <w:rFonts w:ascii="Times New Roman" w:hAnsi="Times New Roman" w:cs="Times New Roman"/>
          <w:szCs w:val="21"/>
          <w:vertAlign w:val="superscript"/>
        </w:rPr>
        <w:t>]</w:t>
      </w:r>
      <w:r>
        <w:rPr>
          <w:rFonts w:ascii="Times New Roman" w:hAnsi="Times New Roman" w:cs="Times New Roman"/>
          <w:szCs w:val="21"/>
        </w:rPr>
        <w:t>, normalized difference vegetation index (https://www.resdc.cn/data.aspx?DATAID=343), net primary productivity (NPP)</w:t>
      </w:r>
      <w:r>
        <w:rPr>
          <w:rFonts w:ascii="Times New Roman" w:hAnsi="Times New Roman" w:cs="Times New Roman"/>
          <w:szCs w:val="21"/>
          <w:vertAlign w:val="superscript"/>
        </w:rPr>
        <w:t>[</w:t>
      </w:r>
      <w:r w:rsidR="008E2006">
        <w:rPr>
          <w:rFonts w:ascii="Times New Roman" w:hAnsi="Times New Roman" w:cs="Times New Roman"/>
          <w:szCs w:val="21"/>
          <w:vertAlign w:val="superscript"/>
        </w:rPr>
        <w:t>4</w:t>
      </w:r>
      <w:r>
        <w:rPr>
          <w:rFonts w:ascii="Times New Roman" w:hAnsi="Times New Roman" w:cs="Times New Roman"/>
          <w:szCs w:val="21"/>
          <w:vertAlign w:val="superscript"/>
        </w:rPr>
        <w:t>]</w:t>
      </w:r>
      <w:r>
        <w:rPr>
          <w:rFonts w:ascii="Times New Roman" w:hAnsi="Times New Roman" w:cs="Times New Roman"/>
          <w:szCs w:val="21"/>
        </w:rPr>
        <w:t>, land use intensity (LUI), population density, per capita GDP</w:t>
      </w:r>
      <w:r>
        <w:rPr>
          <w:rFonts w:ascii="Times New Roman" w:hAnsi="Times New Roman" w:cs="Times New Roman"/>
          <w:szCs w:val="21"/>
          <w:vertAlign w:val="superscript"/>
        </w:rPr>
        <w:t>[</w:t>
      </w:r>
      <w:r w:rsidR="008E2006">
        <w:rPr>
          <w:rFonts w:ascii="Times New Roman" w:hAnsi="Times New Roman" w:cs="Times New Roman"/>
          <w:szCs w:val="21"/>
          <w:vertAlign w:val="superscript"/>
        </w:rPr>
        <w:t>5</w:t>
      </w:r>
      <w:r>
        <w:rPr>
          <w:rFonts w:ascii="Times New Roman" w:hAnsi="Times New Roman" w:cs="Times New Roman"/>
          <w:szCs w:val="21"/>
          <w:vertAlign w:val="superscript"/>
        </w:rPr>
        <w:t>]</w:t>
      </w:r>
      <w:r>
        <w:rPr>
          <w:rFonts w:ascii="Times New Roman" w:hAnsi="Times New Roman" w:cs="Times New Roman"/>
          <w:szCs w:val="21"/>
        </w:rPr>
        <w:t>, and land cover data</w:t>
      </w:r>
      <w:r>
        <w:rPr>
          <w:rFonts w:ascii="Times New Roman" w:hAnsi="Times New Roman" w:cs="Times New Roman" w:hint="eastAsia"/>
          <w:szCs w:val="21"/>
        </w:rPr>
        <w:t xml:space="preserve"> (</w:t>
      </w:r>
      <w:hyperlink r:id="rId10" w:history="1">
        <w:r>
          <w:rPr>
            <w:rFonts w:ascii="Times New Roman" w:hAnsi="Times New Roman" w:cs="Times New Roman"/>
            <w:szCs w:val="21"/>
          </w:rPr>
          <w:t>https://www.resdc.cn/DOI/DOI.aspx?DOIID=54</w:t>
        </w:r>
      </w:hyperlink>
      <w:r>
        <w:rPr>
          <w:rFonts w:ascii="Times New Roman" w:hAnsi="Times New Roman" w:cs="Times New Roman" w:hint="eastAsia"/>
          <w:szCs w:val="21"/>
        </w:rPr>
        <w:t>)</w:t>
      </w:r>
      <w:r>
        <w:rPr>
          <w:rFonts w:ascii="Times New Roman" w:hAnsi="Times New Roman" w:cs="Times New Roman"/>
          <w:szCs w:val="21"/>
        </w:rPr>
        <w:t>.</w:t>
      </w:r>
    </w:p>
    <w:p w14:paraId="0E945044" w14:textId="77777777" w:rsidR="00855071" w:rsidRDefault="00E34CC2">
      <w:pPr>
        <w:ind w:firstLineChars="200" w:firstLine="420"/>
        <w:rPr>
          <w:rFonts w:ascii="Times New Roman" w:hAnsi="Times New Roman" w:cs="Times New Roman"/>
          <w:szCs w:val="21"/>
        </w:rPr>
      </w:pPr>
      <w:r>
        <w:rPr>
          <w:rFonts w:ascii="Times New Roman" w:hAnsi="Times New Roman" w:cs="Times New Roman"/>
          <w:szCs w:val="21"/>
        </w:rPr>
        <w:t>PRE, TEM, and SM data are from the China Environmental Data Platform, with a spatial resolution of 1 km, presented as monthly averages. PRE data is generated using the Delta spatial downscaling scheme based on CRU’s global climate dataset and WorldClim’s high-resolution dataset. TEM data is derived from AMSR-E/AMSR2 inversion algorithms and geographically weighted regression, integrating multi-source data. SM data is generated using a random forest model, incorporating leaf area index, land cover type, terrain, and soil properties as covariates.</w:t>
      </w:r>
    </w:p>
    <w:p w14:paraId="6AD7F7D9" w14:textId="77777777" w:rsidR="00855071" w:rsidRDefault="00E34CC2">
      <w:pPr>
        <w:ind w:firstLineChars="200" w:firstLine="420"/>
        <w:rPr>
          <w:rFonts w:ascii="Times New Roman" w:hAnsi="Times New Roman" w:cs="Times New Roman"/>
          <w:szCs w:val="21"/>
        </w:rPr>
      </w:pPr>
      <w:r>
        <w:rPr>
          <w:rFonts w:ascii="Times New Roman" w:hAnsi="Times New Roman" w:cs="Times New Roman"/>
          <w:szCs w:val="21"/>
        </w:rPr>
        <w:t>NDVI, POP, GDP, and Land Cover Data are from the Resource and Environment Data Platform of the Chinese Academy of Sciences, with a spatial resolution of 1 km. NDVI data is obtained from SPOT/VEGETATION PROBA-V through stitching and projection transformation. POP data is generated based on national county-level GDP statistics, combined with land use types, nighttime light brightness, and residential density data through spatial interpolation. GDP data is distributed from administrative units to spatial grids using a multi-factor weight allocation method. Land Cover Data is constructed using Landsat imagery through manual interpretation. LUI is derived from Land Cover Data using land use intensity formulas.</w:t>
      </w:r>
    </w:p>
    <w:p w14:paraId="7A4C340B" w14:textId="77777777" w:rsidR="00855071" w:rsidRDefault="00E34CC2">
      <w:pPr>
        <w:ind w:firstLineChars="200" w:firstLine="420"/>
        <w:rPr>
          <w:rFonts w:ascii="Times New Roman" w:hAnsi="Times New Roman" w:cs="Times New Roman"/>
          <w:szCs w:val="21"/>
        </w:rPr>
      </w:pPr>
      <w:r>
        <w:rPr>
          <w:rFonts w:ascii="Times New Roman" w:hAnsi="Times New Roman" w:cs="Times New Roman"/>
          <w:szCs w:val="21"/>
        </w:rPr>
        <w:t>NPP data comes from the China National Ecosystem Science Data Center, with a spatial resolution of 0.072°×0.072°, generated using the BEPS ecological model driven by vegetation parameters, remote sensing data, and meteorological data.</w:t>
      </w:r>
    </w:p>
    <w:p w14:paraId="58757FB5" w14:textId="77777777" w:rsidR="00855071" w:rsidRPr="00C8272E" w:rsidRDefault="00E34CC2" w:rsidP="00C8272E">
      <w:pPr>
        <w:pStyle w:val="2"/>
        <w:spacing w:before="0" w:after="0" w:line="300" w:lineRule="exact"/>
        <w:rPr>
          <w:rFonts w:ascii="Times New Roman" w:hAnsi="Times New Roman" w:cs="Times New Roman"/>
          <w:b w:val="0"/>
          <w:bCs w:val="0"/>
          <w:sz w:val="24"/>
          <w:szCs w:val="24"/>
          <w:shd w:val="clear" w:color="auto" w:fill="F5F5F5"/>
        </w:rPr>
      </w:pPr>
      <w:r w:rsidRPr="00C8272E">
        <w:rPr>
          <w:rFonts w:ascii="Times New Roman" w:hAnsi="Times New Roman" w:cs="Times New Roman"/>
          <w:b w:val="0"/>
          <w:bCs w:val="0"/>
          <w:sz w:val="24"/>
          <w:szCs w:val="24"/>
          <w:shd w:val="clear" w:color="auto" w:fill="F5F5F5"/>
        </w:rPr>
        <w:t>Carbon Density Data</w:t>
      </w:r>
    </w:p>
    <w:p w14:paraId="2EB12A62" w14:textId="5205391A" w:rsidR="00855071" w:rsidRDefault="00E34CC2">
      <w:pPr>
        <w:ind w:firstLineChars="200" w:firstLine="420"/>
        <w:rPr>
          <w:rFonts w:ascii="Times New Roman" w:hAnsi="Times New Roman" w:cs="Times New Roman"/>
          <w:szCs w:val="21"/>
        </w:rPr>
      </w:pPr>
      <w:r>
        <w:rPr>
          <w:rFonts w:ascii="Times New Roman" w:hAnsi="Times New Roman" w:cs="Times New Roman"/>
          <w:szCs w:val="21"/>
        </w:rPr>
        <w:t>Carbon density data includes aboveground biomass carbon density, belowground biomass carbon density</w:t>
      </w:r>
      <w:r>
        <w:rPr>
          <w:rFonts w:ascii="Times New Roman" w:hAnsi="Times New Roman" w:cs="Times New Roman"/>
          <w:szCs w:val="21"/>
          <w:vertAlign w:val="superscript"/>
        </w:rPr>
        <w:t>[</w:t>
      </w:r>
      <w:r w:rsidR="00262ED5">
        <w:rPr>
          <w:rFonts w:ascii="Times New Roman" w:hAnsi="Times New Roman" w:cs="Times New Roman"/>
          <w:szCs w:val="21"/>
          <w:vertAlign w:val="superscript"/>
        </w:rPr>
        <w:t>6</w:t>
      </w:r>
      <w:r>
        <w:rPr>
          <w:rFonts w:ascii="Times New Roman" w:hAnsi="Times New Roman" w:cs="Times New Roman"/>
          <w:szCs w:val="21"/>
          <w:vertAlign w:val="superscript"/>
        </w:rPr>
        <w:t>]</w:t>
      </w:r>
      <w:r>
        <w:rPr>
          <w:rFonts w:ascii="Times New Roman" w:hAnsi="Times New Roman" w:cs="Times New Roman"/>
          <w:szCs w:val="21"/>
        </w:rPr>
        <w:t>, soil carbon density and dead organic matter carbon density. (http://www.ncdc.ac.cn/portal/metadata/2064ef7f-1cb8-4f05-9ca3-3395f52617dd)</w:t>
      </w:r>
    </w:p>
    <w:p w14:paraId="5DB3AD18" w14:textId="77777777" w:rsidR="00855071" w:rsidRDefault="00E34CC2">
      <w:pPr>
        <w:ind w:firstLineChars="200" w:firstLine="420"/>
        <w:rPr>
          <w:rFonts w:ascii="Times New Roman" w:hAnsi="Times New Roman" w:cs="Times New Roman"/>
          <w:szCs w:val="21"/>
        </w:rPr>
      </w:pPr>
      <w:r>
        <w:rPr>
          <w:rFonts w:ascii="Times New Roman" w:hAnsi="Times New Roman" w:cs="Times New Roman"/>
          <w:szCs w:val="21"/>
        </w:rPr>
        <w:t>Aboveground and belowground carbon density data are sourced from NASA, with a spatial resolution of 300 meters, measured in Mg C/ha, estimated through models trained on remote sensing and ground survey data.</w:t>
      </w:r>
    </w:p>
    <w:p w14:paraId="51045419" w14:textId="0A10FA81" w:rsidR="00855071" w:rsidRDefault="00E34CC2">
      <w:pPr>
        <w:ind w:firstLineChars="200" w:firstLine="420"/>
        <w:rPr>
          <w:rFonts w:ascii="Times New Roman" w:hAnsi="Times New Roman" w:cs="Times New Roman"/>
          <w:szCs w:val="21"/>
        </w:rPr>
      </w:pPr>
      <w:r>
        <w:rPr>
          <w:rFonts w:ascii="Times New Roman" w:hAnsi="Times New Roman" w:cs="Times New Roman"/>
          <w:szCs w:val="21"/>
        </w:rPr>
        <w:t>Soil carbon density data is sourced from the National Glacier, Frozen Soil, and Desert Science Data Center of China, with a spatial resolution of 30 meters, measured in kg C m</w:t>
      </w:r>
      <w:r>
        <w:rPr>
          <w:rFonts w:ascii="Times New Roman" w:hAnsi="Times New Roman" w:cs="Times New Roman"/>
          <w:szCs w:val="21"/>
          <w:vertAlign w:val="superscript"/>
        </w:rPr>
        <w:t>-2</w:t>
      </w:r>
      <w:r>
        <w:rPr>
          <w:rFonts w:ascii="Times New Roman" w:hAnsi="Times New Roman" w:cs="Times New Roman"/>
          <w:szCs w:val="21"/>
        </w:rPr>
        <w:t>, estimated using the Extreme Gradient Boosting algorithm based on multiple environmental covariates.</w:t>
      </w:r>
    </w:p>
    <w:p w14:paraId="2E1B2FE1" w14:textId="6DD54383" w:rsidR="00855071" w:rsidRDefault="00E34CC2">
      <w:pPr>
        <w:ind w:firstLineChars="200" w:firstLine="420"/>
        <w:rPr>
          <w:rFonts w:ascii="Times New Roman" w:hAnsi="Times New Roman" w:cs="Times New Roman"/>
          <w:szCs w:val="21"/>
        </w:rPr>
      </w:pPr>
      <w:r>
        <w:rPr>
          <w:rFonts w:ascii="Times New Roman" w:hAnsi="Times New Roman" w:cs="Times New Roman"/>
          <w:szCs w:val="21"/>
        </w:rPr>
        <w:t>Dead organic matter carbon density data for the Xinjiang Autonomous Region in 2010 is estimated using a coefficient method based on the above datasets</w:t>
      </w:r>
      <w:r>
        <w:rPr>
          <w:rFonts w:ascii="Times New Roman" w:hAnsi="Times New Roman" w:cs="Times New Roman"/>
          <w:szCs w:val="21"/>
          <w:vertAlign w:val="superscript"/>
        </w:rPr>
        <w:t>[</w:t>
      </w:r>
      <w:r w:rsidR="00262ED5">
        <w:rPr>
          <w:rFonts w:ascii="Times New Roman" w:hAnsi="Times New Roman" w:cs="Times New Roman"/>
          <w:szCs w:val="21"/>
          <w:vertAlign w:val="superscript"/>
        </w:rPr>
        <w:t>7</w:t>
      </w:r>
      <w:r>
        <w:rPr>
          <w:rFonts w:ascii="Times New Roman" w:hAnsi="Times New Roman" w:cs="Times New Roman"/>
          <w:szCs w:val="21"/>
          <w:vertAlign w:val="superscript"/>
        </w:rPr>
        <w:t>]</w:t>
      </w:r>
      <w:r>
        <w:rPr>
          <w:rFonts w:ascii="Times New Roman" w:hAnsi="Times New Roman" w:cs="Times New Roman"/>
          <w:szCs w:val="21"/>
        </w:rPr>
        <w:t>.</w:t>
      </w:r>
    </w:p>
    <w:p w14:paraId="64089AAF" w14:textId="77777777" w:rsidR="00855071" w:rsidRPr="00C8272E" w:rsidRDefault="00E34CC2" w:rsidP="00C8272E">
      <w:pPr>
        <w:pStyle w:val="2"/>
        <w:spacing w:before="0" w:after="0" w:line="300" w:lineRule="exact"/>
        <w:rPr>
          <w:rFonts w:ascii="Times New Roman" w:hAnsi="Times New Roman" w:cs="Times New Roman"/>
          <w:b w:val="0"/>
          <w:bCs w:val="0"/>
          <w:sz w:val="24"/>
          <w:szCs w:val="24"/>
          <w:shd w:val="clear" w:color="auto" w:fill="F5F5F5"/>
        </w:rPr>
      </w:pPr>
      <w:r w:rsidRPr="00C8272E">
        <w:rPr>
          <w:rFonts w:ascii="Times New Roman" w:hAnsi="Times New Roman" w:cs="Times New Roman"/>
          <w:b w:val="0"/>
          <w:bCs w:val="0"/>
          <w:sz w:val="24"/>
          <w:szCs w:val="24"/>
          <w:shd w:val="clear" w:color="auto" w:fill="F5F5F5"/>
        </w:rPr>
        <w:t>Statistical Data</w:t>
      </w:r>
    </w:p>
    <w:p w14:paraId="39232482" w14:textId="62E0B228" w:rsidR="00855071" w:rsidRDefault="00E34CC2">
      <w:pPr>
        <w:ind w:firstLineChars="200" w:firstLine="420"/>
        <w:rPr>
          <w:rFonts w:ascii="Times New Roman" w:hAnsi="Times New Roman" w:cs="Times New Roman"/>
          <w:szCs w:val="21"/>
        </w:rPr>
      </w:pPr>
      <w:r>
        <w:rPr>
          <w:rFonts w:ascii="Times New Roman" w:hAnsi="Times New Roman" w:cs="Times New Roman"/>
          <w:szCs w:val="21"/>
        </w:rPr>
        <w:t>Statistical data is sourced from the Chinese Academy of Sciences, covering aboveground, belowground, soil, and dead organic matter carbon density from 2000 to 2014(http://www.sciencedb.cn/dataSet/handle/603). The dataset contains 15,610 entries, with 3,921 entries specific to Xinjiang and nearby regions.</w:t>
      </w:r>
    </w:p>
    <w:p w14:paraId="143C6F83" w14:textId="1AB668D7" w:rsidR="00855071" w:rsidRPr="006D5163" w:rsidRDefault="00A716A6">
      <w:pPr>
        <w:widowControl/>
        <w:spacing w:line="200" w:lineRule="exact"/>
        <w:jc w:val="center"/>
        <w:rPr>
          <w:rFonts w:ascii="Times New Roman" w:eastAsia="宋体" w:hAnsi="Times New Roman"/>
          <w:b/>
          <w:bCs/>
          <w:sz w:val="18"/>
          <w:szCs w:val="18"/>
        </w:rPr>
      </w:pPr>
      <w:r w:rsidRPr="006D5163">
        <w:rPr>
          <w:rFonts w:ascii="Times New Roman" w:eastAsia="宋体" w:hAnsi="Times New Roman"/>
          <w:b/>
          <w:bCs/>
          <w:sz w:val="18"/>
          <w:szCs w:val="18"/>
        </w:rPr>
        <w:t>Supplementary Table 1 Information on Basic Data</w:t>
      </w:r>
    </w:p>
    <w:tbl>
      <w:tblPr>
        <w:tblW w:w="8647" w:type="dxa"/>
        <w:jc w:val="center"/>
        <w:tblLook w:val="04A0" w:firstRow="1" w:lastRow="0" w:firstColumn="1" w:lastColumn="0" w:noHBand="0" w:noVBand="1"/>
      </w:tblPr>
      <w:tblGrid>
        <w:gridCol w:w="937"/>
        <w:gridCol w:w="1190"/>
        <w:gridCol w:w="2551"/>
        <w:gridCol w:w="1559"/>
        <w:gridCol w:w="860"/>
        <w:gridCol w:w="1550"/>
      </w:tblGrid>
      <w:tr w:rsidR="00855071" w14:paraId="0345AD4A" w14:textId="77777777">
        <w:trPr>
          <w:trHeight w:val="292"/>
          <w:jc w:val="center"/>
        </w:trPr>
        <w:tc>
          <w:tcPr>
            <w:tcW w:w="937" w:type="dxa"/>
            <w:tcBorders>
              <w:top w:val="single" w:sz="8" w:space="0" w:color="auto"/>
              <w:left w:val="nil"/>
              <w:bottom w:val="single" w:sz="4" w:space="0" w:color="auto"/>
              <w:right w:val="nil"/>
            </w:tcBorders>
            <w:shd w:val="clear" w:color="auto" w:fill="auto"/>
            <w:noWrap/>
            <w:vAlign w:val="center"/>
          </w:tcPr>
          <w:p w14:paraId="6D8EB7B9" w14:textId="77777777" w:rsidR="00855071" w:rsidRDefault="00E34CC2">
            <w:pPr>
              <w:widowControl/>
              <w:jc w:val="left"/>
              <w:rPr>
                <w:rFonts w:ascii="宋体" w:eastAsia="宋体" w:hAnsi="宋体" w:cs="宋体"/>
                <w:color w:val="000000"/>
                <w:kern w:val="0"/>
                <w:sz w:val="16"/>
                <w:szCs w:val="16"/>
              </w:rPr>
            </w:pPr>
            <w:r>
              <w:rPr>
                <w:rFonts w:ascii="宋体" w:eastAsia="宋体" w:hAnsi="宋体" w:cs="宋体" w:hint="eastAsia"/>
                <w:color w:val="000000"/>
                <w:kern w:val="0"/>
                <w:sz w:val="16"/>
                <w:szCs w:val="16"/>
              </w:rPr>
              <w:t xml:space="preserve">　</w:t>
            </w:r>
          </w:p>
        </w:tc>
        <w:tc>
          <w:tcPr>
            <w:tcW w:w="1190" w:type="dxa"/>
            <w:tcBorders>
              <w:top w:val="single" w:sz="8" w:space="0" w:color="auto"/>
              <w:left w:val="nil"/>
              <w:bottom w:val="single" w:sz="4" w:space="0" w:color="auto"/>
              <w:right w:val="nil"/>
            </w:tcBorders>
            <w:shd w:val="clear" w:color="auto" w:fill="auto"/>
            <w:noWrap/>
            <w:vAlign w:val="center"/>
          </w:tcPr>
          <w:p w14:paraId="172B2AD2" w14:textId="77777777" w:rsidR="00855071" w:rsidRDefault="00E34CC2">
            <w:pPr>
              <w:widowControl/>
              <w:jc w:val="center"/>
              <w:rPr>
                <w:rFonts w:ascii="Times New Roman" w:eastAsia="等线" w:hAnsi="Times New Roman" w:cs="Times New Roman"/>
                <w:b/>
                <w:bCs/>
                <w:color w:val="000000"/>
                <w:kern w:val="0"/>
                <w:sz w:val="16"/>
                <w:szCs w:val="16"/>
              </w:rPr>
            </w:pPr>
            <w:r>
              <w:rPr>
                <w:rFonts w:ascii="Times New Roman" w:eastAsia="等线" w:hAnsi="Times New Roman" w:cs="Times New Roman"/>
                <w:b/>
                <w:bCs/>
                <w:color w:val="000000"/>
                <w:kern w:val="0"/>
                <w:sz w:val="16"/>
                <w:szCs w:val="16"/>
              </w:rPr>
              <w:t>Data Type</w:t>
            </w:r>
          </w:p>
        </w:tc>
        <w:tc>
          <w:tcPr>
            <w:tcW w:w="2551" w:type="dxa"/>
            <w:tcBorders>
              <w:top w:val="single" w:sz="8" w:space="0" w:color="auto"/>
              <w:left w:val="nil"/>
              <w:bottom w:val="single" w:sz="4" w:space="0" w:color="auto"/>
              <w:right w:val="nil"/>
            </w:tcBorders>
            <w:shd w:val="clear" w:color="auto" w:fill="auto"/>
            <w:noWrap/>
            <w:vAlign w:val="center"/>
          </w:tcPr>
          <w:p w14:paraId="6E168271" w14:textId="77777777" w:rsidR="00855071" w:rsidRDefault="00E34CC2">
            <w:pPr>
              <w:widowControl/>
              <w:jc w:val="center"/>
              <w:rPr>
                <w:rFonts w:ascii="Times New Roman" w:eastAsia="等线" w:hAnsi="Times New Roman" w:cs="Times New Roman"/>
                <w:b/>
                <w:bCs/>
                <w:color w:val="000000"/>
                <w:kern w:val="0"/>
                <w:sz w:val="16"/>
                <w:szCs w:val="16"/>
              </w:rPr>
            </w:pPr>
            <w:r>
              <w:rPr>
                <w:rFonts w:ascii="Times New Roman" w:eastAsia="等线" w:hAnsi="Times New Roman" w:cs="Times New Roman"/>
                <w:b/>
                <w:bCs/>
                <w:color w:val="000000"/>
                <w:kern w:val="0"/>
                <w:sz w:val="16"/>
                <w:szCs w:val="16"/>
              </w:rPr>
              <w:t>Data Source</w:t>
            </w:r>
          </w:p>
        </w:tc>
        <w:tc>
          <w:tcPr>
            <w:tcW w:w="1559" w:type="dxa"/>
            <w:tcBorders>
              <w:top w:val="single" w:sz="8" w:space="0" w:color="auto"/>
              <w:left w:val="nil"/>
              <w:bottom w:val="single" w:sz="4" w:space="0" w:color="auto"/>
              <w:right w:val="nil"/>
            </w:tcBorders>
            <w:shd w:val="clear" w:color="auto" w:fill="auto"/>
            <w:noWrap/>
            <w:vAlign w:val="center"/>
          </w:tcPr>
          <w:p w14:paraId="7097262E" w14:textId="77777777" w:rsidR="00855071" w:rsidRDefault="00E34CC2">
            <w:pPr>
              <w:widowControl/>
              <w:jc w:val="center"/>
              <w:rPr>
                <w:rFonts w:ascii="Times New Roman" w:eastAsia="等线" w:hAnsi="Times New Roman" w:cs="Times New Roman"/>
                <w:b/>
                <w:bCs/>
                <w:color w:val="000000"/>
                <w:kern w:val="0"/>
                <w:sz w:val="16"/>
                <w:szCs w:val="16"/>
              </w:rPr>
            </w:pPr>
            <w:r>
              <w:rPr>
                <w:rFonts w:ascii="Times New Roman" w:eastAsia="等线" w:hAnsi="Times New Roman" w:cs="Times New Roman"/>
                <w:b/>
                <w:bCs/>
                <w:color w:val="000000"/>
                <w:kern w:val="0"/>
                <w:sz w:val="16"/>
                <w:szCs w:val="16"/>
              </w:rPr>
              <w:t>Coverage Period</w:t>
            </w:r>
          </w:p>
        </w:tc>
        <w:tc>
          <w:tcPr>
            <w:tcW w:w="860" w:type="dxa"/>
            <w:tcBorders>
              <w:top w:val="single" w:sz="8" w:space="0" w:color="auto"/>
              <w:left w:val="nil"/>
              <w:bottom w:val="single" w:sz="4" w:space="0" w:color="auto"/>
              <w:right w:val="nil"/>
            </w:tcBorders>
            <w:shd w:val="clear" w:color="auto" w:fill="auto"/>
            <w:noWrap/>
            <w:vAlign w:val="center"/>
          </w:tcPr>
          <w:p w14:paraId="71A099BC" w14:textId="77777777" w:rsidR="00855071" w:rsidRDefault="00E34CC2">
            <w:pPr>
              <w:widowControl/>
              <w:jc w:val="center"/>
              <w:rPr>
                <w:rFonts w:ascii="Times New Roman" w:eastAsia="等线" w:hAnsi="Times New Roman" w:cs="Times New Roman"/>
                <w:b/>
                <w:bCs/>
                <w:color w:val="000000"/>
                <w:kern w:val="0"/>
                <w:sz w:val="16"/>
                <w:szCs w:val="16"/>
              </w:rPr>
            </w:pPr>
            <w:r>
              <w:rPr>
                <w:rFonts w:ascii="Times New Roman" w:eastAsia="等线" w:hAnsi="Times New Roman" w:cs="Times New Roman"/>
                <w:b/>
                <w:bCs/>
                <w:color w:val="000000"/>
                <w:kern w:val="0"/>
                <w:sz w:val="16"/>
                <w:szCs w:val="16"/>
              </w:rPr>
              <w:t>Units</w:t>
            </w:r>
          </w:p>
        </w:tc>
        <w:tc>
          <w:tcPr>
            <w:tcW w:w="1550" w:type="dxa"/>
            <w:tcBorders>
              <w:top w:val="single" w:sz="8" w:space="0" w:color="auto"/>
              <w:left w:val="nil"/>
              <w:bottom w:val="single" w:sz="4" w:space="0" w:color="auto"/>
              <w:right w:val="nil"/>
            </w:tcBorders>
            <w:shd w:val="clear" w:color="auto" w:fill="auto"/>
            <w:noWrap/>
            <w:vAlign w:val="center"/>
          </w:tcPr>
          <w:p w14:paraId="3936B835" w14:textId="77777777" w:rsidR="00855071" w:rsidRDefault="00E34CC2">
            <w:pPr>
              <w:widowControl/>
              <w:jc w:val="center"/>
              <w:rPr>
                <w:rFonts w:ascii="Times New Roman" w:eastAsia="等线" w:hAnsi="Times New Roman" w:cs="Times New Roman"/>
                <w:b/>
                <w:bCs/>
                <w:color w:val="000000"/>
                <w:kern w:val="0"/>
                <w:sz w:val="16"/>
                <w:szCs w:val="16"/>
              </w:rPr>
            </w:pPr>
            <w:r>
              <w:rPr>
                <w:rFonts w:ascii="Times New Roman" w:eastAsia="等线" w:hAnsi="Times New Roman" w:cs="Times New Roman"/>
                <w:b/>
                <w:bCs/>
                <w:color w:val="000000"/>
                <w:kern w:val="0"/>
                <w:sz w:val="16"/>
                <w:szCs w:val="16"/>
              </w:rPr>
              <w:t>Spatial Resolution</w:t>
            </w:r>
          </w:p>
        </w:tc>
      </w:tr>
      <w:tr w:rsidR="00855071" w14:paraId="53311A33" w14:textId="77777777">
        <w:trPr>
          <w:trHeight w:val="283"/>
          <w:jc w:val="center"/>
        </w:trPr>
        <w:tc>
          <w:tcPr>
            <w:tcW w:w="937" w:type="dxa"/>
            <w:vMerge w:val="restart"/>
            <w:tcBorders>
              <w:top w:val="single" w:sz="4" w:space="0" w:color="auto"/>
              <w:left w:val="nil"/>
              <w:bottom w:val="nil"/>
              <w:right w:val="nil"/>
            </w:tcBorders>
            <w:shd w:val="clear" w:color="auto" w:fill="auto"/>
            <w:noWrap/>
            <w:vAlign w:val="center"/>
          </w:tcPr>
          <w:p w14:paraId="23158FCE" w14:textId="77777777" w:rsidR="00855071" w:rsidRDefault="00E34CC2">
            <w:pPr>
              <w:widowControl/>
              <w:jc w:val="center"/>
              <w:rPr>
                <w:rFonts w:ascii="Times New Roman" w:eastAsia="等线" w:hAnsi="Times New Roman" w:cs="Times New Roman"/>
                <w:b/>
                <w:bCs/>
                <w:color w:val="000000"/>
                <w:kern w:val="0"/>
                <w:sz w:val="16"/>
                <w:szCs w:val="16"/>
              </w:rPr>
            </w:pPr>
            <w:r>
              <w:rPr>
                <w:rFonts w:ascii="Times New Roman" w:eastAsia="等线" w:hAnsi="Times New Roman" w:cs="Times New Roman"/>
                <w:b/>
                <w:bCs/>
                <w:color w:val="000000"/>
                <w:kern w:val="0"/>
                <w:sz w:val="16"/>
                <w:szCs w:val="16"/>
              </w:rPr>
              <w:t>Impact Factor</w:t>
            </w:r>
          </w:p>
        </w:tc>
        <w:tc>
          <w:tcPr>
            <w:tcW w:w="1190" w:type="dxa"/>
            <w:tcBorders>
              <w:top w:val="single" w:sz="4" w:space="0" w:color="auto"/>
              <w:left w:val="nil"/>
              <w:bottom w:val="nil"/>
              <w:right w:val="nil"/>
            </w:tcBorders>
            <w:shd w:val="clear" w:color="auto" w:fill="auto"/>
            <w:noWrap/>
            <w:vAlign w:val="center"/>
          </w:tcPr>
          <w:p w14:paraId="0D3A93DB"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PRE</w:t>
            </w:r>
          </w:p>
        </w:tc>
        <w:tc>
          <w:tcPr>
            <w:tcW w:w="2551" w:type="dxa"/>
            <w:tcBorders>
              <w:top w:val="single" w:sz="4" w:space="0" w:color="auto"/>
              <w:left w:val="nil"/>
              <w:bottom w:val="nil"/>
              <w:right w:val="nil"/>
            </w:tcBorders>
            <w:shd w:val="clear" w:color="auto" w:fill="auto"/>
            <w:noWrap/>
            <w:vAlign w:val="center"/>
          </w:tcPr>
          <w:p w14:paraId="1B46DDA7"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Big Earth Data Platform</w:t>
            </w:r>
          </w:p>
        </w:tc>
        <w:tc>
          <w:tcPr>
            <w:tcW w:w="1559" w:type="dxa"/>
            <w:tcBorders>
              <w:top w:val="single" w:sz="4" w:space="0" w:color="auto"/>
              <w:left w:val="nil"/>
              <w:bottom w:val="nil"/>
              <w:right w:val="nil"/>
            </w:tcBorders>
            <w:shd w:val="clear" w:color="auto" w:fill="auto"/>
            <w:noWrap/>
            <w:vAlign w:val="center"/>
          </w:tcPr>
          <w:p w14:paraId="08B1FFC7"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1901-2021</w:t>
            </w:r>
          </w:p>
        </w:tc>
        <w:tc>
          <w:tcPr>
            <w:tcW w:w="860" w:type="dxa"/>
            <w:tcBorders>
              <w:top w:val="single" w:sz="4" w:space="0" w:color="auto"/>
              <w:left w:val="nil"/>
              <w:bottom w:val="nil"/>
              <w:right w:val="nil"/>
            </w:tcBorders>
            <w:shd w:val="clear" w:color="auto" w:fill="auto"/>
            <w:noWrap/>
            <w:vAlign w:val="center"/>
          </w:tcPr>
          <w:p w14:paraId="2FAE19EF"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mm</w:t>
            </w:r>
          </w:p>
        </w:tc>
        <w:tc>
          <w:tcPr>
            <w:tcW w:w="1550" w:type="dxa"/>
            <w:tcBorders>
              <w:top w:val="single" w:sz="4" w:space="0" w:color="auto"/>
              <w:left w:val="nil"/>
              <w:bottom w:val="nil"/>
              <w:right w:val="nil"/>
            </w:tcBorders>
            <w:shd w:val="clear" w:color="auto" w:fill="auto"/>
            <w:noWrap/>
            <w:vAlign w:val="center"/>
          </w:tcPr>
          <w:p w14:paraId="4525B8D8"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1km</w:t>
            </w:r>
          </w:p>
        </w:tc>
      </w:tr>
      <w:tr w:rsidR="00855071" w14:paraId="53940EBC" w14:textId="77777777">
        <w:trPr>
          <w:trHeight w:val="283"/>
          <w:jc w:val="center"/>
        </w:trPr>
        <w:tc>
          <w:tcPr>
            <w:tcW w:w="937" w:type="dxa"/>
            <w:vMerge/>
            <w:tcBorders>
              <w:top w:val="nil"/>
              <w:left w:val="nil"/>
              <w:bottom w:val="nil"/>
              <w:right w:val="nil"/>
            </w:tcBorders>
            <w:vAlign w:val="center"/>
          </w:tcPr>
          <w:p w14:paraId="1DC6E74D" w14:textId="77777777" w:rsidR="00855071" w:rsidRDefault="00855071">
            <w:pPr>
              <w:widowControl/>
              <w:jc w:val="left"/>
              <w:rPr>
                <w:rFonts w:ascii="Times New Roman" w:eastAsia="等线" w:hAnsi="Times New Roman" w:cs="Times New Roman"/>
                <w:b/>
                <w:bCs/>
                <w:color w:val="000000"/>
                <w:kern w:val="0"/>
                <w:sz w:val="16"/>
                <w:szCs w:val="16"/>
              </w:rPr>
            </w:pPr>
          </w:p>
        </w:tc>
        <w:tc>
          <w:tcPr>
            <w:tcW w:w="1190" w:type="dxa"/>
            <w:tcBorders>
              <w:top w:val="nil"/>
              <w:left w:val="nil"/>
              <w:bottom w:val="nil"/>
              <w:right w:val="nil"/>
            </w:tcBorders>
            <w:shd w:val="clear" w:color="auto" w:fill="auto"/>
            <w:noWrap/>
            <w:vAlign w:val="center"/>
          </w:tcPr>
          <w:p w14:paraId="72A44777"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TEM</w:t>
            </w:r>
          </w:p>
        </w:tc>
        <w:tc>
          <w:tcPr>
            <w:tcW w:w="2551" w:type="dxa"/>
            <w:tcBorders>
              <w:top w:val="nil"/>
              <w:left w:val="nil"/>
              <w:bottom w:val="nil"/>
              <w:right w:val="nil"/>
            </w:tcBorders>
            <w:shd w:val="clear" w:color="auto" w:fill="auto"/>
            <w:noWrap/>
            <w:vAlign w:val="center"/>
          </w:tcPr>
          <w:p w14:paraId="23569FE9"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Big Earth Data Platform</w:t>
            </w:r>
          </w:p>
        </w:tc>
        <w:tc>
          <w:tcPr>
            <w:tcW w:w="1559" w:type="dxa"/>
            <w:tcBorders>
              <w:top w:val="nil"/>
              <w:left w:val="nil"/>
              <w:bottom w:val="nil"/>
              <w:right w:val="nil"/>
            </w:tcBorders>
            <w:shd w:val="clear" w:color="auto" w:fill="auto"/>
            <w:noWrap/>
            <w:vAlign w:val="center"/>
          </w:tcPr>
          <w:p w14:paraId="4D4174E7"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1901-2021</w:t>
            </w:r>
          </w:p>
        </w:tc>
        <w:tc>
          <w:tcPr>
            <w:tcW w:w="860" w:type="dxa"/>
            <w:tcBorders>
              <w:top w:val="nil"/>
              <w:left w:val="nil"/>
              <w:bottom w:val="nil"/>
              <w:right w:val="nil"/>
            </w:tcBorders>
            <w:shd w:val="clear" w:color="auto" w:fill="auto"/>
            <w:noWrap/>
            <w:vAlign w:val="center"/>
          </w:tcPr>
          <w:p w14:paraId="632E91CA"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w:t>
            </w:r>
          </w:p>
        </w:tc>
        <w:tc>
          <w:tcPr>
            <w:tcW w:w="1550" w:type="dxa"/>
            <w:tcBorders>
              <w:top w:val="nil"/>
              <w:left w:val="nil"/>
              <w:bottom w:val="nil"/>
              <w:right w:val="nil"/>
            </w:tcBorders>
            <w:shd w:val="clear" w:color="auto" w:fill="auto"/>
            <w:noWrap/>
            <w:vAlign w:val="center"/>
          </w:tcPr>
          <w:p w14:paraId="0C9BE45A"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1km</w:t>
            </w:r>
          </w:p>
        </w:tc>
      </w:tr>
      <w:tr w:rsidR="00855071" w14:paraId="5AD4C001" w14:textId="77777777">
        <w:trPr>
          <w:trHeight w:val="283"/>
          <w:jc w:val="center"/>
        </w:trPr>
        <w:tc>
          <w:tcPr>
            <w:tcW w:w="937" w:type="dxa"/>
            <w:vMerge/>
            <w:tcBorders>
              <w:top w:val="nil"/>
              <w:left w:val="nil"/>
              <w:bottom w:val="nil"/>
              <w:right w:val="nil"/>
            </w:tcBorders>
            <w:vAlign w:val="center"/>
          </w:tcPr>
          <w:p w14:paraId="72062B6B" w14:textId="77777777" w:rsidR="00855071" w:rsidRDefault="00855071">
            <w:pPr>
              <w:widowControl/>
              <w:jc w:val="left"/>
              <w:rPr>
                <w:rFonts w:ascii="Times New Roman" w:eastAsia="等线" w:hAnsi="Times New Roman" w:cs="Times New Roman"/>
                <w:b/>
                <w:bCs/>
                <w:color w:val="000000"/>
                <w:kern w:val="0"/>
                <w:sz w:val="16"/>
                <w:szCs w:val="16"/>
              </w:rPr>
            </w:pPr>
          </w:p>
        </w:tc>
        <w:tc>
          <w:tcPr>
            <w:tcW w:w="1190" w:type="dxa"/>
            <w:tcBorders>
              <w:top w:val="nil"/>
              <w:left w:val="nil"/>
              <w:bottom w:val="nil"/>
              <w:right w:val="nil"/>
            </w:tcBorders>
            <w:shd w:val="clear" w:color="auto" w:fill="auto"/>
            <w:noWrap/>
            <w:vAlign w:val="center"/>
          </w:tcPr>
          <w:p w14:paraId="71BCA200"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SM</w:t>
            </w:r>
          </w:p>
        </w:tc>
        <w:tc>
          <w:tcPr>
            <w:tcW w:w="2551" w:type="dxa"/>
            <w:tcBorders>
              <w:top w:val="nil"/>
              <w:left w:val="nil"/>
              <w:bottom w:val="nil"/>
              <w:right w:val="nil"/>
            </w:tcBorders>
            <w:shd w:val="clear" w:color="auto" w:fill="auto"/>
            <w:noWrap/>
            <w:vAlign w:val="center"/>
          </w:tcPr>
          <w:p w14:paraId="6C9FDD32"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Big Earth Data Platform</w:t>
            </w:r>
          </w:p>
        </w:tc>
        <w:tc>
          <w:tcPr>
            <w:tcW w:w="1559" w:type="dxa"/>
            <w:tcBorders>
              <w:top w:val="nil"/>
              <w:left w:val="nil"/>
              <w:bottom w:val="nil"/>
              <w:right w:val="nil"/>
            </w:tcBorders>
            <w:shd w:val="clear" w:color="auto" w:fill="auto"/>
            <w:noWrap/>
            <w:vAlign w:val="center"/>
          </w:tcPr>
          <w:p w14:paraId="4BF5C977"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2000-2020</w:t>
            </w:r>
          </w:p>
        </w:tc>
        <w:tc>
          <w:tcPr>
            <w:tcW w:w="860" w:type="dxa"/>
            <w:tcBorders>
              <w:top w:val="nil"/>
              <w:left w:val="nil"/>
              <w:bottom w:val="nil"/>
              <w:right w:val="nil"/>
            </w:tcBorders>
            <w:shd w:val="clear" w:color="auto" w:fill="auto"/>
            <w:noWrap/>
            <w:vAlign w:val="center"/>
          </w:tcPr>
          <w:p w14:paraId="2F3EAF47"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m³/m³</w:t>
            </w:r>
          </w:p>
        </w:tc>
        <w:tc>
          <w:tcPr>
            <w:tcW w:w="1550" w:type="dxa"/>
            <w:tcBorders>
              <w:top w:val="nil"/>
              <w:left w:val="nil"/>
              <w:bottom w:val="nil"/>
              <w:right w:val="nil"/>
            </w:tcBorders>
            <w:shd w:val="clear" w:color="auto" w:fill="auto"/>
            <w:noWrap/>
            <w:vAlign w:val="center"/>
          </w:tcPr>
          <w:p w14:paraId="12D6F07E"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1km</w:t>
            </w:r>
          </w:p>
        </w:tc>
      </w:tr>
      <w:tr w:rsidR="00855071" w14:paraId="5AF40D6A" w14:textId="77777777">
        <w:trPr>
          <w:trHeight w:val="283"/>
          <w:jc w:val="center"/>
        </w:trPr>
        <w:tc>
          <w:tcPr>
            <w:tcW w:w="937" w:type="dxa"/>
            <w:vMerge/>
            <w:tcBorders>
              <w:top w:val="nil"/>
              <w:left w:val="nil"/>
              <w:bottom w:val="nil"/>
              <w:right w:val="nil"/>
            </w:tcBorders>
            <w:vAlign w:val="center"/>
          </w:tcPr>
          <w:p w14:paraId="2ED6C2FA" w14:textId="77777777" w:rsidR="00855071" w:rsidRDefault="00855071">
            <w:pPr>
              <w:widowControl/>
              <w:jc w:val="left"/>
              <w:rPr>
                <w:rFonts w:ascii="Times New Roman" w:eastAsia="等线" w:hAnsi="Times New Roman" w:cs="Times New Roman"/>
                <w:b/>
                <w:bCs/>
                <w:color w:val="000000"/>
                <w:kern w:val="0"/>
                <w:sz w:val="16"/>
                <w:szCs w:val="16"/>
              </w:rPr>
            </w:pPr>
          </w:p>
        </w:tc>
        <w:tc>
          <w:tcPr>
            <w:tcW w:w="1190" w:type="dxa"/>
            <w:tcBorders>
              <w:top w:val="nil"/>
              <w:left w:val="nil"/>
              <w:bottom w:val="nil"/>
              <w:right w:val="nil"/>
            </w:tcBorders>
            <w:shd w:val="clear" w:color="auto" w:fill="auto"/>
            <w:noWrap/>
            <w:vAlign w:val="center"/>
          </w:tcPr>
          <w:p w14:paraId="0002B7C8"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NDVI</w:t>
            </w:r>
          </w:p>
        </w:tc>
        <w:tc>
          <w:tcPr>
            <w:tcW w:w="2551" w:type="dxa"/>
            <w:tcBorders>
              <w:top w:val="nil"/>
              <w:left w:val="nil"/>
              <w:bottom w:val="nil"/>
              <w:right w:val="nil"/>
            </w:tcBorders>
            <w:shd w:val="clear" w:color="auto" w:fill="auto"/>
            <w:noWrap/>
            <w:vAlign w:val="center"/>
          </w:tcPr>
          <w:p w14:paraId="035127A9"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 xml:space="preserve">Resource and Environment Science </w:t>
            </w:r>
          </w:p>
        </w:tc>
        <w:tc>
          <w:tcPr>
            <w:tcW w:w="1559" w:type="dxa"/>
            <w:tcBorders>
              <w:top w:val="nil"/>
              <w:left w:val="nil"/>
              <w:bottom w:val="nil"/>
              <w:right w:val="nil"/>
            </w:tcBorders>
            <w:shd w:val="clear" w:color="auto" w:fill="auto"/>
            <w:noWrap/>
            <w:vAlign w:val="center"/>
          </w:tcPr>
          <w:p w14:paraId="5B6B341E"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2000-2020</w:t>
            </w:r>
          </w:p>
        </w:tc>
        <w:tc>
          <w:tcPr>
            <w:tcW w:w="860" w:type="dxa"/>
            <w:tcBorders>
              <w:top w:val="nil"/>
              <w:left w:val="nil"/>
              <w:bottom w:val="nil"/>
              <w:right w:val="nil"/>
            </w:tcBorders>
            <w:shd w:val="clear" w:color="auto" w:fill="auto"/>
            <w:noWrap/>
            <w:vAlign w:val="center"/>
          </w:tcPr>
          <w:p w14:paraId="3ABB53A4"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w:t>
            </w:r>
          </w:p>
        </w:tc>
        <w:tc>
          <w:tcPr>
            <w:tcW w:w="1550" w:type="dxa"/>
            <w:tcBorders>
              <w:top w:val="nil"/>
              <w:left w:val="nil"/>
              <w:bottom w:val="nil"/>
              <w:right w:val="nil"/>
            </w:tcBorders>
            <w:shd w:val="clear" w:color="auto" w:fill="auto"/>
            <w:noWrap/>
            <w:vAlign w:val="center"/>
          </w:tcPr>
          <w:p w14:paraId="3F848BCD"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1km</w:t>
            </w:r>
          </w:p>
        </w:tc>
      </w:tr>
      <w:tr w:rsidR="00855071" w14:paraId="5A1E28F7" w14:textId="77777777">
        <w:trPr>
          <w:trHeight w:val="283"/>
          <w:jc w:val="center"/>
        </w:trPr>
        <w:tc>
          <w:tcPr>
            <w:tcW w:w="937" w:type="dxa"/>
            <w:vMerge/>
            <w:tcBorders>
              <w:top w:val="nil"/>
              <w:left w:val="nil"/>
              <w:bottom w:val="nil"/>
              <w:right w:val="nil"/>
            </w:tcBorders>
            <w:vAlign w:val="center"/>
          </w:tcPr>
          <w:p w14:paraId="5FB38275" w14:textId="77777777" w:rsidR="00855071" w:rsidRDefault="00855071">
            <w:pPr>
              <w:widowControl/>
              <w:jc w:val="left"/>
              <w:rPr>
                <w:rFonts w:ascii="Times New Roman" w:eastAsia="等线" w:hAnsi="Times New Roman" w:cs="Times New Roman"/>
                <w:b/>
                <w:bCs/>
                <w:color w:val="000000"/>
                <w:kern w:val="0"/>
                <w:sz w:val="16"/>
                <w:szCs w:val="16"/>
              </w:rPr>
            </w:pPr>
          </w:p>
        </w:tc>
        <w:tc>
          <w:tcPr>
            <w:tcW w:w="1190" w:type="dxa"/>
            <w:tcBorders>
              <w:top w:val="nil"/>
              <w:left w:val="nil"/>
              <w:bottom w:val="nil"/>
              <w:right w:val="nil"/>
            </w:tcBorders>
            <w:shd w:val="clear" w:color="auto" w:fill="auto"/>
            <w:noWrap/>
            <w:vAlign w:val="center"/>
          </w:tcPr>
          <w:p w14:paraId="04A0B260"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NPP</w:t>
            </w:r>
          </w:p>
        </w:tc>
        <w:tc>
          <w:tcPr>
            <w:tcW w:w="2551" w:type="dxa"/>
            <w:tcBorders>
              <w:top w:val="nil"/>
              <w:left w:val="nil"/>
              <w:bottom w:val="nil"/>
              <w:right w:val="nil"/>
            </w:tcBorders>
            <w:shd w:val="clear" w:color="auto" w:fill="auto"/>
            <w:noWrap/>
            <w:vAlign w:val="center"/>
          </w:tcPr>
          <w:p w14:paraId="23E7C79F"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 xml:space="preserve">National Environmental Science </w:t>
            </w:r>
          </w:p>
        </w:tc>
        <w:tc>
          <w:tcPr>
            <w:tcW w:w="1559" w:type="dxa"/>
            <w:tcBorders>
              <w:top w:val="nil"/>
              <w:left w:val="nil"/>
              <w:bottom w:val="nil"/>
              <w:right w:val="nil"/>
            </w:tcBorders>
            <w:shd w:val="clear" w:color="auto" w:fill="auto"/>
            <w:noWrap/>
            <w:vAlign w:val="center"/>
          </w:tcPr>
          <w:p w14:paraId="0DE1E1D3"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2000-2020</w:t>
            </w:r>
          </w:p>
        </w:tc>
        <w:tc>
          <w:tcPr>
            <w:tcW w:w="860" w:type="dxa"/>
            <w:tcBorders>
              <w:top w:val="nil"/>
              <w:left w:val="nil"/>
              <w:bottom w:val="nil"/>
              <w:right w:val="nil"/>
            </w:tcBorders>
            <w:shd w:val="clear" w:color="auto" w:fill="auto"/>
            <w:noWrap/>
            <w:vAlign w:val="center"/>
          </w:tcPr>
          <w:p w14:paraId="2DA124EF"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KgC/m²/y</w:t>
            </w:r>
          </w:p>
        </w:tc>
        <w:tc>
          <w:tcPr>
            <w:tcW w:w="1550" w:type="dxa"/>
            <w:tcBorders>
              <w:top w:val="nil"/>
              <w:left w:val="nil"/>
              <w:bottom w:val="nil"/>
              <w:right w:val="nil"/>
            </w:tcBorders>
            <w:shd w:val="clear" w:color="auto" w:fill="auto"/>
            <w:noWrap/>
            <w:vAlign w:val="center"/>
          </w:tcPr>
          <w:p w14:paraId="1A12B107"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0.072°×0.072°</w:t>
            </w:r>
          </w:p>
        </w:tc>
      </w:tr>
      <w:tr w:rsidR="00855071" w14:paraId="31C2BE49" w14:textId="77777777">
        <w:trPr>
          <w:trHeight w:val="283"/>
          <w:jc w:val="center"/>
        </w:trPr>
        <w:tc>
          <w:tcPr>
            <w:tcW w:w="937" w:type="dxa"/>
            <w:vMerge/>
            <w:tcBorders>
              <w:top w:val="nil"/>
              <w:left w:val="nil"/>
              <w:bottom w:val="nil"/>
              <w:right w:val="nil"/>
            </w:tcBorders>
            <w:vAlign w:val="center"/>
          </w:tcPr>
          <w:p w14:paraId="52167A40" w14:textId="77777777" w:rsidR="00855071" w:rsidRDefault="00855071">
            <w:pPr>
              <w:widowControl/>
              <w:jc w:val="left"/>
              <w:rPr>
                <w:rFonts w:ascii="Times New Roman" w:eastAsia="等线" w:hAnsi="Times New Roman" w:cs="Times New Roman"/>
                <w:b/>
                <w:bCs/>
                <w:color w:val="000000"/>
                <w:kern w:val="0"/>
                <w:sz w:val="16"/>
                <w:szCs w:val="16"/>
              </w:rPr>
            </w:pPr>
          </w:p>
        </w:tc>
        <w:tc>
          <w:tcPr>
            <w:tcW w:w="1190" w:type="dxa"/>
            <w:tcBorders>
              <w:top w:val="nil"/>
              <w:left w:val="nil"/>
              <w:bottom w:val="nil"/>
              <w:right w:val="nil"/>
            </w:tcBorders>
            <w:shd w:val="clear" w:color="auto" w:fill="auto"/>
            <w:noWrap/>
            <w:vAlign w:val="center"/>
          </w:tcPr>
          <w:p w14:paraId="435CC004" w14:textId="77777777" w:rsidR="00855071" w:rsidRDefault="00E34CC2">
            <w:pPr>
              <w:widowControl/>
              <w:jc w:val="center"/>
              <w:rPr>
                <w:rFonts w:ascii="Times New Roman" w:eastAsia="等线" w:hAnsi="Times New Roman" w:cs="Times New Roman"/>
                <w:color w:val="000000"/>
                <w:kern w:val="0"/>
                <w:sz w:val="16"/>
                <w:szCs w:val="16"/>
              </w:rPr>
            </w:pPr>
            <w:bookmarkStart w:id="1" w:name="RANGE!B7"/>
            <w:r>
              <w:rPr>
                <w:rFonts w:ascii="Times New Roman" w:eastAsia="等线" w:hAnsi="Times New Roman" w:cs="Times New Roman"/>
                <w:color w:val="000000"/>
                <w:kern w:val="0"/>
                <w:sz w:val="16"/>
                <w:szCs w:val="16"/>
              </w:rPr>
              <w:t>LUI</w:t>
            </w:r>
            <w:bookmarkEnd w:id="1"/>
          </w:p>
        </w:tc>
        <w:tc>
          <w:tcPr>
            <w:tcW w:w="2551" w:type="dxa"/>
            <w:tcBorders>
              <w:top w:val="nil"/>
              <w:left w:val="nil"/>
              <w:bottom w:val="nil"/>
              <w:right w:val="nil"/>
            </w:tcBorders>
            <w:shd w:val="clear" w:color="auto" w:fill="auto"/>
            <w:noWrap/>
            <w:vAlign w:val="center"/>
          </w:tcPr>
          <w:p w14:paraId="583F4054"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 xml:space="preserve">Resource and Environment Science </w:t>
            </w:r>
          </w:p>
        </w:tc>
        <w:tc>
          <w:tcPr>
            <w:tcW w:w="1559" w:type="dxa"/>
            <w:tcBorders>
              <w:top w:val="nil"/>
              <w:left w:val="nil"/>
              <w:bottom w:val="nil"/>
              <w:right w:val="nil"/>
            </w:tcBorders>
            <w:shd w:val="clear" w:color="auto" w:fill="auto"/>
            <w:noWrap/>
            <w:vAlign w:val="center"/>
          </w:tcPr>
          <w:p w14:paraId="0D93BF6B"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2000-2020</w:t>
            </w:r>
          </w:p>
        </w:tc>
        <w:tc>
          <w:tcPr>
            <w:tcW w:w="860" w:type="dxa"/>
            <w:tcBorders>
              <w:top w:val="nil"/>
              <w:left w:val="nil"/>
              <w:bottom w:val="nil"/>
              <w:right w:val="nil"/>
            </w:tcBorders>
            <w:shd w:val="clear" w:color="auto" w:fill="auto"/>
            <w:noWrap/>
            <w:vAlign w:val="center"/>
          </w:tcPr>
          <w:p w14:paraId="78232ABC"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w:t>
            </w:r>
          </w:p>
        </w:tc>
        <w:tc>
          <w:tcPr>
            <w:tcW w:w="1550" w:type="dxa"/>
            <w:tcBorders>
              <w:top w:val="nil"/>
              <w:left w:val="nil"/>
              <w:bottom w:val="nil"/>
              <w:right w:val="nil"/>
            </w:tcBorders>
            <w:shd w:val="clear" w:color="auto" w:fill="auto"/>
            <w:noWrap/>
            <w:vAlign w:val="center"/>
          </w:tcPr>
          <w:p w14:paraId="782B5758"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1km</w:t>
            </w:r>
          </w:p>
        </w:tc>
      </w:tr>
      <w:tr w:rsidR="00855071" w14:paraId="3A29FD66" w14:textId="77777777">
        <w:trPr>
          <w:trHeight w:val="283"/>
          <w:jc w:val="center"/>
        </w:trPr>
        <w:tc>
          <w:tcPr>
            <w:tcW w:w="937" w:type="dxa"/>
            <w:vMerge/>
            <w:tcBorders>
              <w:top w:val="nil"/>
              <w:left w:val="nil"/>
              <w:bottom w:val="nil"/>
              <w:right w:val="nil"/>
            </w:tcBorders>
            <w:vAlign w:val="center"/>
          </w:tcPr>
          <w:p w14:paraId="170ABEFA" w14:textId="77777777" w:rsidR="00855071" w:rsidRDefault="00855071">
            <w:pPr>
              <w:widowControl/>
              <w:jc w:val="left"/>
              <w:rPr>
                <w:rFonts w:ascii="Times New Roman" w:eastAsia="等线" w:hAnsi="Times New Roman" w:cs="Times New Roman"/>
                <w:b/>
                <w:bCs/>
                <w:color w:val="000000"/>
                <w:kern w:val="0"/>
                <w:sz w:val="16"/>
                <w:szCs w:val="16"/>
              </w:rPr>
            </w:pPr>
          </w:p>
        </w:tc>
        <w:tc>
          <w:tcPr>
            <w:tcW w:w="1190" w:type="dxa"/>
            <w:tcBorders>
              <w:top w:val="nil"/>
              <w:left w:val="nil"/>
              <w:bottom w:val="nil"/>
              <w:right w:val="nil"/>
            </w:tcBorders>
            <w:shd w:val="clear" w:color="auto" w:fill="auto"/>
            <w:noWrap/>
            <w:vAlign w:val="center"/>
          </w:tcPr>
          <w:p w14:paraId="124D491A"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POP</w:t>
            </w:r>
          </w:p>
        </w:tc>
        <w:tc>
          <w:tcPr>
            <w:tcW w:w="2551" w:type="dxa"/>
            <w:tcBorders>
              <w:top w:val="nil"/>
              <w:left w:val="nil"/>
              <w:bottom w:val="nil"/>
              <w:right w:val="nil"/>
            </w:tcBorders>
            <w:shd w:val="clear" w:color="auto" w:fill="auto"/>
            <w:noWrap/>
            <w:vAlign w:val="center"/>
          </w:tcPr>
          <w:p w14:paraId="39FA1A7A"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 xml:space="preserve">Resource and Environment Science </w:t>
            </w:r>
          </w:p>
        </w:tc>
        <w:tc>
          <w:tcPr>
            <w:tcW w:w="1559" w:type="dxa"/>
            <w:tcBorders>
              <w:top w:val="nil"/>
              <w:left w:val="nil"/>
              <w:bottom w:val="nil"/>
              <w:right w:val="nil"/>
            </w:tcBorders>
            <w:shd w:val="clear" w:color="auto" w:fill="auto"/>
            <w:noWrap/>
            <w:vAlign w:val="center"/>
          </w:tcPr>
          <w:p w14:paraId="4AD67E5B"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2000-2020</w:t>
            </w:r>
          </w:p>
        </w:tc>
        <w:tc>
          <w:tcPr>
            <w:tcW w:w="860" w:type="dxa"/>
            <w:tcBorders>
              <w:top w:val="nil"/>
              <w:left w:val="nil"/>
              <w:bottom w:val="nil"/>
              <w:right w:val="nil"/>
            </w:tcBorders>
            <w:shd w:val="clear" w:color="auto" w:fill="auto"/>
            <w:noWrap/>
            <w:vAlign w:val="center"/>
          </w:tcPr>
          <w:p w14:paraId="21BA4034"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p/km²</w:t>
            </w:r>
          </w:p>
        </w:tc>
        <w:tc>
          <w:tcPr>
            <w:tcW w:w="1550" w:type="dxa"/>
            <w:tcBorders>
              <w:top w:val="nil"/>
              <w:left w:val="nil"/>
              <w:bottom w:val="nil"/>
              <w:right w:val="nil"/>
            </w:tcBorders>
            <w:shd w:val="clear" w:color="auto" w:fill="auto"/>
            <w:noWrap/>
            <w:vAlign w:val="center"/>
          </w:tcPr>
          <w:p w14:paraId="013DC7E3"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1km</w:t>
            </w:r>
          </w:p>
        </w:tc>
      </w:tr>
      <w:tr w:rsidR="00855071" w14:paraId="3A63AA6C" w14:textId="77777777">
        <w:trPr>
          <w:trHeight w:val="283"/>
          <w:jc w:val="center"/>
        </w:trPr>
        <w:tc>
          <w:tcPr>
            <w:tcW w:w="937" w:type="dxa"/>
            <w:vMerge/>
            <w:tcBorders>
              <w:top w:val="nil"/>
              <w:left w:val="nil"/>
              <w:bottom w:val="nil"/>
              <w:right w:val="nil"/>
            </w:tcBorders>
            <w:vAlign w:val="center"/>
          </w:tcPr>
          <w:p w14:paraId="77EAF2CA" w14:textId="77777777" w:rsidR="00855071" w:rsidRDefault="00855071">
            <w:pPr>
              <w:widowControl/>
              <w:jc w:val="left"/>
              <w:rPr>
                <w:rFonts w:ascii="Times New Roman" w:eastAsia="等线" w:hAnsi="Times New Roman" w:cs="Times New Roman"/>
                <w:b/>
                <w:bCs/>
                <w:color w:val="000000"/>
                <w:kern w:val="0"/>
                <w:sz w:val="16"/>
                <w:szCs w:val="16"/>
              </w:rPr>
            </w:pPr>
          </w:p>
        </w:tc>
        <w:tc>
          <w:tcPr>
            <w:tcW w:w="1190" w:type="dxa"/>
            <w:tcBorders>
              <w:top w:val="nil"/>
              <w:left w:val="nil"/>
              <w:bottom w:val="nil"/>
              <w:right w:val="nil"/>
            </w:tcBorders>
            <w:shd w:val="clear" w:color="auto" w:fill="auto"/>
            <w:noWrap/>
            <w:vAlign w:val="center"/>
          </w:tcPr>
          <w:p w14:paraId="0B7138A8"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GDP</w:t>
            </w:r>
          </w:p>
        </w:tc>
        <w:tc>
          <w:tcPr>
            <w:tcW w:w="2551" w:type="dxa"/>
            <w:tcBorders>
              <w:top w:val="nil"/>
              <w:left w:val="nil"/>
              <w:bottom w:val="nil"/>
              <w:right w:val="nil"/>
            </w:tcBorders>
            <w:shd w:val="clear" w:color="auto" w:fill="auto"/>
            <w:noWrap/>
            <w:vAlign w:val="center"/>
          </w:tcPr>
          <w:p w14:paraId="11972F85"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 xml:space="preserve">Resource and Environment Science </w:t>
            </w:r>
          </w:p>
        </w:tc>
        <w:tc>
          <w:tcPr>
            <w:tcW w:w="1559" w:type="dxa"/>
            <w:tcBorders>
              <w:top w:val="nil"/>
              <w:left w:val="nil"/>
              <w:bottom w:val="nil"/>
              <w:right w:val="nil"/>
            </w:tcBorders>
            <w:shd w:val="clear" w:color="auto" w:fill="auto"/>
            <w:noWrap/>
            <w:vAlign w:val="center"/>
          </w:tcPr>
          <w:p w14:paraId="7006B46A"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2000-2020</w:t>
            </w:r>
          </w:p>
        </w:tc>
        <w:tc>
          <w:tcPr>
            <w:tcW w:w="860" w:type="dxa"/>
            <w:tcBorders>
              <w:top w:val="nil"/>
              <w:left w:val="nil"/>
              <w:bottom w:val="nil"/>
              <w:right w:val="nil"/>
            </w:tcBorders>
            <w:shd w:val="clear" w:color="auto" w:fill="auto"/>
            <w:noWrap/>
            <w:vAlign w:val="center"/>
          </w:tcPr>
          <w:p w14:paraId="4C444210"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10k¥/km²</w:t>
            </w:r>
          </w:p>
        </w:tc>
        <w:tc>
          <w:tcPr>
            <w:tcW w:w="1550" w:type="dxa"/>
            <w:tcBorders>
              <w:top w:val="nil"/>
              <w:left w:val="nil"/>
              <w:bottom w:val="nil"/>
              <w:right w:val="nil"/>
            </w:tcBorders>
            <w:shd w:val="clear" w:color="auto" w:fill="auto"/>
            <w:noWrap/>
            <w:vAlign w:val="center"/>
          </w:tcPr>
          <w:p w14:paraId="71A74DE1"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1km</w:t>
            </w:r>
          </w:p>
        </w:tc>
      </w:tr>
      <w:tr w:rsidR="00855071" w14:paraId="76E44C03" w14:textId="77777777">
        <w:trPr>
          <w:trHeight w:val="283"/>
          <w:jc w:val="center"/>
        </w:trPr>
        <w:tc>
          <w:tcPr>
            <w:tcW w:w="937" w:type="dxa"/>
            <w:vMerge/>
            <w:tcBorders>
              <w:top w:val="nil"/>
              <w:left w:val="nil"/>
              <w:bottom w:val="nil"/>
              <w:right w:val="nil"/>
            </w:tcBorders>
            <w:vAlign w:val="center"/>
          </w:tcPr>
          <w:p w14:paraId="1C8DCA7A" w14:textId="77777777" w:rsidR="00855071" w:rsidRDefault="00855071">
            <w:pPr>
              <w:widowControl/>
              <w:jc w:val="left"/>
              <w:rPr>
                <w:rFonts w:ascii="Times New Roman" w:eastAsia="等线" w:hAnsi="Times New Roman" w:cs="Times New Roman"/>
                <w:b/>
                <w:bCs/>
                <w:color w:val="000000"/>
                <w:kern w:val="0"/>
                <w:sz w:val="16"/>
                <w:szCs w:val="16"/>
              </w:rPr>
            </w:pPr>
          </w:p>
        </w:tc>
        <w:tc>
          <w:tcPr>
            <w:tcW w:w="1190" w:type="dxa"/>
            <w:tcBorders>
              <w:top w:val="nil"/>
              <w:left w:val="nil"/>
              <w:bottom w:val="single" w:sz="4" w:space="0" w:color="auto"/>
              <w:right w:val="nil"/>
            </w:tcBorders>
            <w:shd w:val="clear" w:color="auto" w:fill="auto"/>
            <w:noWrap/>
            <w:vAlign w:val="center"/>
          </w:tcPr>
          <w:p w14:paraId="069D6A9D"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Land Cover Data</w:t>
            </w:r>
          </w:p>
        </w:tc>
        <w:tc>
          <w:tcPr>
            <w:tcW w:w="2551" w:type="dxa"/>
            <w:tcBorders>
              <w:top w:val="nil"/>
              <w:left w:val="nil"/>
              <w:bottom w:val="single" w:sz="4" w:space="0" w:color="auto"/>
              <w:right w:val="nil"/>
            </w:tcBorders>
            <w:shd w:val="clear" w:color="auto" w:fill="auto"/>
            <w:noWrap/>
            <w:vAlign w:val="center"/>
          </w:tcPr>
          <w:p w14:paraId="600FB6AA"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 xml:space="preserve">Resource and Environment Science </w:t>
            </w:r>
          </w:p>
        </w:tc>
        <w:tc>
          <w:tcPr>
            <w:tcW w:w="1559" w:type="dxa"/>
            <w:tcBorders>
              <w:top w:val="nil"/>
              <w:left w:val="nil"/>
              <w:bottom w:val="single" w:sz="4" w:space="0" w:color="auto"/>
              <w:right w:val="nil"/>
            </w:tcBorders>
            <w:shd w:val="clear" w:color="auto" w:fill="auto"/>
            <w:noWrap/>
            <w:vAlign w:val="center"/>
          </w:tcPr>
          <w:p w14:paraId="55DF8959"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2000</w:t>
            </w:r>
            <w:r>
              <w:rPr>
                <w:rFonts w:ascii="宋体" w:eastAsia="宋体" w:hAnsi="宋体" w:cs="Times New Roman" w:hint="eastAsia"/>
                <w:color w:val="000000"/>
                <w:kern w:val="0"/>
                <w:sz w:val="16"/>
                <w:szCs w:val="16"/>
              </w:rPr>
              <w:t>、</w:t>
            </w:r>
            <w:r>
              <w:rPr>
                <w:rFonts w:ascii="Times New Roman" w:eastAsia="等线" w:hAnsi="Times New Roman" w:cs="Times New Roman"/>
                <w:color w:val="000000"/>
                <w:kern w:val="0"/>
                <w:sz w:val="16"/>
                <w:szCs w:val="16"/>
              </w:rPr>
              <w:t>2005</w:t>
            </w:r>
            <w:r>
              <w:rPr>
                <w:rFonts w:ascii="宋体" w:eastAsia="宋体" w:hAnsi="宋体" w:cs="Times New Roman" w:hint="eastAsia"/>
                <w:color w:val="000000"/>
                <w:kern w:val="0"/>
                <w:sz w:val="16"/>
                <w:szCs w:val="16"/>
              </w:rPr>
              <w:t>、</w:t>
            </w:r>
            <w:r>
              <w:rPr>
                <w:rFonts w:ascii="Times New Roman" w:eastAsia="等线" w:hAnsi="Times New Roman" w:cs="Times New Roman"/>
                <w:color w:val="000000"/>
                <w:kern w:val="0"/>
                <w:sz w:val="16"/>
                <w:szCs w:val="16"/>
              </w:rPr>
              <w:t>2010</w:t>
            </w:r>
            <w:r>
              <w:rPr>
                <w:rFonts w:ascii="宋体" w:eastAsia="宋体" w:hAnsi="宋体" w:cs="Times New Roman" w:hint="eastAsia"/>
                <w:color w:val="000000"/>
                <w:kern w:val="0"/>
                <w:sz w:val="16"/>
                <w:szCs w:val="16"/>
              </w:rPr>
              <w:t>、</w:t>
            </w:r>
            <w:r>
              <w:rPr>
                <w:rFonts w:ascii="Times New Roman" w:eastAsia="等线" w:hAnsi="Times New Roman" w:cs="Times New Roman"/>
                <w:color w:val="000000"/>
                <w:kern w:val="0"/>
                <w:sz w:val="16"/>
                <w:szCs w:val="16"/>
              </w:rPr>
              <w:t>2015</w:t>
            </w:r>
            <w:r>
              <w:rPr>
                <w:rFonts w:ascii="宋体" w:eastAsia="宋体" w:hAnsi="宋体" w:cs="Times New Roman" w:hint="eastAsia"/>
                <w:color w:val="000000"/>
                <w:kern w:val="0"/>
                <w:sz w:val="16"/>
                <w:szCs w:val="16"/>
              </w:rPr>
              <w:t>、</w:t>
            </w:r>
            <w:r>
              <w:rPr>
                <w:rFonts w:ascii="Times New Roman" w:eastAsia="等线" w:hAnsi="Times New Roman" w:cs="Times New Roman"/>
                <w:color w:val="000000"/>
                <w:kern w:val="0"/>
                <w:sz w:val="16"/>
                <w:szCs w:val="16"/>
              </w:rPr>
              <w:t>2020</w:t>
            </w:r>
          </w:p>
        </w:tc>
        <w:tc>
          <w:tcPr>
            <w:tcW w:w="860" w:type="dxa"/>
            <w:tcBorders>
              <w:top w:val="nil"/>
              <w:left w:val="nil"/>
              <w:bottom w:val="single" w:sz="4" w:space="0" w:color="auto"/>
              <w:right w:val="nil"/>
            </w:tcBorders>
            <w:shd w:val="clear" w:color="auto" w:fill="auto"/>
            <w:noWrap/>
            <w:vAlign w:val="center"/>
          </w:tcPr>
          <w:p w14:paraId="7BA50341"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w:t>
            </w:r>
          </w:p>
        </w:tc>
        <w:tc>
          <w:tcPr>
            <w:tcW w:w="1550" w:type="dxa"/>
            <w:tcBorders>
              <w:top w:val="nil"/>
              <w:left w:val="nil"/>
              <w:bottom w:val="single" w:sz="4" w:space="0" w:color="auto"/>
              <w:right w:val="nil"/>
            </w:tcBorders>
            <w:shd w:val="clear" w:color="auto" w:fill="auto"/>
            <w:noWrap/>
            <w:vAlign w:val="center"/>
          </w:tcPr>
          <w:p w14:paraId="047AD259"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1km</w:t>
            </w:r>
          </w:p>
        </w:tc>
      </w:tr>
      <w:tr w:rsidR="00855071" w14:paraId="1FBCB518" w14:textId="77777777">
        <w:trPr>
          <w:trHeight w:val="283"/>
          <w:jc w:val="center"/>
        </w:trPr>
        <w:tc>
          <w:tcPr>
            <w:tcW w:w="937" w:type="dxa"/>
            <w:vMerge w:val="restart"/>
            <w:tcBorders>
              <w:top w:val="nil"/>
              <w:left w:val="nil"/>
              <w:bottom w:val="nil"/>
              <w:right w:val="nil"/>
            </w:tcBorders>
            <w:shd w:val="clear" w:color="auto" w:fill="auto"/>
            <w:noWrap/>
            <w:vAlign w:val="center"/>
          </w:tcPr>
          <w:p w14:paraId="2F450B53" w14:textId="77777777" w:rsidR="00855071" w:rsidRDefault="00E34CC2">
            <w:pPr>
              <w:widowControl/>
              <w:jc w:val="center"/>
              <w:rPr>
                <w:rFonts w:ascii="Times New Roman" w:eastAsia="等线" w:hAnsi="Times New Roman" w:cs="Times New Roman"/>
                <w:b/>
                <w:bCs/>
                <w:color w:val="000000"/>
                <w:kern w:val="0"/>
                <w:sz w:val="16"/>
                <w:szCs w:val="16"/>
              </w:rPr>
            </w:pPr>
            <w:r>
              <w:rPr>
                <w:rFonts w:ascii="Times New Roman" w:eastAsia="等线" w:hAnsi="Times New Roman" w:cs="Times New Roman"/>
                <w:b/>
                <w:bCs/>
                <w:color w:val="000000"/>
                <w:kern w:val="0"/>
                <w:sz w:val="16"/>
                <w:szCs w:val="16"/>
              </w:rPr>
              <w:t>Carbon density</w:t>
            </w:r>
          </w:p>
        </w:tc>
        <w:tc>
          <w:tcPr>
            <w:tcW w:w="1190" w:type="dxa"/>
            <w:tcBorders>
              <w:top w:val="nil"/>
              <w:left w:val="nil"/>
              <w:bottom w:val="nil"/>
              <w:right w:val="nil"/>
            </w:tcBorders>
            <w:shd w:val="clear" w:color="auto" w:fill="auto"/>
            <w:noWrap/>
            <w:vAlign w:val="center"/>
          </w:tcPr>
          <w:p w14:paraId="06D028ED"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 xml:space="preserve">Aboveground </w:t>
            </w:r>
          </w:p>
        </w:tc>
        <w:tc>
          <w:tcPr>
            <w:tcW w:w="2551" w:type="dxa"/>
            <w:tcBorders>
              <w:top w:val="nil"/>
              <w:left w:val="nil"/>
              <w:bottom w:val="nil"/>
              <w:right w:val="nil"/>
            </w:tcBorders>
            <w:shd w:val="clear" w:color="auto" w:fill="auto"/>
            <w:noWrap/>
            <w:vAlign w:val="center"/>
          </w:tcPr>
          <w:p w14:paraId="7ABEC14B"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NASA</w:t>
            </w:r>
          </w:p>
        </w:tc>
        <w:tc>
          <w:tcPr>
            <w:tcW w:w="1559" w:type="dxa"/>
            <w:tcBorders>
              <w:top w:val="nil"/>
              <w:left w:val="nil"/>
              <w:bottom w:val="nil"/>
              <w:right w:val="nil"/>
            </w:tcBorders>
            <w:shd w:val="clear" w:color="auto" w:fill="auto"/>
            <w:noWrap/>
            <w:vAlign w:val="center"/>
          </w:tcPr>
          <w:p w14:paraId="030A591B"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2010</w:t>
            </w:r>
          </w:p>
        </w:tc>
        <w:tc>
          <w:tcPr>
            <w:tcW w:w="860" w:type="dxa"/>
            <w:tcBorders>
              <w:top w:val="nil"/>
              <w:left w:val="nil"/>
              <w:bottom w:val="nil"/>
              <w:right w:val="nil"/>
            </w:tcBorders>
            <w:shd w:val="clear" w:color="auto" w:fill="auto"/>
            <w:noWrap/>
            <w:vAlign w:val="center"/>
          </w:tcPr>
          <w:p w14:paraId="3F0901DA"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Mg C/ha</w:t>
            </w:r>
          </w:p>
        </w:tc>
        <w:tc>
          <w:tcPr>
            <w:tcW w:w="1550" w:type="dxa"/>
            <w:tcBorders>
              <w:top w:val="nil"/>
              <w:left w:val="nil"/>
              <w:bottom w:val="nil"/>
              <w:right w:val="nil"/>
            </w:tcBorders>
            <w:shd w:val="clear" w:color="auto" w:fill="auto"/>
            <w:noWrap/>
            <w:vAlign w:val="center"/>
          </w:tcPr>
          <w:p w14:paraId="5798E602"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300M</w:t>
            </w:r>
          </w:p>
        </w:tc>
      </w:tr>
      <w:tr w:rsidR="00855071" w14:paraId="3F1176C3" w14:textId="77777777">
        <w:trPr>
          <w:trHeight w:val="283"/>
          <w:jc w:val="center"/>
        </w:trPr>
        <w:tc>
          <w:tcPr>
            <w:tcW w:w="937" w:type="dxa"/>
            <w:vMerge/>
            <w:tcBorders>
              <w:top w:val="nil"/>
              <w:left w:val="nil"/>
              <w:bottom w:val="nil"/>
              <w:right w:val="nil"/>
            </w:tcBorders>
            <w:vAlign w:val="center"/>
          </w:tcPr>
          <w:p w14:paraId="257C0F72" w14:textId="77777777" w:rsidR="00855071" w:rsidRDefault="00855071">
            <w:pPr>
              <w:widowControl/>
              <w:jc w:val="left"/>
              <w:rPr>
                <w:rFonts w:ascii="Times New Roman" w:eastAsia="等线" w:hAnsi="Times New Roman" w:cs="Times New Roman"/>
                <w:b/>
                <w:bCs/>
                <w:color w:val="000000"/>
                <w:kern w:val="0"/>
                <w:sz w:val="16"/>
                <w:szCs w:val="16"/>
              </w:rPr>
            </w:pPr>
          </w:p>
        </w:tc>
        <w:tc>
          <w:tcPr>
            <w:tcW w:w="1190" w:type="dxa"/>
            <w:tcBorders>
              <w:top w:val="nil"/>
              <w:left w:val="nil"/>
              <w:bottom w:val="nil"/>
              <w:right w:val="nil"/>
            </w:tcBorders>
            <w:shd w:val="clear" w:color="auto" w:fill="auto"/>
            <w:noWrap/>
            <w:vAlign w:val="center"/>
          </w:tcPr>
          <w:p w14:paraId="236944F5"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Belowground</w:t>
            </w:r>
          </w:p>
        </w:tc>
        <w:tc>
          <w:tcPr>
            <w:tcW w:w="2551" w:type="dxa"/>
            <w:tcBorders>
              <w:top w:val="nil"/>
              <w:left w:val="nil"/>
              <w:bottom w:val="nil"/>
              <w:right w:val="nil"/>
            </w:tcBorders>
            <w:shd w:val="clear" w:color="auto" w:fill="auto"/>
            <w:noWrap/>
            <w:vAlign w:val="center"/>
          </w:tcPr>
          <w:p w14:paraId="18873BDB"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NASA</w:t>
            </w:r>
          </w:p>
        </w:tc>
        <w:tc>
          <w:tcPr>
            <w:tcW w:w="1559" w:type="dxa"/>
            <w:tcBorders>
              <w:top w:val="nil"/>
              <w:left w:val="nil"/>
              <w:bottom w:val="nil"/>
              <w:right w:val="nil"/>
            </w:tcBorders>
            <w:shd w:val="clear" w:color="auto" w:fill="auto"/>
            <w:noWrap/>
            <w:vAlign w:val="center"/>
          </w:tcPr>
          <w:p w14:paraId="170FF3AA"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2010</w:t>
            </w:r>
          </w:p>
        </w:tc>
        <w:tc>
          <w:tcPr>
            <w:tcW w:w="860" w:type="dxa"/>
            <w:tcBorders>
              <w:top w:val="nil"/>
              <w:left w:val="nil"/>
              <w:bottom w:val="nil"/>
              <w:right w:val="nil"/>
            </w:tcBorders>
            <w:shd w:val="clear" w:color="auto" w:fill="auto"/>
            <w:noWrap/>
            <w:vAlign w:val="center"/>
          </w:tcPr>
          <w:p w14:paraId="5A036F96"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Mg C/ha</w:t>
            </w:r>
          </w:p>
        </w:tc>
        <w:tc>
          <w:tcPr>
            <w:tcW w:w="1550" w:type="dxa"/>
            <w:tcBorders>
              <w:top w:val="nil"/>
              <w:left w:val="nil"/>
              <w:bottom w:val="nil"/>
              <w:right w:val="nil"/>
            </w:tcBorders>
            <w:shd w:val="clear" w:color="auto" w:fill="auto"/>
            <w:noWrap/>
            <w:vAlign w:val="center"/>
          </w:tcPr>
          <w:p w14:paraId="50DCBB7C"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300M</w:t>
            </w:r>
          </w:p>
        </w:tc>
      </w:tr>
      <w:tr w:rsidR="00855071" w14:paraId="75709A63" w14:textId="77777777">
        <w:trPr>
          <w:trHeight w:val="283"/>
          <w:jc w:val="center"/>
        </w:trPr>
        <w:tc>
          <w:tcPr>
            <w:tcW w:w="937" w:type="dxa"/>
            <w:vMerge/>
            <w:tcBorders>
              <w:top w:val="nil"/>
              <w:left w:val="nil"/>
              <w:bottom w:val="nil"/>
              <w:right w:val="nil"/>
            </w:tcBorders>
            <w:vAlign w:val="center"/>
          </w:tcPr>
          <w:p w14:paraId="1C05F434" w14:textId="77777777" w:rsidR="00855071" w:rsidRDefault="00855071">
            <w:pPr>
              <w:widowControl/>
              <w:jc w:val="left"/>
              <w:rPr>
                <w:rFonts w:ascii="Times New Roman" w:eastAsia="等线" w:hAnsi="Times New Roman" w:cs="Times New Roman"/>
                <w:b/>
                <w:bCs/>
                <w:color w:val="000000"/>
                <w:kern w:val="0"/>
                <w:sz w:val="16"/>
                <w:szCs w:val="16"/>
              </w:rPr>
            </w:pPr>
          </w:p>
        </w:tc>
        <w:tc>
          <w:tcPr>
            <w:tcW w:w="1190" w:type="dxa"/>
            <w:tcBorders>
              <w:top w:val="nil"/>
              <w:left w:val="nil"/>
              <w:bottom w:val="nil"/>
              <w:right w:val="nil"/>
            </w:tcBorders>
            <w:shd w:val="clear" w:color="auto" w:fill="auto"/>
            <w:noWrap/>
            <w:vAlign w:val="center"/>
          </w:tcPr>
          <w:p w14:paraId="2B762ECE" w14:textId="77777777" w:rsidR="00855071" w:rsidRDefault="00E34CC2">
            <w:pPr>
              <w:widowControl/>
              <w:jc w:val="center"/>
              <w:rPr>
                <w:rFonts w:ascii="Times New Roman" w:eastAsia="等线" w:hAnsi="Times New Roman" w:cs="Times New Roman"/>
                <w:color w:val="0D0D0D"/>
                <w:kern w:val="0"/>
                <w:sz w:val="16"/>
                <w:szCs w:val="16"/>
              </w:rPr>
            </w:pPr>
            <w:r>
              <w:rPr>
                <w:rFonts w:ascii="Times New Roman" w:eastAsia="等线" w:hAnsi="Times New Roman" w:cs="Times New Roman"/>
                <w:color w:val="0D0D0D"/>
                <w:kern w:val="0"/>
                <w:sz w:val="16"/>
                <w:szCs w:val="16"/>
              </w:rPr>
              <w:t>Soil Carbon</w:t>
            </w:r>
          </w:p>
        </w:tc>
        <w:tc>
          <w:tcPr>
            <w:tcW w:w="2551" w:type="dxa"/>
            <w:tcBorders>
              <w:top w:val="nil"/>
              <w:left w:val="nil"/>
              <w:right w:val="nil"/>
            </w:tcBorders>
            <w:shd w:val="clear" w:color="auto" w:fill="auto"/>
            <w:noWrap/>
            <w:vAlign w:val="center"/>
          </w:tcPr>
          <w:p w14:paraId="6FEE6C59" w14:textId="77777777" w:rsidR="00855071" w:rsidRDefault="00E34CC2">
            <w:pPr>
              <w:widowControl/>
              <w:jc w:val="center"/>
              <w:rPr>
                <w:rFonts w:ascii="Times New Roman" w:eastAsia="等线" w:hAnsi="Times New Roman" w:cs="Times New Roman"/>
                <w:color w:val="0D0D0D"/>
                <w:kern w:val="0"/>
                <w:sz w:val="16"/>
                <w:szCs w:val="16"/>
              </w:rPr>
            </w:pPr>
            <w:r>
              <w:rPr>
                <w:rFonts w:ascii="Times New Roman" w:eastAsia="等线" w:hAnsi="Times New Roman" w:cs="Times New Roman"/>
                <w:color w:val="000000"/>
                <w:kern w:val="0"/>
                <w:sz w:val="16"/>
                <w:szCs w:val="16"/>
              </w:rPr>
              <w:t>National Glacier Permafrost</w:t>
            </w:r>
          </w:p>
        </w:tc>
        <w:tc>
          <w:tcPr>
            <w:tcW w:w="1559" w:type="dxa"/>
            <w:tcBorders>
              <w:top w:val="nil"/>
              <w:left w:val="nil"/>
              <w:bottom w:val="nil"/>
              <w:right w:val="nil"/>
            </w:tcBorders>
            <w:shd w:val="clear" w:color="auto" w:fill="auto"/>
            <w:noWrap/>
            <w:vAlign w:val="center"/>
          </w:tcPr>
          <w:p w14:paraId="28BF9888"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2010</w:t>
            </w:r>
          </w:p>
        </w:tc>
        <w:tc>
          <w:tcPr>
            <w:tcW w:w="860" w:type="dxa"/>
            <w:tcBorders>
              <w:top w:val="nil"/>
              <w:left w:val="nil"/>
              <w:bottom w:val="nil"/>
              <w:right w:val="nil"/>
            </w:tcBorders>
            <w:shd w:val="clear" w:color="auto" w:fill="auto"/>
            <w:noWrap/>
            <w:vAlign w:val="center"/>
          </w:tcPr>
          <w:p w14:paraId="594B592B"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kg C/ m²</w:t>
            </w:r>
          </w:p>
        </w:tc>
        <w:tc>
          <w:tcPr>
            <w:tcW w:w="1550" w:type="dxa"/>
            <w:tcBorders>
              <w:top w:val="nil"/>
              <w:left w:val="nil"/>
              <w:bottom w:val="nil"/>
              <w:right w:val="nil"/>
            </w:tcBorders>
            <w:shd w:val="clear" w:color="auto" w:fill="auto"/>
            <w:noWrap/>
            <w:vAlign w:val="center"/>
          </w:tcPr>
          <w:p w14:paraId="3AA8B691"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30M</w:t>
            </w:r>
          </w:p>
        </w:tc>
      </w:tr>
      <w:tr w:rsidR="00855071" w14:paraId="4631C43C" w14:textId="77777777">
        <w:trPr>
          <w:trHeight w:val="283"/>
          <w:jc w:val="center"/>
        </w:trPr>
        <w:tc>
          <w:tcPr>
            <w:tcW w:w="937" w:type="dxa"/>
            <w:vMerge/>
            <w:tcBorders>
              <w:top w:val="nil"/>
              <w:left w:val="nil"/>
              <w:bottom w:val="nil"/>
              <w:right w:val="nil"/>
            </w:tcBorders>
            <w:vAlign w:val="center"/>
          </w:tcPr>
          <w:p w14:paraId="7BDFAD44" w14:textId="77777777" w:rsidR="00855071" w:rsidRDefault="00855071">
            <w:pPr>
              <w:widowControl/>
              <w:jc w:val="left"/>
              <w:rPr>
                <w:rFonts w:ascii="Times New Roman" w:eastAsia="等线" w:hAnsi="Times New Roman" w:cs="Times New Roman"/>
                <w:b/>
                <w:bCs/>
                <w:color w:val="000000"/>
                <w:kern w:val="0"/>
                <w:sz w:val="16"/>
                <w:szCs w:val="16"/>
              </w:rPr>
            </w:pPr>
          </w:p>
        </w:tc>
        <w:tc>
          <w:tcPr>
            <w:tcW w:w="1190" w:type="dxa"/>
            <w:tcBorders>
              <w:top w:val="nil"/>
              <w:left w:val="nil"/>
              <w:bottom w:val="single" w:sz="4" w:space="0" w:color="auto"/>
              <w:right w:val="nil"/>
            </w:tcBorders>
            <w:shd w:val="clear" w:color="auto" w:fill="auto"/>
            <w:noWrap/>
            <w:vAlign w:val="center"/>
          </w:tcPr>
          <w:p w14:paraId="4F06F9B8" w14:textId="77777777" w:rsidR="00855071" w:rsidRDefault="00E34CC2">
            <w:pPr>
              <w:widowControl/>
              <w:jc w:val="center"/>
              <w:rPr>
                <w:rFonts w:ascii="Times New Roman" w:eastAsia="等线" w:hAnsi="Times New Roman" w:cs="Times New Roman"/>
                <w:color w:val="0D0D0D"/>
                <w:kern w:val="0"/>
                <w:sz w:val="16"/>
                <w:szCs w:val="16"/>
              </w:rPr>
            </w:pPr>
            <w:r>
              <w:rPr>
                <w:rFonts w:ascii="Times New Roman" w:eastAsia="等线" w:hAnsi="Times New Roman" w:cs="Times New Roman"/>
                <w:color w:val="0D0D0D"/>
                <w:kern w:val="0"/>
                <w:sz w:val="16"/>
                <w:szCs w:val="16"/>
              </w:rPr>
              <w:t>Dead Organic Carbon</w:t>
            </w:r>
          </w:p>
        </w:tc>
        <w:tc>
          <w:tcPr>
            <w:tcW w:w="2551" w:type="dxa"/>
            <w:tcBorders>
              <w:top w:val="nil"/>
              <w:left w:val="nil"/>
              <w:bottom w:val="single" w:sz="4" w:space="0" w:color="auto"/>
              <w:right w:val="nil"/>
            </w:tcBorders>
            <w:shd w:val="clear" w:color="auto" w:fill="auto"/>
            <w:noWrap/>
            <w:vAlign w:val="center"/>
          </w:tcPr>
          <w:p w14:paraId="59A6F6F6" w14:textId="77777777" w:rsidR="00855071" w:rsidRDefault="00E34CC2">
            <w:pPr>
              <w:widowControl/>
              <w:jc w:val="center"/>
              <w:rPr>
                <w:rFonts w:ascii="Times New Roman" w:eastAsia="等线" w:hAnsi="Times New Roman" w:cs="Times New Roman"/>
                <w:color w:val="0D0D0D"/>
                <w:kern w:val="0"/>
                <w:sz w:val="16"/>
                <w:szCs w:val="16"/>
              </w:rPr>
            </w:pPr>
            <w:r>
              <w:rPr>
                <w:rFonts w:ascii="Times New Roman" w:eastAsia="等线" w:hAnsi="Times New Roman" w:cs="Times New Roman"/>
                <w:color w:val="000000"/>
                <w:kern w:val="0"/>
                <w:sz w:val="16"/>
                <w:szCs w:val="16"/>
              </w:rPr>
              <w:t>National Glacier Permafrost</w:t>
            </w:r>
          </w:p>
        </w:tc>
        <w:tc>
          <w:tcPr>
            <w:tcW w:w="1559" w:type="dxa"/>
            <w:tcBorders>
              <w:top w:val="nil"/>
              <w:left w:val="nil"/>
              <w:bottom w:val="single" w:sz="4" w:space="0" w:color="auto"/>
              <w:right w:val="nil"/>
            </w:tcBorders>
            <w:shd w:val="clear" w:color="auto" w:fill="auto"/>
            <w:noWrap/>
            <w:vAlign w:val="center"/>
          </w:tcPr>
          <w:p w14:paraId="755D2384"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2010</w:t>
            </w:r>
          </w:p>
        </w:tc>
        <w:tc>
          <w:tcPr>
            <w:tcW w:w="860" w:type="dxa"/>
            <w:tcBorders>
              <w:top w:val="nil"/>
              <w:left w:val="nil"/>
              <w:bottom w:val="single" w:sz="4" w:space="0" w:color="auto"/>
              <w:right w:val="nil"/>
            </w:tcBorders>
            <w:shd w:val="clear" w:color="auto" w:fill="auto"/>
            <w:noWrap/>
            <w:vAlign w:val="center"/>
          </w:tcPr>
          <w:p w14:paraId="11286B3A"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kg C/m²</w:t>
            </w:r>
          </w:p>
        </w:tc>
        <w:tc>
          <w:tcPr>
            <w:tcW w:w="1550" w:type="dxa"/>
            <w:tcBorders>
              <w:top w:val="nil"/>
              <w:left w:val="nil"/>
              <w:bottom w:val="single" w:sz="4" w:space="0" w:color="auto"/>
              <w:right w:val="nil"/>
            </w:tcBorders>
            <w:shd w:val="clear" w:color="auto" w:fill="auto"/>
            <w:noWrap/>
            <w:vAlign w:val="center"/>
          </w:tcPr>
          <w:p w14:paraId="56A655AD"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1km</w:t>
            </w:r>
          </w:p>
        </w:tc>
      </w:tr>
      <w:tr w:rsidR="00855071" w14:paraId="3A584949" w14:textId="77777777">
        <w:trPr>
          <w:trHeight w:val="482"/>
          <w:jc w:val="center"/>
        </w:trPr>
        <w:tc>
          <w:tcPr>
            <w:tcW w:w="937" w:type="dxa"/>
            <w:tcBorders>
              <w:top w:val="nil"/>
              <w:left w:val="nil"/>
              <w:bottom w:val="single" w:sz="4" w:space="0" w:color="auto"/>
              <w:right w:val="nil"/>
            </w:tcBorders>
            <w:shd w:val="clear" w:color="auto" w:fill="auto"/>
            <w:noWrap/>
            <w:vAlign w:val="center"/>
          </w:tcPr>
          <w:p w14:paraId="7E420B55" w14:textId="77777777" w:rsidR="00855071" w:rsidRDefault="00E34CC2">
            <w:pPr>
              <w:widowControl/>
              <w:jc w:val="center"/>
              <w:rPr>
                <w:rFonts w:ascii="Times New Roman" w:eastAsia="等线" w:hAnsi="Times New Roman" w:cs="Times New Roman"/>
                <w:b/>
                <w:bCs/>
                <w:color w:val="000000"/>
                <w:kern w:val="0"/>
                <w:sz w:val="16"/>
                <w:szCs w:val="16"/>
              </w:rPr>
            </w:pPr>
            <w:r>
              <w:rPr>
                <w:rFonts w:ascii="Times New Roman" w:eastAsia="等线" w:hAnsi="Times New Roman" w:cs="Times New Roman"/>
                <w:b/>
                <w:bCs/>
                <w:color w:val="000000"/>
                <w:kern w:val="0"/>
                <w:sz w:val="16"/>
                <w:szCs w:val="16"/>
              </w:rPr>
              <w:t>Statistics</w:t>
            </w:r>
          </w:p>
        </w:tc>
        <w:tc>
          <w:tcPr>
            <w:tcW w:w="1190" w:type="dxa"/>
            <w:tcBorders>
              <w:top w:val="nil"/>
              <w:left w:val="nil"/>
              <w:bottom w:val="single" w:sz="4" w:space="0" w:color="auto"/>
              <w:right w:val="nil"/>
            </w:tcBorders>
            <w:shd w:val="clear" w:color="auto" w:fill="auto"/>
            <w:noWrap/>
            <w:vAlign w:val="center"/>
          </w:tcPr>
          <w:p w14:paraId="46B9BE67"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Carbon density statistics</w:t>
            </w:r>
          </w:p>
        </w:tc>
        <w:tc>
          <w:tcPr>
            <w:tcW w:w="2551" w:type="dxa"/>
            <w:tcBorders>
              <w:top w:val="single" w:sz="4" w:space="0" w:color="auto"/>
              <w:left w:val="nil"/>
              <w:bottom w:val="single" w:sz="4" w:space="0" w:color="auto"/>
              <w:right w:val="nil"/>
            </w:tcBorders>
            <w:shd w:val="clear" w:color="auto" w:fill="auto"/>
            <w:noWrap/>
            <w:vAlign w:val="center"/>
          </w:tcPr>
          <w:p w14:paraId="5ECA5F71"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Paper Database</w:t>
            </w:r>
          </w:p>
        </w:tc>
        <w:tc>
          <w:tcPr>
            <w:tcW w:w="1559" w:type="dxa"/>
            <w:tcBorders>
              <w:top w:val="nil"/>
              <w:left w:val="nil"/>
              <w:bottom w:val="single" w:sz="4" w:space="0" w:color="auto"/>
              <w:right w:val="nil"/>
            </w:tcBorders>
            <w:shd w:val="clear" w:color="auto" w:fill="auto"/>
            <w:noWrap/>
            <w:vAlign w:val="center"/>
          </w:tcPr>
          <w:p w14:paraId="14BC4CB8"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2000-2014</w:t>
            </w:r>
          </w:p>
        </w:tc>
        <w:tc>
          <w:tcPr>
            <w:tcW w:w="860" w:type="dxa"/>
            <w:tcBorders>
              <w:top w:val="nil"/>
              <w:left w:val="nil"/>
              <w:bottom w:val="single" w:sz="4" w:space="0" w:color="auto"/>
              <w:right w:val="nil"/>
            </w:tcBorders>
            <w:shd w:val="clear" w:color="auto" w:fill="auto"/>
            <w:noWrap/>
            <w:vAlign w:val="center"/>
          </w:tcPr>
          <w:p w14:paraId="16D7DA15"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kg C/m²</w:t>
            </w:r>
          </w:p>
        </w:tc>
        <w:tc>
          <w:tcPr>
            <w:tcW w:w="1550" w:type="dxa"/>
            <w:tcBorders>
              <w:top w:val="nil"/>
              <w:left w:val="nil"/>
              <w:bottom w:val="single" w:sz="4" w:space="0" w:color="auto"/>
              <w:right w:val="nil"/>
            </w:tcBorders>
            <w:shd w:val="clear" w:color="auto" w:fill="auto"/>
            <w:noWrap/>
            <w:vAlign w:val="center"/>
          </w:tcPr>
          <w:p w14:paraId="71D603AF" w14:textId="77777777" w:rsidR="00855071" w:rsidRDefault="00E34CC2">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color w:val="000000"/>
                <w:kern w:val="0"/>
                <w:sz w:val="16"/>
                <w:szCs w:val="16"/>
              </w:rPr>
              <w:t>——</w:t>
            </w:r>
          </w:p>
        </w:tc>
      </w:tr>
    </w:tbl>
    <w:p w14:paraId="680040F8" w14:textId="77777777" w:rsidR="00855071" w:rsidRDefault="00E34CC2">
      <w:pPr>
        <w:widowControl/>
        <w:spacing w:line="220" w:lineRule="atLeast"/>
        <w:jc w:val="center"/>
        <w:rPr>
          <w:rFonts w:ascii="Times New Roman" w:eastAsia="宋体" w:hAnsi="Times New Roman"/>
          <w:sz w:val="24"/>
        </w:rPr>
      </w:pPr>
      <w:r>
        <w:rPr>
          <w:rFonts w:ascii="Times New Roman" w:eastAsia="宋体" w:hAnsi="Times New Roman" w:hint="eastAsia"/>
          <w:noProof/>
          <w:sz w:val="24"/>
        </w:rPr>
        <w:drawing>
          <wp:inline distT="0" distB="0" distL="0" distR="0" wp14:anchorId="461042CB" wp14:editId="78DF2DAD">
            <wp:extent cx="1590675" cy="1440180"/>
            <wp:effectExtent l="0" t="0" r="9525"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590675" cy="1440180"/>
                    </a:xfrm>
                    <a:prstGeom prst="rect">
                      <a:avLst/>
                    </a:prstGeom>
                    <a:noFill/>
                    <a:ln>
                      <a:noFill/>
                    </a:ln>
                  </pic:spPr>
                </pic:pic>
              </a:graphicData>
            </a:graphic>
          </wp:inline>
        </w:drawing>
      </w:r>
      <w:r>
        <w:rPr>
          <w:rFonts w:ascii="Times New Roman" w:eastAsia="宋体" w:hAnsi="Times New Roman" w:hint="eastAsia"/>
          <w:noProof/>
          <w:sz w:val="24"/>
        </w:rPr>
        <w:drawing>
          <wp:inline distT="0" distB="0" distL="0" distR="0" wp14:anchorId="24E82E13" wp14:editId="7A3C5BDA">
            <wp:extent cx="1590675" cy="1440180"/>
            <wp:effectExtent l="0" t="0" r="9525"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590675" cy="1440180"/>
                    </a:xfrm>
                    <a:prstGeom prst="rect">
                      <a:avLst/>
                    </a:prstGeom>
                    <a:noFill/>
                    <a:ln>
                      <a:noFill/>
                    </a:ln>
                  </pic:spPr>
                </pic:pic>
              </a:graphicData>
            </a:graphic>
          </wp:inline>
        </w:drawing>
      </w:r>
      <w:r>
        <w:rPr>
          <w:rFonts w:ascii="Times New Roman" w:eastAsia="宋体" w:hAnsi="Times New Roman" w:hint="eastAsia"/>
          <w:noProof/>
          <w:sz w:val="24"/>
        </w:rPr>
        <w:drawing>
          <wp:inline distT="0" distB="0" distL="0" distR="0" wp14:anchorId="789CA8F0" wp14:editId="2D09EB03">
            <wp:extent cx="1590675" cy="1440180"/>
            <wp:effectExtent l="0" t="0" r="9525"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590675" cy="1440180"/>
                    </a:xfrm>
                    <a:prstGeom prst="rect">
                      <a:avLst/>
                    </a:prstGeom>
                    <a:noFill/>
                    <a:ln>
                      <a:noFill/>
                    </a:ln>
                  </pic:spPr>
                </pic:pic>
              </a:graphicData>
            </a:graphic>
          </wp:inline>
        </w:drawing>
      </w:r>
      <w:r>
        <w:rPr>
          <w:rFonts w:ascii="Times New Roman" w:eastAsia="宋体" w:hAnsi="Times New Roman" w:hint="eastAsia"/>
          <w:noProof/>
          <w:sz w:val="24"/>
        </w:rPr>
        <w:drawing>
          <wp:inline distT="0" distB="0" distL="0" distR="0" wp14:anchorId="70899440" wp14:editId="690943FF">
            <wp:extent cx="1590675" cy="1440180"/>
            <wp:effectExtent l="0" t="0" r="9525"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590675" cy="1440180"/>
                    </a:xfrm>
                    <a:prstGeom prst="rect">
                      <a:avLst/>
                    </a:prstGeom>
                    <a:noFill/>
                    <a:ln>
                      <a:noFill/>
                    </a:ln>
                  </pic:spPr>
                </pic:pic>
              </a:graphicData>
            </a:graphic>
          </wp:inline>
        </w:drawing>
      </w:r>
      <w:r>
        <w:rPr>
          <w:rFonts w:ascii="Times New Roman" w:eastAsia="宋体" w:hAnsi="Times New Roman" w:hint="eastAsia"/>
          <w:noProof/>
          <w:sz w:val="24"/>
        </w:rPr>
        <w:drawing>
          <wp:inline distT="0" distB="0" distL="0" distR="0" wp14:anchorId="23828B72" wp14:editId="622C46EA">
            <wp:extent cx="1590675" cy="1440180"/>
            <wp:effectExtent l="0" t="0" r="9525" b="762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590675" cy="1440180"/>
                    </a:xfrm>
                    <a:prstGeom prst="rect">
                      <a:avLst/>
                    </a:prstGeom>
                    <a:noFill/>
                    <a:ln>
                      <a:noFill/>
                    </a:ln>
                  </pic:spPr>
                </pic:pic>
              </a:graphicData>
            </a:graphic>
          </wp:inline>
        </w:drawing>
      </w:r>
      <w:r>
        <w:rPr>
          <w:rFonts w:ascii="Times New Roman" w:eastAsia="宋体" w:hAnsi="Times New Roman" w:hint="eastAsia"/>
          <w:noProof/>
          <w:sz w:val="24"/>
        </w:rPr>
        <w:drawing>
          <wp:inline distT="0" distB="0" distL="0" distR="0" wp14:anchorId="57A9692E" wp14:editId="1934F250">
            <wp:extent cx="1590675" cy="1440180"/>
            <wp:effectExtent l="0" t="0" r="9525" b="762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590675" cy="1440180"/>
                    </a:xfrm>
                    <a:prstGeom prst="rect">
                      <a:avLst/>
                    </a:prstGeom>
                    <a:noFill/>
                    <a:ln>
                      <a:noFill/>
                    </a:ln>
                  </pic:spPr>
                </pic:pic>
              </a:graphicData>
            </a:graphic>
          </wp:inline>
        </w:drawing>
      </w:r>
      <w:r>
        <w:rPr>
          <w:rFonts w:ascii="Times New Roman" w:eastAsia="宋体" w:hAnsi="Times New Roman" w:hint="eastAsia"/>
          <w:noProof/>
          <w:sz w:val="24"/>
        </w:rPr>
        <w:drawing>
          <wp:inline distT="0" distB="0" distL="0" distR="0" wp14:anchorId="1F40B06B" wp14:editId="0FBCCC0B">
            <wp:extent cx="1590675" cy="1440180"/>
            <wp:effectExtent l="0" t="0" r="9525" b="762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590675" cy="1440180"/>
                    </a:xfrm>
                    <a:prstGeom prst="rect">
                      <a:avLst/>
                    </a:prstGeom>
                    <a:noFill/>
                    <a:ln>
                      <a:noFill/>
                    </a:ln>
                  </pic:spPr>
                </pic:pic>
              </a:graphicData>
            </a:graphic>
          </wp:inline>
        </w:drawing>
      </w:r>
      <w:r>
        <w:rPr>
          <w:rFonts w:ascii="Times New Roman" w:eastAsia="宋体" w:hAnsi="Times New Roman" w:hint="eastAsia"/>
          <w:noProof/>
          <w:sz w:val="24"/>
        </w:rPr>
        <w:drawing>
          <wp:inline distT="0" distB="0" distL="0" distR="0" wp14:anchorId="58EC8D4C" wp14:editId="05F58B82">
            <wp:extent cx="1590675" cy="1440180"/>
            <wp:effectExtent l="0" t="0" r="9525" b="762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590675" cy="1440180"/>
                    </a:xfrm>
                    <a:prstGeom prst="rect">
                      <a:avLst/>
                    </a:prstGeom>
                    <a:noFill/>
                    <a:ln>
                      <a:noFill/>
                    </a:ln>
                  </pic:spPr>
                </pic:pic>
              </a:graphicData>
            </a:graphic>
          </wp:inline>
        </w:drawing>
      </w:r>
      <w:r>
        <w:rPr>
          <w:rFonts w:ascii="Times New Roman" w:eastAsia="宋体" w:hAnsi="Times New Roman" w:hint="eastAsia"/>
          <w:noProof/>
          <w:sz w:val="24"/>
        </w:rPr>
        <w:drawing>
          <wp:inline distT="0" distB="0" distL="0" distR="0" wp14:anchorId="37F5A71C" wp14:editId="6618AF71">
            <wp:extent cx="1590675" cy="1440180"/>
            <wp:effectExtent l="0" t="0" r="9525" b="762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1590675" cy="1440180"/>
                    </a:xfrm>
                    <a:prstGeom prst="rect">
                      <a:avLst/>
                    </a:prstGeom>
                    <a:noFill/>
                    <a:ln>
                      <a:noFill/>
                    </a:ln>
                  </pic:spPr>
                </pic:pic>
              </a:graphicData>
            </a:graphic>
          </wp:inline>
        </w:drawing>
      </w:r>
    </w:p>
    <w:p w14:paraId="1100A367" w14:textId="77777777" w:rsidR="00F10EE6" w:rsidRDefault="00A716A6" w:rsidP="00F10EE6">
      <w:pPr>
        <w:widowControl/>
        <w:spacing w:line="200" w:lineRule="exact"/>
        <w:rPr>
          <w:rFonts w:ascii="Times New Roman" w:eastAsia="宋体" w:hAnsi="Times New Roman"/>
          <w:sz w:val="18"/>
          <w:szCs w:val="18"/>
        </w:rPr>
      </w:pPr>
      <w:r w:rsidRPr="00F644B6">
        <w:rPr>
          <w:rFonts w:ascii="Times New Roman" w:eastAsia="宋体" w:hAnsi="Times New Roman"/>
          <w:b/>
          <w:bCs/>
          <w:sz w:val="18"/>
          <w:szCs w:val="18"/>
        </w:rPr>
        <w:t>Supplementary Fig. 3</w:t>
      </w:r>
      <w:r w:rsidR="00E34CC2" w:rsidRPr="00F644B6">
        <w:rPr>
          <w:rFonts w:ascii="Times New Roman" w:eastAsia="宋体" w:hAnsi="Times New Roman"/>
          <w:b/>
          <w:bCs/>
          <w:sz w:val="18"/>
          <w:szCs w:val="18"/>
        </w:rPr>
        <w:t xml:space="preserve"> Impact factor and validation data preprocessing</w:t>
      </w:r>
      <w:r w:rsidR="00F644B6" w:rsidRPr="00F644B6">
        <w:rPr>
          <w:rFonts w:ascii="Times New Roman" w:eastAsia="宋体" w:hAnsi="Times New Roman"/>
          <w:b/>
          <w:bCs/>
          <w:sz w:val="18"/>
          <w:szCs w:val="18"/>
        </w:rPr>
        <w:t>.</w:t>
      </w:r>
      <w:r>
        <w:rPr>
          <w:rFonts w:ascii="Times New Roman" w:eastAsia="宋体" w:hAnsi="Times New Roman" w:hint="eastAsia"/>
          <w:sz w:val="18"/>
          <w:szCs w:val="18"/>
        </w:rPr>
        <w:t xml:space="preserve"> </w:t>
      </w:r>
      <w:r w:rsidR="00F10EE6" w:rsidRPr="00F10EE6">
        <w:rPr>
          <w:rFonts w:ascii="Times New Roman" w:eastAsia="宋体" w:hAnsi="Times New Roman"/>
          <w:sz w:val="18"/>
          <w:szCs w:val="18"/>
        </w:rPr>
        <w:t>Panels a to i represent various distribution maps: annual average precipitation (Panel a), temperature (Panel b), soil moisture (Panel c), NDVI (Panel d), land use type (Panel e), and the distributions of annual average aboveground carbon density (Panel f), belowground carbon density (Panel g), soil carbon density (Panel h), and dead organic matter carbon density (Panel i).</w:t>
      </w:r>
    </w:p>
    <w:p w14:paraId="057E5D1B" w14:textId="07BDA21B" w:rsidR="00855071" w:rsidRPr="00F10EE6" w:rsidRDefault="00E34CC2" w:rsidP="00F10EE6">
      <w:pPr>
        <w:pStyle w:val="1"/>
        <w:spacing w:before="100" w:after="0" w:line="240" w:lineRule="exact"/>
        <w:rPr>
          <w:rFonts w:ascii="Times New Roman" w:hAnsi="Times New Roman" w:cs="Times New Roman"/>
          <w:sz w:val="28"/>
          <w:szCs w:val="28"/>
          <w:shd w:val="clear" w:color="auto" w:fill="FFFFFF"/>
        </w:rPr>
      </w:pPr>
      <w:r w:rsidRPr="00F10EE6">
        <w:rPr>
          <w:rFonts w:ascii="Times New Roman" w:hAnsi="Times New Roman" w:cs="Times New Roman"/>
          <w:sz w:val="28"/>
          <w:szCs w:val="28"/>
          <w:shd w:val="clear" w:color="auto" w:fill="FFFFFF"/>
        </w:rPr>
        <w:t>Data Preprocessing</w:t>
      </w:r>
    </w:p>
    <w:p w14:paraId="5BC6818A" w14:textId="77777777" w:rsidR="00855071" w:rsidRDefault="00E34CC2">
      <w:pPr>
        <w:ind w:firstLineChars="200" w:firstLine="420"/>
        <w:rPr>
          <w:rFonts w:ascii="Times New Roman" w:hAnsi="Times New Roman" w:cs="Times New Roman"/>
          <w:szCs w:val="21"/>
        </w:rPr>
      </w:pPr>
      <w:r>
        <w:rPr>
          <w:rFonts w:ascii="Times New Roman" w:hAnsi="Times New Roman" w:cs="Times New Roman"/>
          <w:szCs w:val="21"/>
        </w:rPr>
        <w:t xml:space="preserve">Annual averages were calculated from daily and monthly data using MATLAB. ArcGIS was used for projection, resampling, and clipping to unify the data coordinate system to WGS1984 and spatial resolution to 1KM. To enhance model training efficiency, reduce tuning complexity, and prevent overfitting, data normalization, extraction, filtering, and partitioning were essential. The </w:t>
      </w:r>
      <w:r>
        <w:rPr>
          <w:rFonts w:ascii="Times New Roman" w:hAnsi="Times New Roman" w:cs="Times New Roman"/>
          <w:szCs w:val="21"/>
        </w:rPr>
        <w:lastRenderedPageBreak/>
        <w:t>main preprocessing steps were as follows:</w:t>
      </w:r>
    </w:p>
    <w:p w14:paraId="696475D4" w14:textId="77777777" w:rsidR="00855071" w:rsidRDefault="00E34CC2">
      <w:pPr>
        <w:ind w:firstLineChars="200" w:firstLine="420"/>
        <w:rPr>
          <w:rFonts w:ascii="Times New Roman" w:hAnsi="Times New Roman" w:cs="Times New Roman"/>
          <w:szCs w:val="21"/>
        </w:rPr>
      </w:pPr>
      <w:r>
        <w:rPr>
          <w:rFonts w:ascii="Times New Roman" w:hAnsi="Times New Roman" w:cs="Times New Roman"/>
          <w:szCs w:val="21"/>
        </w:rPr>
        <w:t>Data Extraction: ArcGIS software masked raster data to extract information within the study area. The fishnet tool converted all raster data into vector points, totaling 1,635,396 points. Each point included a sequence number, annual average precipitation, annual average temperature, NDVI, soil carbon density, and aboveground biomass carbon density.</w:t>
      </w:r>
    </w:p>
    <w:p w14:paraId="4E093908" w14:textId="77777777" w:rsidR="00855071" w:rsidRDefault="00E34CC2">
      <w:pPr>
        <w:ind w:firstLineChars="200" w:firstLine="420"/>
        <w:rPr>
          <w:rFonts w:ascii="Times New Roman" w:hAnsi="Times New Roman" w:cs="Times New Roman"/>
          <w:szCs w:val="21"/>
        </w:rPr>
      </w:pPr>
      <w:r>
        <w:rPr>
          <w:rFonts w:ascii="Times New Roman" w:hAnsi="Times New Roman" w:cs="Times New Roman"/>
          <w:szCs w:val="21"/>
        </w:rPr>
        <w:t>Data Normalization: The Min-Max Normalization method was applied to scale data to a 0-1 range, standardizing values to facilitate model training. Figure 9 illustrates preprocessing results for a subset of raster data.</w:t>
      </w:r>
    </w:p>
    <w:p w14:paraId="52DDBAC7" w14:textId="77777777" w:rsidR="00855071" w:rsidRDefault="00E34CC2">
      <w:pPr>
        <w:ind w:firstLineChars="200" w:firstLine="420"/>
        <w:rPr>
          <w:rFonts w:ascii="Times New Roman" w:hAnsi="Times New Roman" w:cs="Times New Roman"/>
          <w:szCs w:val="21"/>
        </w:rPr>
      </w:pPr>
      <w:r>
        <w:rPr>
          <w:rFonts w:ascii="Times New Roman" w:hAnsi="Times New Roman" w:cs="Times New Roman"/>
          <w:szCs w:val="21"/>
        </w:rPr>
        <w:t>Training and Validation Dataset Construction: Carbon density data, ranging from 0 to 1, was divided into 100 intervals with a step size of 0.01. For each interval, 1000 data points were sampled from the dataset to form training and validation datasets. A total of 100,000 randomly selected data points from the study area were split 7:3 into training and validation sets, stored in CSV format. For the aboveground carbon density training set, the first column listed the raster unit sequence number, followed by annual average temperature, annual average precipitation, annual average soil moisture, NDVI, etc., as shown in Table 3. Separate training and validation datasets were prepared for aboveground, belowground, and soil carbon density to support the training of distinct RNN models.</w:t>
      </w:r>
    </w:p>
    <w:p w14:paraId="1F533A17" w14:textId="0F5236A5" w:rsidR="00855071" w:rsidRPr="006D5163" w:rsidRDefault="006D5163">
      <w:pPr>
        <w:widowControl/>
        <w:spacing w:line="200" w:lineRule="exact"/>
        <w:jc w:val="center"/>
        <w:rPr>
          <w:rFonts w:ascii="Times New Roman" w:eastAsia="宋体" w:hAnsi="Times New Roman"/>
          <w:sz w:val="18"/>
          <w:szCs w:val="18"/>
        </w:rPr>
      </w:pPr>
      <w:r w:rsidRPr="006D5163">
        <w:rPr>
          <w:rFonts w:ascii="Times New Roman" w:eastAsia="宋体" w:hAnsi="Times New Roman"/>
          <w:sz w:val="18"/>
          <w:szCs w:val="18"/>
        </w:rPr>
        <w:t>Supplementary Table 2</w:t>
      </w:r>
      <w:r w:rsidR="00E34CC2" w:rsidRPr="006D5163">
        <w:rPr>
          <w:rFonts w:ascii="Times New Roman" w:eastAsia="宋体" w:hAnsi="Times New Roman"/>
          <w:sz w:val="18"/>
          <w:szCs w:val="18"/>
        </w:rPr>
        <w:t>. Training and validation dataset</w:t>
      </w:r>
    </w:p>
    <w:tbl>
      <w:tblPr>
        <w:tblW w:w="6978" w:type="dxa"/>
        <w:jc w:val="center"/>
        <w:tblLook w:val="04A0" w:firstRow="1" w:lastRow="0" w:firstColumn="1" w:lastColumn="0" w:noHBand="0" w:noVBand="1"/>
      </w:tblPr>
      <w:tblGrid>
        <w:gridCol w:w="1155"/>
        <w:gridCol w:w="1082"/>
        <w:gridCol w:w="1020"/>
        <w:gridCol w:w="1020"/>
        <w:gridCol w:w="1143"/>
        <w:gridCol w:w="1558"/>
      </w:tblGrid>
      <w:tr w:rsidR="00855071" w14:paraId="49A24A59" w14:textId="77777777">
        <w:trPr>
          <w:trHeight w:val="292"/>
          <w:jc w:val="center"/>
        </w:trPr>
        <w:tc>
          <w:tcPr>
            <w:tcW w:w="1155" w:type="dxa"/>
            <w:tcBorders>
              <w:top w:val="single" w:sz="12" w:space="0" w:color="000000"/>
              <w:left w:val="nil"/>
              <w:bottom w:val="single" w:sz="4" w:space="0" w:color="000000"/>
              <w:right w:val="nil"/>
            </w:tcBorders>
            <w:shd w:val="clear" w:color="auto" w:fill="auto"/>
            <w:noWrap/>
            <w:vAlign w:val="center"/>
          </w:tcPr>
          <w:p w14:paraId="56E83702" w14:textId="77777777" w:rsidR="00855071" w:rsidRDefault="00E34CC2">
            <w:pPr>
              <w:widowControl/>
              <w:jc w:val="left"/>
              <w:rPr>
                <w:rFonts w:ascii="Times New Roman" w:eastAsia="宋体" w:hAnsi="Times New Roman" w:cs="Times New Roman"/>
                <w:b/>
                <w:bCs/>
                <w:color w:val="000000"/>
                <w:kern w:val="0"/>
                <w:sz w:val="16"/>
                <w:szCs w:val="16"/>
              </w:rPr>
            </w:pPr>
            <w:r>
              <w:rPr>
                <w:rFonts w:ascii="Times New Roman" w:eastAsia="宋体" w:hAnsi="Times New Roman" w:cs="Times New Roman"/>
                <w:b/>
                <w:bCs/>
                <w:color w:val="000000"/>
                <w:kern w:val="0"/>
                <w:sz w:val="16"/>
                <w:szCs w:val="16"/>
              </w:rPr>
              <w:t>OBJECTID</w:t>
            </w:r>
          </w:p>
        </w:tc>
        <w:tc>
          <w:tcPr>
            <w:tcW w:w="1082" w:type="dxa"/>
            <w:tcBorders>
              <w:top w:val="single" w:sz="12" w:space="0" w:color="000000"/>
              <w:left w:val="nil"/>
              <w:bottom w:val="single" w:sz="4" w:space="0" w:color="000000"/>
              <w:right w:val="nil"/>
            </w:tcBorders>
            <w:shd w:val="clear" w:color="auto" w:fill="auto"/>
            <w:noWrap/>
            <w:vAlign w:val="center"/>
          </w:tcPr>
          <w:p w14:paraId="2593197A" w14:textId="77777777" w:rsidR="00855071" w:rsidRDefault="00E34CC2">
            <w:pPr>
              <w:widowControl/>
              <w:jc w:val="left"/>
              <w:rPr>
                <w:rFonts w:ascii="Times New Roman" w:eastAsia="宋体" w:hAnsi="Times New Roman" w:cs="Times New Roman"/>
                <w:b/>
                <w:bCs/>
                <w:color w:val="000000"/>
                <w:kern w:val="0"/>
                <w:sz w:val="16"/>
                <w:szCs w:val="16"/>
              </w:rPr>
            </w:pPr>
            <w:r>
              <w:rPr>
                <w:rFonts w:ascii="Times New Roman" w:eastAsia="宋体" w:hAnsi="Times New Roman" w:cs="Times New Roman"/>
                <w:b/>
                <w:bCs/>
                <w:color w:val="000000"/>
                <w:kern w:val="0"/>
                <w:sz w:val="16"/>
                <w:szCs w:val="16"/>
              </w:rPr>
              <w:t>TEM_2010</w:t>
            </w:r>
          </w:p>
        </w:tc>
        <w:tc>
          <w:tcPr>
            <w:tcW w:w="1020" w:type="dxa"/>
            <w:tcBorders>
              <w:top w:val="single" w:sz="12" w:space="0" w:color="000000"/>
              <w:left w:val="nil"/>
              <w:bottom w:val="single" w:sz="4" w:space="0" w:color="000000"/>
              <w:right w:val="nil"/>
            </w:tcBorders>
            <w:shd w:val="clear" w:color="auto" w:fill="auto"/>
            <w:noWrap/>
            <w:vAlign w:val="center"/>
          </w:tcPr>
          <w:p w14:paraId="17451751" w14:textId="77777777" w:rsidR="00855071" w:rsidRDefault="00E34CC2">
            <w:pPr>
              <w:widowControl/>
              <w:jc w:val="left"/>
              <w:rPr>
                <w:rFonts w:ascii="Times New Roman" w:eastAsia="宋体" w:hAnsi="Times New Roman" w:cs="Times New Roman"/>
                <w:b/>
                <w:bCs/>
                <w:color w:val="000000"/>
                <w:kern w:val="0"/>
                <w:sz w:val="16"/>
                <w:szCs w:val="16"/>
              </w:rPr>
            </w:pPr>
            <w:r>
              <w:rPr>
                <w:rFonts w:ascii="Times New Roman" w:eastAsia="宋体" w:hAnsi="Times New Roman" w:cs="Times New Roman"/>
                <w:b/>
                <w:bCs/>
                <w:color w:val="000000"/>
                <w:kern w:val="0"/>
                <w:sz w:val="16"/>
                <w:szCs w:val="16"/>
              </w:rPr>
              <w:t>PRE_2010</w:t>
            </w:r>
          </w:p>
        </w:tc>
        <w:tc>
          <w:tcPr>
            <w:tcW w:w="1020" w:type="dxa"/>
            <w:tcBorders>
              <w:top w:val="single" w:sz="12" w:space="0" w:color="000000"/>
              <w:left w:val="nil"/>
              <w:bottom w:val="single" w:sz="4" w:space="0" w:color="000000"/>
              <w:right w:val="nil"/>
            </w:tcBorders>
            <w:shd w:val="clear" w:color="auto" w:fill="auto"/>
            <w:noWrap/>
            <w:vAlign w:val="center"/>
          </w:tcPr>
          <w:p w14:paraId="509C4887" w14:textId="77777777" w:rsidR="00855071" w:rsidRDefault="00E34CC2">
            <w:pPr>
              <w:widowControl/>
              <w:jc w:val="left"/>
              <w:rPr>
                <w:rFonts w:ascii="Times New Roman" w:eastAsia="宋体" w:hAnsi="Times New Roman" w:cs="Times New Roman"/>
                <w:b/>
                <w:bCs/>
                <w:color w:val="000000"/>
                <w:kern w:val="0"/>
                <w:sz w:val="16"/>
                <w:szCs w:val="16"/>
              </w:rPr>
            </w:pPr>
            <w:r>
              <w:rPr>
                <w:rFonts w:ascii="Times New Roman" w:eastAsia="宋体" w:hAnsi="Times New Roman" w:cs="Times New Roman"/>
                <w:b/>
                <w:bCs/>
                <w:color w:val="000000"/>
                <w:kern w:val="0"/>
                <w:sz w:val="16"/>
                <w:szCs w:val="16"/>
              </w:rPr>
              <w:t>SM_2010</w:t>
            </w:r>
          </w:p>
        </w:tc>
        <w:tc>
          <w:tcPr>
            <w:tcW w:w="1143" w:type="dxa"/>
            <w:tcBorders>
              <w:top w:val="single" w:sz="12" w:space="0" w:color="000000"/>
              <w:left w:val="nil"/>
              <w:bottom w:val="single" w:sz="4" w:space="0" w:color="000000"/>
              <w:right w:val="nil"/>
            </w:tcBorders>
            <w:shd w:val="clear" w:color="auto" w:fill="auto"/>
            <w:noWrap/>
            <w:vAlign w:val="center"/>
          </w:tcPr>
          <w:p w14:paraId="16975589" w14:textId="77777777" w:rsidR="00855071" w:rsidRDefault="00E34CC2">
            <w:pPr>
              <w:widowControl/>
              <w:jc w:val="left"/>
              <w:rPr>
                <w:rFonts w:ascii="Times New Roman" w:eastAsia="宋体" w:hAnsi="Times New Roman" w:cs="Times New Roman"/>
                <w:b/>
                <w:bCs/>
                <w:color w:val="000000"/>
                <w:kern w:val="0"/>
                <w:sz w:val="16"/>
                <w:szCs w:val="16"/>
              </w:rPr>
            </w:pPr>
            <w:r>
              <w:rPr>
                <w:rFonts w:ascii="Times New Roman" w:eastAsia="宋体" w:hAnsi="Times New Roman" w:cs="Times New Roman"/>
                <w:b/>
                <w:bCs/>
                <w:color w:val="000000"/>
                <w:kern w:val="0"/>
                <w:sz w:val="16"/>
                <w:szCs w:val="16"/>
              </w:rPr>
              <w:t>NDVI_2010</w:t>
            </w:r>
          </w:p>
        </w:tc>
        <w:tc>
          <w:tcPr>
            <w:tcW w:w="1558" w:type="dxa"/>
            <w:tcBorders>
              <w:top w:val="single" w:sz="12" w:space="0" w:color="000000"/>
              <w:left w:val="nil"/>
              <w:bottom w:val="single" w:sz="4" w:space="0" w:color="000000"/>
              <w:right w:val="nil"/>
            </w:tcBorders>
            <w:shd w:val="clear" w:color="auto" w:fill="auto"/>
            <w:noWrap/>
            <w:vAlign w:val="center"/>
          </w:tcPr>
          <w:p w14:paraId="46B9313A" w14:textId="77777777" w:rsidR="00855071" w:rsidRDefault="00E34CC2">
            <w:pPr>
              <w:widowControl/>
              <w:jc w:val="left"/>
              <w:rPr>
                <w:rFonts w:ascii="Times New Roman" w:eastAsia="宋体" w:hAnsi="Times New Roman" w:cs="Times New Roman"/>
                <w:b/>
                <w:bCs/>
                <w:color w:val="000000"/>
                <w:kern w:val="0"/>
                <w:sz w:val="16"/>
                <w:szCs w:val="16"/>
              </w:rPr>
            </w:pPr>
            <w:r>
              <w:rPr>
                <w:rFonts w:ascii="Times New Roman" w:eastAsia="宋体" w:hAnsi="Times New Roman" w:cs="Times New Roman"/>
                <w:b/>
                <w:bCs/>
                <w:color w:val="000000"/>
                <w:kern w:val="0"/>
                <w:sz w:val="16"/>
                <w:szCs w:val="16"/>
              </w:rPr>
              <w:t>Above_CD_2010</w:t>
            </w:r>
          </w:p>
        </w:tc>
      </w:tr>
      <w:tr w:rsidR="00855071" w14:paraId="30CD0770" w14:textId="77777777">
        <w:trPr>
          <w:trHeight w:val="283"/>
          <w:jc w:val="center"/>
        </w:trPr>
        <w:tc>
          <w:tcPr>
            <w:tcW w:w="1155" w:type="dxa"/>
            <w:tcBorders>
              <w:top w:val="nil"/>
              <w:left w:val="nil"/>
              <w:bottom w:val="nil"/>
              <w:right w:val="nil"/>
            </w:tcBorders>
            <w:shd w:val="clear" w:color="auto" w:fill="auto"/>
            <w:noWrap/>
            <w:vAlign w:val="center"/>
          </w:tcPr>
          <w:p w14:paraId="720B0EB9"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305045</w:t>
            </w:r>
          </w:p>
        </w:tc>
        <w:tc>
          <w:tcPr>
            <w:tcW w:w="1082" w:type="dxa"/>
            <w:tcBorders>
              <w:top w:val="nil"/>
              <w:left w:val="nil"/>
              <w:bottom w:val="nil"/>
              <w:right w:val="nil"/>
            </w:tcBorders>
            <w:shd w:val="clear" w:color="auto" w:fill="auto"/>
            <w:noWrap/>
            <w:vAlign w:val="center"/>
          </w:tcPr>
          <w:p w14:paraId="2D40B99B"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0.545694</w:t>
            </w:r>
          </w:p>
        </w:tc>
        <w:tc>
          <w:tcPr>
            <w:tcW w:w="1020" w:type="dxa"/>
            <w:tcBorders>
              <w:top w:val="nil"/>
              <w:left w:val="nil"/>
              <w:bottom w:val="nil"/>
              <w:right w:val="nil"/>
            </w:tcBorders>
            <w:shd w:val="clear" w:color="auto" w:fill="auto"/>
            <w:noWrap/>
            <w:vAlign w:val="center"/>
          </w:tcPr>
          <w:p w14:paraId="271D4674"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0.380544</w:t>
            </w:r>
          </w:p>
        </w:tc>
        <w:tc>
          <w:tcPr>
            <w:tcW w:w="1020" w:type="dxa"/>
            <w:tcBorders>
              <w:top w:val="nil"/>
              <w:left w:val="nil"/>
              <w:bottom w:val="nil"/>
              <w:right w:val="nil"/>
            </w:tcBorders>
            <w:shd w:val="clear" w:color="auto" w:fill="auto"/>
            <w:noWrap/>
            <w:vAlign w:val="center"/>
          </w:tcPr>
          <w:p w14:paraId="29248D22"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0.515774</w:t>
            </w:r>
          </w:p>
        </w:tc>
        <w:tc>
          <w:tcPr>
            <w:tcW w:w="1143" w:type="dxa"/>
            <w:tcBorders>
              <w:top w:val="nil"/>
              <w:left w:val="nil"/>
              <w:bottom w:val="nil"/>
              <w:right w:val="nil"/>
            </w:tcBorders>
            <w:shd w:val="clear" w:color="auto" w:fill="auto"/>
            <w:noWrap/>
            <w:vAlign w:val="center"/>
          </w:tcPr>
          <w:p w14:paraId="7A4725A5"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0.452055</w:t>
            </w:r>
          </w:p>
        </w:tc>
        <w:tc>
          <w:tcPr>
            <w:tcW w:w="1558" w:type="dxa"/>
            <w:tcBorders>
              <w:top w:val="nil"/>
              <w:left w:val="nil"/>
              <w:bottom w:val="nil"/>
              <w:right w:val="nil"/>
            </w:tcBorders>
            <w:shd w:val="clear" w:color="auto" w:fill="auto"/>
            <w:noWrap/>
            <w:vAlign w:val="center"/>
          </w:tcPr>
          <w:p w14:paraId="167C120C"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0.144192</w:t>
            </w:r>
          </w:p>
        </w:tc>
      </w:tr>
      <w:tr w:rsidR="00855071" w14:paraId="6FD5686B" w14:textId="77777777">
        <w:trPr>
          <w:trHeight w:val="283"/>
          <w:jc w:val="center"/>
        </w:trPr>
        <w:tc>
          <w:tcPr>
            <w:tcW w:w="1155" w:type="dxa"/>
            <w:tcBorders>
              <w:top w:val="nil"/>
              <w:left w:val="nil"/>
              <w:bottom w:val="nil"/>
              <w:right w:val="nil"/>
            </w:tcBorders>
            <w:shd w:val="clear" w:color="auto" w:fill="auto"/>
            <w:noWrap/>
            <w:vAlign w:val="center"/>
          </w:tcPr>
          <w:p w14:paraId="44A32C8D"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209543</w:t>
            </w:r>
          </w:p>
        </w:tc>
        <w:tc>
          <w:tcPr>
            <w:tcW w:w="1082" w:type="dxa"/>
            <w:tcBorders>
              <w:top w:val="nil"/>
              <w:left w:val="nil"/>
              <w:bottom w:val="nil"/>
              <w:right w:val="nil"/>
            </w:tcBorders>
            <w:shd w:val="clear" w:color="auto" w:fill="auto"/>
            <w:noWrap/>
            <w:vAlign w:val="center"/>
          </w:tcPr>
          <w:p w14:paraId="42F10765"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0.470923</w:t>
            </w:r>
          </w:p>
        </w:tc>
        <w:tc>
          <w:tcPr>
            <w:tcW w:w="1020" w:type="dxa"/>
            <w:tcBorders>
              <w:top w:val="nil"/>
              <w:left w:val="nil"/>
              <w:bottom w:val="nil"/>
              <w:right w:val="nil"/>
            </w:tcBorders>
            <w:shd w:val="clear" w:color="auto" w:fill="auto"/>
            <w:noWrap/>
            <w:vAlign w:val="center"/>
          </w:tcPr>
          <w:p w14:paraId="33B5964B"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0.853057</w:t>
            </w:r>
          </w:p>
        </w:tc>
        <w:tc>
          <w:tcPr>
            <w:tcW w:w="1020" w:type="dxa"/>
            <w:tcBorders>
              <w:top w:val="nil"/>
              <w:left w:val="nil"/>
              <w:bottom w:val="nil"/>
              <w:right w:val="nil"/>
            </w:tcBorders>
            <w:shd w:val="clear" w:color="auto" w:fill="auto"/>
            <w:noWrap/>
            <w:vAlign w:val="center"/>
          </w:tcPr>
          <w:p w14:paraId="5853849A"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0.528571</w:t>
            </w:r>
          </w:p>
        </w:tc>
        <w:tc>
          <w:tcPr>
            <w:tcW w:w="1143" w:type="dxa"/>
            <w:tcBorders>
              <w:top w:val="nil"/>
              <w:left w:val="nil"/>
              <w:bottom w:val="nil"/>
              <w:right w:val="nil"/>
            </w:tcBorders>
            <w:shd w:val="clear" w:color="auto" w:fill="auto"/>
            <w:noWrap/>
            <w:vAlign w:val="center"/>
          </w:tcPr>
          <w:p w14:paraId="1712DB1E"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0.691781</w:t>
            </w:r>
          </w:p>
        </w:tc>
        <w:tc>
          <w:tcPr>
            <w:tcW w:w="1558" w:type="dxa"/>
            <w:tcBorders>
              <w:top w:val="nil"/>
              <w:left w:val="nil"/>
              <w:bottom w:val="nil"/>
              <w:right w:val="nil"/>
            </w:tcBorders>
            <w:shd w:val="clear" w:color="auto" w:fill="auto"/>
            <w:noWrap/>
            <w:vAlign w:val="center"/>
          </w:tcPr>
          <w:p w14:paraId="496CD933"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0.261682</w:t>
            </w:r>
          </w:p>
        </w:tc>
      </w:tr>
      <w:tr w:rsidR="00855071" w14:paraId="330B824F" w14:textId="77777777">
        <w:trPr>
          <w:trHeight w:val="283"/>
          <w:jc w:val="center"/>
        </w:trPr>
        <w:tc>
          <w:tcPr>
            <w:tcW w:w="1155" w:type="dxa"/>
            <w:tcBorders>
              <w:top w:val="nil"/>
              <w:left w:val="nil"/>
              <w:bottom w:val="nil"/>
              <w:right w:val="nil"/>
            </w:tcBorders>
            <w:shd w:val="clear" w:color="auto" w:fill="auto"/>
            <w:noWrap/>
            <w:vAlign w:val="center"/>
          </w:tcPr>
          <w:p w14:paraId="6913CA7A"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257973</w:t>
            </w:r>
          </w:p>
        </w:tc>
        <w:tc>
          <w:tcPr>
            <w:tcW w:w="1082" w:type="dxa"/>
            <w:tcBorders>
              <w:top w:val="nil"/>
              <w:left w:val="nil"/>
              <w:bottom w:val="nil"/>
              <w:right w:val="nil"/>
            </w:tcBorders>
            <w:shd w:val="clear" w:color="auto" w:fill="auto"/>
            <w:noWrap/>
            <w:vAlign w:val="center"/>
          </w:tcPr>
          <w:p w14:paraId="374BA308"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0.533014</w:t>
            </w:r>
          </w:p>
        </w:tc>
        <w:tc>
          <w:tcPr>
            <w:tcW w:w="1020" w:type="dxa"/>
            <w:tcBorders>
              <w:top w:val="nil"/>
              <w:left w:val="nil"/>
              <w:bottom w:val="nil"/>
              <w:right w:val="nil"/>
            </w:tcBorders>
            <w:shd w:val="clear" w:color="auto" w:fill="auto"/>
            <w:noWrap/>
            <w:vAlign w:val="center"/>
          </w:tcPr>
          <w:p w14:paraId="6BBA3548"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0.549923</w:t>
            </w:r>
          </w:p>
        </w:tc>
        <w:tc>
          <w:tcPr>
            <w:tcW w:w="1020" w:type="dxa"/>
            <w:tcBorders>
              <w:top w:val="nil"/>
              <w:left w:val="nil"/>
              <w:bottom w:val="nil"/>
              <w:right w:val="nil"/>
            </w:tcBorders>
            <w:shd w:val="clear" w:color="auto" w:fill="auto"/>
            <w:noWrap/>
            <w:vAlign w:val="center"/>
          </w:tcPr>
          <w:p w14:paraId="619B0104"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0.536607</w:t>
            </w:r>
          </w:p>
        </w:tc>
        <w:tc>
          <w:tcPr>
            <w:tcW w:w="1143" w:type="dxa"/>
            <w:tcBorders>
              <w:top w:val="nil"/>
              <w:left w:val="nil"/>
              <w:bottom w:val="nil"/>
              <w:right w:val="nil"/>
            </w:tcBorders>
            <w:shd w:val="clear" w:color="auto" w:fill="auto"/>
            <w:noWrap/>
            <w:vAlign w:val="center"/>
          </w:tcPr>
          <w:p w14:paraId="1282EC05"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0.582192</w:t>
            </w:r>
          </w:p>
        </w:tc>
        <w:tc>
          <w:tcPr>
            <w:tcW w:w="1558" w:type="dxa"/>
            <w:tcBorders>
              <w:top w:val="nil"/>
              <w:left w:val="nil"/>
              <w:bottom w:val="nil"/>
              <w:right w:val="nil"/>
            </w:tcBorders>
            <w:shd w:val="clear" w:color="auto" w:fill="auto"/>
            <w:noWrap/>
            <w:vAlign w:val="center"/>
          </w:tcPr>
          <w:p w14:paraId="43A52F11"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0.158879</w:t>
            </w:r>
          </w:p>
        </w:tc>
      </w:tr>
      <w:tr w:rsidR="00855071" w14:paraId="15D11934" w14:textId="77777777">
        <w:trPr>
          <w:trHeight w:val="283"/>
          <w:jc w:val="center"/>
        </w:trPr>
        <w:tc>
          <w:tcPr>
            <w:tcW w:w="1155" w:type="dxa"/>
            <w:tcBorders>
              <w:top w:val="nil"/>
              <w:left w:val="nil"/>
              <w:bottom w:val="nil"/>
              <w:right w:val="nil"/>
            </w:tcBorders>
            <w:shd w:val="clear" w:color="auto" w:fill="auto"/>
            <w:noWrap/>
            <w:vAlign w:val="center"/>
          </w:tcPr>
          <w:p w14:paraId="5B92D016"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596503</w:t>
            </w:r>
          </w:p>
        </w:tc>
        <w:tc>
          <w:tcPr>
            <w:tcW w:w="1082" w:type="dxa"/>
            <w:tcBorders>
              <w:top w:val="nil"/>
              <w:left w:val="nil"/>
              <w:bottom w:val="nil"/>
              <w:right w:val="nil"/>
            </w:tcBorders>
            <w:shd w:val="clear" w:color="auto" w:fill="auto"/>
            <w:noWrap/>
            <w:vAlign w:val="center"/>
          </w:tcPr>
          <w:p w14:paraId="2A45CF75"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0.328379</w:t>
            </w:r>
          </w:p>
        </w:tc>
        <w:tc>
          <w:tcPr>
            <w:tcW w:w="1020" w:type="dxa"/>
            <w:tcBorders>
              <w:top w:val="nil"/>
              <w:left w:val="nil"/>
              <w:bottom w:val="nil"/>
              <w:right w:val="nil"/>
            </w:tcBorders>
            <w:shd w:val="clear" w:color="auto" w:fill="auto"/>
            <w:noWrap/>
            <w:vAlign w:val="center"/>
          </w:tcPr>
          <w:p w14:paraId="533491D2"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0.177428</w:t>
            </w:r>
          </w:p>
        </w:tc>
        <w:tc>
          <w:tcPr>
            <w:tcW w:w="1020" w:type="dxa"/>
            <w:tcBorders>
              <w:top w:val="nil"/>
              <w:left w:val="nil"/>
              <w:bottom w:val="nil"/>
              <w:right w:val="nil"/>
            </w:tcBorders>
            <w:shd w:val="clear" w:color="auto" w:fill="auto"/>
            <w:noWrap/>
            <w:vAlign w:val="center"/>
          </w:tcPr>
          <w:p w14:paraId="22CB08B9"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0.587054</w:t>
            </w:r>
          </w:p>
        </w:tc>
        <w:tc>
          <w:tcPr>
            <w:tcW w:w="1143" w:type="dxa"/>
            <w:tcBorders>
              <w:top w:val="nil"/>
              <w:left w:val="nil"/>
              <w:bottom w:val="nil"/>
              <w:right w:val="nil"/>
            </w:tcBorders>
            <w:shd w:val="clear" w:color="auto" w:fill="auto"/>
            <w:noWrap/>
            <w:vAlign w:val="center"/>
          </w:tcPr>
          <w:p w14:paraId="621A561B"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0.59589</w:t>
            </w:r>
          </w:p>
        </w:tc>
        <w:tc>
          <w:tcPr>
            <w:tcW w:w="1558" w:type="dxa"/>
            <w:tcBorders>
              <w:top w:val="nil"/>
              <w:left w:val="nil"/>
              <w:bottom w:val="nil"/>
              <w:right w:val="nil"/>
            </w:tcBorders>
            <w:shd w:val="clear" w:color="auto" w:fill="auto"/>
            <w:noWrap/>
            <w:vAlign w:val="center"/>
          </w:tcPr>
          <w:p w14:paraId="27662CCA"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0.165554</w:t>
            </w:r>
          </w:p>
        </w:tc>
      </w:tr>
      <w:tr w:rsidR="00855071" w14:paraId="7E56C34E" w14:textId="77777777">
        <w:trPr>
          <w:trHeight w:val="283"/>
          <w:jc w:val="center"/>
        </w:trPr>
        <w:tc>
          <w:tcPr>
            <w:tcW w:w="1155" w:type="dxa"/>
            <w:tcBorders>
              <w:top w:val="nil"/>
              <w:left w:val="nil"/>
              <w:bottom w:val="nil"/>
              <w:right w:val="nil"/>
            </w:tcBorders>
            <w:shd w:val="clear" w:color="auto" w:fill="auto"/>
            <w:noWrap/>
            <w:vAlign w:val="center"/>
          </w:tcPr>
          <w:p w14:paraId="11C08EE0"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336671</w:t>
            </w:r>
          </w:p>
        </w:tc>
        <w:tc>
          <w:tcPr>
            <w:tcW w:w="1082" w:type="dxa"/>
            <w:tcBorders>
              <w:top w:val="nil"/>
              <w:left w:val="nil"/>
              <w:bottom w:val="nil"/>
              <w:right w:val="nil"/>
            </w:tcBorders>
            <w:shd w:val="clear" w:color="auto" w:fill="auto"/>
            <w:noWrap/>
            <w:vAlign w:val="center"/>
          </w:tcPr>
          <w:p w14:paraId="2335D695"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0.588108</w:t>
            </w:r>
          </w:p>
        </w:tc>
        <w:tc>
          <w:tcPr>
            <w:tcW w:w="1020" w:type="dxa"/>
            <w:tcBorders>
              <w:top w:val="nil"/>
              <w:left w:val="nil"/>
              <w:bottom w:val="nil"/>
              <w:right w:val="nil"/>
            </w:tcBorders>
            <w:shd w:val="clear" w:color="auto" w:fill="auto"/>
            <w:noWrap/>
            <w:vAlign w:val="center"/>
          </w:tcPr>
          <w:p w14:paraId="6375D63D"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0.736085</w:t>
            </w:r>
          </w:p>
        </w:tc>
        <w:tc>
          <w:tcPr>
            <w:tcW w:w="1020" w:type="dxa"/>
            <w:tcBorders>
              <w:top w:val="nil"/>
              <w:left w:val="nil"/>
              <w:bottom w:val="nil"/>
              <w:right w:val="nil"/>
            </w:tcBorders>
            <w:shd w:val="clear" w:color="auto" w:fill="auto"/>
            <w:noWrap/>
            <w:vAlign w:val="center"/>
          </w:tcPr>
          <w:p w14:paraId="3AA8C045"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0.582589</w:t>
            </w:r>
          </w:p>
        </w:tc>
        <w:tc>
          <w:tcPr>
            <w:tcW w:w="1143" w:type="dxa"/>
            <w:tcBorders>
              <w:top w:val="nil"/>
              <w:left w:val="nil"/>
              <w:bottom w:val="nil"/>
              <w:right w:val="nil"/>
            </w:tcBorders>
            <w:shd w:val="clear" w:color="auto" w:fill="auto"/>
            <w:noWrap/>
            <w:vAlign w:val="center"/>
          </w:tcPr>
          <w:p w14:paraId="76E4F64C"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0.616438</w:t>
            </w:r>
          </w:p>
        </w:tc>
        <w:tc>
          <w:tcPr>
            <w:tcW w:w="1558" w:type="dxa"/>
            <w:tcBorders>
              <w:top w:val="nil"/>
              <w:left w:val="nil"/>
              <w:bottom w:val="nil"/>
              <w:right w:val="nil"/>
            </w:tcBorders>
            <w:shd w:val="clear" w:color="auto" w:fill="auto"/>
            <w:noWrap/>
            <w:vAlign w:val="center"/>
          </w:tcPr>
          <w:p w14:paraId="48C9BCA4"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0.64486</w:t>
            </w:r>
          </w:p>
        </w:tc>
      </w:tr>
      <w:tr w:rsidR="00855071" w14:paraId="17A717D9" w14:textId="77777777">
        <w:trPr>
          <w:trHeight w:val="283"/>
          <w:jc w:val="center"/>
        </w:trPr>
        <w:tc>
          <w:tcPr>
            <w:tcW w:w="1155" w:type="dxa"/>
            <w:tcBorders>
              <w:top w:val="nil"/>
              <w:left w:val="nil"/>
              <w:bottom w:val="nil"/>
              <w:right w:val="nil"/>
            </w:tcBorders>
            <w:shd w:val="clear" w:color="auto" w:fill="auto"/>
            <w:noWrap/>
            <w:vAlign w:val="center"/>
          </w:tcPr>
          <w:p w14:paraId="618F7E78"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288221</w:t>
            </w:r>
          </w:p>
        </w:tc>
        <w:tc>
          <w:tcPr>
            <w:tcW w:w="1082" w:type="dxa"/>
            <w:tcBorders>
              <w:top w:val="nil"/>
              <w:left w:val="nil"/>
              <w:bottom w:val="nil"/>
              <w:right w:val="nil"/>
            </w:tcBorders>
            <w:shd w:val="clear" w:color="auto" w:fill="auto"/>
            <w:noWrap/>
            <w:vAlign w:val="center"/>
          </w:tcPr>
          <w:p w14:paraId="58F3BA9A"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0.574552</w:t>
            </w:r>
          </w:p>
        </w:tc>
        <w:tc>
          <w:tcPr>
            <w:tcW w:w="1020" w:type="dxa"/>
            <w:tcBorders>
              <w:top w:val="nil"/>
              <w:left w:val="nil"/>
              <w:bottom w:val="nil"/>
              <w:right w:val="nil"/>
            </w:tcBorders>
            <w:shd w:val="clear" w:color="auto" w:fill="auto"/>
            <w:noWrap/>
            <w:vAlign w:val="center"/>
          </w:tcPr>
          <w:p w14:paraId="194A8D33"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0.444254</w:t>
            </w:r>
          </w:p>
        </w:tc>
        <w:tc>
          <w:tcPr>
            <w:tcW w:w="1020" w:type="dxa"/>
            <w:tcBorders>
              <w:top w:val="nil"/>
              <w:left w:val="nil"/>
              <w:bottom w:val="nil"/>
              <w:right w:val="nil"/>
            </w:tcBorders>
            <w:shd w:val="clear" w:color="auto" w:fill="auto"/>
            <w:noWrap/>
            <w:vAlign w:val="center"/>
          </w:tcPr>
          <w:p w14:paraId="5C179C8A"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0.711012</w:t>
            </w:r>
          </w:p>
        </w:tc>
        <w:tc>
          <w:tcPr>
            <w:tcW w:w="1143" w:type="dxa"/>
            <w:tcBorders>
              <w:top w:val="nil"/>
              <w:left w:val="nil"/>
              <w:bottom w:val="nil"/>
              <w:right w:val="nil"/>
            </w:tcBorders>
            <w:shd w:val="clear" w:color="auto" w:fill="auto"/>
            <w:noWrap/>
            <w:vAlign w:val="center"/>
          </w:tcPr>
          <w:p w14:paraId="10DD511F"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0.849315</w:t>
            </w:r>
          </w:p>
        </w:tc>
        <w:tc>
          <w:tcPr>
            <w:tcW w:w="1558" w:type="dxa"/>
            <w:tcBorders>
              <w:top w:val="nil"/>
              <w:left w:val="nil"/>
              <w:bottom w:val="nil"/>
              <w:right w:val="nil"/>
            </w:tcBorders>
            <w:shd w:val="clear" w:color="auto" w:fill="auto"/>
            <w:noWrap/>
            <w:vAlign w:val="center"/>
          </w:tcPr>
          <w:p w14:paraId="157DD6D3"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0.496662</w:t>
            </w:r>
          </w:p>
        </w:tc>
      </w:tr>
      <w:tr w:rsidR="00855071" w14:paraId="3B391CDA" w14:textId="77777777">
        <w:trPr>
          <w:trHeight w:val="283"/>
          <w:jc w:val="center"/>
        </w:trPr>
        <w:tc>
          <w:tcPr>
            <w:tcW w:w="1155" w:type="dxa"/>
            <w:tcBorders>
              <w:top w:val="nil"/>
              <w:left w:val="nil"/>
              <w:bottom w:val="nil"/>
              <w:right w:val="nil"/>
            </w:tcBorders>
            <w:shd w:val="clear" w:color="auto" w:fill="auto"/>
            <w:noWrap/>
            <w:vAlign w:val="center"/>
          </w:tcPr>
          <w:p w14:paraId="004AA658"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528716</w:t>
            </w:r>
          </w:p>
        </w:tc>
        <w:tc>
          <w:tcPr>
            <w:tcW w:w="1082" w:type="dxa"/>
            <w:tcBorders>
              <w:top w:val="nil"/>
              <w:left w:val="nil"/>
              <w:bottom w:val="nil"/>
              <w:right w:val="nil"/>
            </w:tcBorders>
            <w:shd w:val="clear" w:color="auto" w:fill="auto"/>
            <w:noWrap/>
            <w:vAlign w:val="center"/>
          </w:tcPr>
          <w:p w14:paraId="4ADC2E86"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0.208572</w:t>
            </w:r>
          </w:p>
        </w:tc>
        <w:tc>
          <w:tcPr>
            <w:tcW w:w="1020" w:type="dxa"/>
            <w:tcBorders>
              <w:top w:val="nil"/>
              <w:left w:val="nil"/>
              <w:bottom w:val="nil"/>
              <w:right w:val="nil"/>
            </w:tcBorders>
            <w:shd w:val="clear" w:color="auto" w:fill="auto"/>
            <w:noWrap/>
            <w:vAlign w:val="center"/>
          </w:tcPr>
          <w:p w14:paraId="7BF19921"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0.08683</w:t>
            </w:r>
          </w:p>
        </w:tc>
        <w:tc>
          <w:tcPr>
            <w:tcW w:w="1020" w:type="dxa"/>
            <w:tcBorders>
              <w:top w:val="nil"/>
              <w:left w:val="nil"/>
              <w:bottom w:val="nil"/>
              <w:right w:val="nil"/>
            </w:tcBorders>
            <w:shd w:val="clear" w:color="auto" w:fill="auto"/>
            <w:noWrap/>
            <w:vAlign w:val="center"/>
          </w:tcPr>
          <w:p w14:paraId="7E8C7607"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0.414583</w:t>
            </w:r>
          </w:p>
        </w:tc>
        <w:tc>
          <w:tcPr>
            <w:tcW w:w="1143" w:type="dxa"/>
            <w:tcBorders>
              <w:top w:val="nil"/>
              <w:left w:val="nil"/>
              <w:bottom w:val="nil"/>
              <w:right w:val="nil"/>
            </w:tcBorders>
            <w:shd w:val="clear" w:color="auto" w:fill="auto"/>
            <w:noWrap/>
            <w:vAlign w:val="center"/>
          </w:tcPr>
          <w:p w14:paraId="6D98F23C"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0.636986</w:t>
            </w:r>
          </w:p>
        </w:tc>
        <w:tc>
          <w:tcPr>
            <w:tcW w:w="1558" w:type="dxa"/>
            <w:tcBorders>
              <w:top w:val="nil"/>
              <w:left w:val="nil"/>
              <w:bottom w:val="nil"/>
              <w:right w:val="nil"/>
            </w:tcBorders>
            <w:shd w:val="clear" w:color="auto" w:fill="auto"/>
            <w:noWrap/>
            <w:vAlign w:val="center"/>
          </w:tcPr>
          <w:p w14:paraId="1F91E634"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0.447263</w:t>
            </w:r>
          </w:p>
        </w:tc>
      </w:tr>
      <w:tr w:rsidR="00855071" w14:paraId="7D2E3816" w14:textId="77777777">
        <w:trPr>
          <w:trHeight w:val="283"/>
          <w:jc w:val="center"/>
        </w:trPr>
        <w:tc>
          <w:tcPr>
            <w:tcW w:w="1155" w:type="dxa"/>
            <w:tcBorders>
              <w:top w:val="nil"/>
              <w:left w:val="nil"/>
              <w:bottom w:val="nil"/>
              <w:right w:val="nil"/>
            </w:tcBorders>
            <w:shd w:val="clear" w:color="auto" w:fill="auto"/>
            <w:noWrap/>
            <w:vAlign w:val="center"/>
          </w:tcPr>
          <w:p w14:paraId="1914A75F"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305186</w:t>
            </w:r>
          </w:p>
        </w:tc>
        <w:tc>
          <w:tcPr>
            <w:tcW w:w="1082" w:type="dxa"/>
            <w:tcBorders>
              <w:top w:val="nil"/>
              <w:left w:val="nil"/>
              <w:bottom w:val="nil"/>
              <w:right w:val="nil"/>
            </w:tcBorders>
            <w:shd w:val="clear" w:color="auto" w:fill="auto"/>
            <w:noWrap/>
            <w:vAlign w:val="center"/>
          </w:tcPr>
          <w:p w14:paraId="4865A8A0"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0.419328</w:t>
            </w:r>
          </w:p>
        </w:tc>
        <w:tc>
          <w:tcPr>
            <w:tcW w:w="1020" w:type="dxa"/>
            <w:tcBorders>
              <w:top w:val="nil"/>
              <w:left w:val="nil"/>
              <w:bottom w:val="nil"/>
              <w:right w:val="nil"/>
            </w:tcBorders>
            <w:shd w:val="clear" w:color="auto" w:fill="auto"/>
            <w:noWrap/>
            <w:vAlign w:val="center"/>
          </w:tcPr>
          <w:p w14:paraId="7F02D60B"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0.486728</w:t>
            </w:r>
          </w:p>
        </w:tc>
        <w:tc>
          <w:tcPr>
            <w:tcW w:w="1020" w:type="dxa"/>
            <w:tcBorders>
              <w:top w:val="nil"/>
              <w:left w:val="nil"/>
              <w:bottom w:val="nil"/>
              <w:right w:val="nil"/>
            </w:tcBorders>
            <w:shd w:val="clear" w:color="auto" w:fill="auto"/>
            <w:noWrap/>
            <w:vAlign w:val="center"/>
          </w:tcPr>
          <w:p w14:paraId="2ADA4E9F"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0.502976</w:t>
            </w:r>
          </w:p>
        </w:tc>
        <w:tc>
          <w:tcPr>
            <w:tcW w:w="1143" w:type="dxa"/>
            <w:tcBorders>
              <w:top w:val="nil"/>
              <w:left w:val="nil"/>
              <w:bottom w:val="nil"/>
              <w:right w:val="nil"/>
            </w:tcBorders>
            <w:shd w:val="clear" w:color="auto" w:fill="auto"/>
            <w:noWrap/>
            <w:vAlign w:val="center"/>
          </w:tcPr>
          <w:p w14:paraId="1406EF86"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0.486301</w:t>
            </w:r>
          </w:p>
        </w:tc>
        <w:tc>
          <w:tcPr>
            <w:tcW w:w="1558" w:type="dxa"/>
            <w:tcBorders>
              <w:top w:val="nil"/>
              <w:left w:val="nil"/>
              <w:bottom w:val="nil"/>
              <w:right w:val="nil"/>
            </w:tcBorders>
            <w:shd w:val="clear" w:color="auto" w:fill="auto"/>
            <w:noWrap/>
            <w:vAlign w:val="center"/>
          </w:tcPr>
          <w:p w14:paraId="691F9F46"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0.46996</w:t>
            </w:r>
          </w:p>
        </w:tc>
      </w:tr>
      <w:tr w:rsidR="00855071" w14:paraId="41534ED5" w14:textId="77777777">
        <w:trPr>
          <w:trHeight w:val="283"/>
          <w:jc w:val="center"/>
        </w:trPr>
        <w:tc>
          <w:tcPr>
            <w:tcW w:w="1155" w:type="dxa"/>
            <w:tcBorders>
              <w:top w:val="nil"/>
              <w:left w:val="nil"/>
              <w:bottom w:val="nil"/>
              <w:right w:val="nil"/>
            </w:tcBorders>
            <w:shd w:val="clear" w:color="auto" w:fill="auto"/>
            <w:noWrap/>
            <w:vAlign w:val="center"/>
          </w:tcPr>
          <w:p w14:paraId="712AA744"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w:t>
            </w:r>
          </w:p>
        </w:tc>
        <w:tc>
          <w:tcPr>
            <w:tcW w:w="1082" w:type="dxa"/>
            <w:tcBorders>
              <w:top w:val="nil"/>
              <w:left w:val="nil"/>
              <w:bottom w:val="nil"/>
              <w:right w:val="nil"/>
            </w:tcBorders>
            <w:shd w:val="clear" w:color="auto" w:fill="auto"/>
            <w:noWrap/>
            <w:vAlign w:val="center"/>
          </w:tcPr>
          <w:p w14:paraId="0C5FBE89"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w:t>
            </w:r>
          </w:p>
        </w:tc>
        <w:tc>
          <w:tcPr>
            <w:tcW w:w="1020" w:type="dxa"/>
            <w:tcBorders>
              <w:top w:val="nil"/>
              <w:left w:val="nil"/>
              <w:bottom w:val="nil"/>
              <w:right w:val="nil"/>
            </w:tcBorders>
            <w:shd w:val="clear" w:color="auto" w:fill="auto"/>
            <w:noWrap/>
            <w:vAlign w:val="center"/>
          </w:tcPr>
          <w:p w14:paraId="501D57B9"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w:t>
            </w:r>
          </w:p>
        </w:tc>
        <w:tc>
          <w:tcPr>
            <w:tcW w:w="1020" w:type="dxa"/>
            <w:tcBorders>
              <w:top w:val="nil"/>
              <w:left w:val="nil"/>
              <w:bottom w:val="nil"/>
              <w:right w:val="nil"/>
            </w:tcBorders>
            <w:shd w:val="clear" w:color="auto" w:fill="auto"/>
            <w:noWrap/>
            <w:vAlign w:val="center"/>
          </w:tcPr>
          <w:p w14:paraId="10BB38C4"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w:t>
            </w:r>
          </w:p>
        </w:tc>
        <w:tc>
          <w:tcPr>
            <w:tcW w:w="1143" w:type="dxa"/>
            <w:tcBorders>
              <w:top w:val="nil"/>
              <w:left w:val="nil"/>
              <w:bottom w:val="nil"/>
              <w:right w:val="nil"/>
            </w:tcBorders>
            <w:shd w:val="clear" w:color="auto" w:fill="auto"/>
            <w:noWrap/>
            <w:vAlign w:val="center"/>
          </w:tcPr>
          <w:p w14:paraId="797D6189"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w:t>
            </w:r>
          </w:p>
        </w:tc>
        <w:tc>
          <w:tcPr>
            <w:tcW w:w="1558" w:type="dxa"/>
            <w:tcBorders>
              <w:top w:val="nil"/>
              <w:left w:val="nil"/>
              <w:bottom w:val="nil"/>
              <w:right w:val="nil"/>
            </w:tcBorders>
            <w:shd w:val="clear" w:color="auto" w:fill="auto"/>
            <w:noWrap/>
            <w:vAlign w:val="center"/>
          </w:tcPr>
          <w:p w14:paraId="5A13B6A9"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w:t>
            </w:r>
          </w:p>
        </w:tc>
      </w:tr>
      <w:tr w:rsidR="00855071" w14:paraId="36ED49B6" w14:textId="77777777">
        <w:trPr>
          <w:trHeight w:val="283"/>
          <w:jc w:val="center"/>
        </w:trPr>
        <w:tc>
          <w:tcPr>
            <w:tcW w:w="1155" w:type="dxa"/>
            <w:tcBorders>
              <w:top w:val="nil"/>
              <w:left w:val="nil"/>
              <w:bottom w:val="nil"/>
              <w:right w:val="nil"/>
            </w:tcBorders>
            <w:shd w:val="clear" w:color="auto" w:fill="auto"/>
            <w:noWrap/>
            <w:vAlign w:val="center"/>
          </w:tcPr>
          <w:p w14:paraId="34040843"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409351</w:t>
            </w:r>
          </w:p>
        </w:tc>
        <w:tc>
          <w:tcPr>
            <w:tcW w:w="1082" w:type="dxa"/>
            <w:tcBorders>
              <w:top w:val="nil"/>
              <w:left w:val="nil"/>
              <w:bottom w:val="nil"/>
              <w:right w:val="nil"/>
            </w:tcBorders>
            <w:shd w:val="clear" w:color="auto" w:fill="auto"/>
            <w:noWrap/>
            <w:vAlign w:val="center"/>
          </w:tcPr>
          <w:p w14:paraId="19BDC5BD"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0.55575</w:t>
            </w:r>
          </w:p>
        </w:tc>
        <w:tc>
          <w:tcPr>
            <w:tcW w:w="1020" w:type="dxa"/>
            <w:tcBorders>
              <w:top w:val="nil"/>
              <w:left w:val="nil"/>
              <w:bottom w:val="nil"/>
              <w:right w:val="nil"/>
            </w:tcBorders>
            <w:shd w:val="clear" w:color="auto" w:fill="auto"/>
            <w:noWrap/>
            <w:vAlign w:val="center"/>
          </w:tcPr>
          <w:p w14:paraId="20579D82"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0.517212</w:t>
            </w:r>
          </w:p>
        </w:tc>
        <w:tc>
          <w:tcPr>
            <w:tcW w:w="1020" w:type="dxa"/>
            <w:tcBorders>
              <w:top w:val="nil"/>
              <w:left w:val="nil"/>
              <w:bottom w:val="nil"/>
              <w:right w:val="nil"/>
            </w:tcBorders>
            <w:shd w:val="clear" w:color="auto" w:fill="auto"/>
            <w:noWrap/>
            <w:vAlign w:val="center"/>
          </w:tcPr>
          <w:p w14:paraId="5C424065"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0.680952</w:t>
            </w:r>
          </w:p>
        </w:tc>
        <w:tc>
          <w:tcPr>
            <w:tcW w:w="1143" w:type="dxa"/>
            <w:tcBorders>
              <w:top w:val="nil"/>
              <w:left w:val="nil"/>
              <w:bottom w:val="nil"/>
              <w:right w:val="nil"/>
            </w:tcBorders>
            <w:shd w:val="clear" w:color="auto" w:fill="auto"/>
            <w:noWrap/>
            <w:vAlign w:val="center"/>
          </w:tcPr>
          <w:p w14:paraId="74AD370F"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0.767123</w:t>
            </w:r>
          </w:p>
        </w:tc>
        <w:tc>
          <w:tcPr>
            <w:tcW w:w="1558" w:type="dxa"/>
            <w:tcBorders>
              <w:top w:val="nil"/>
              <w:left w:val="nil"/>
              <w:bottom w:val="nil"/>
              <w:right w:val="nil"/>
            </w:tcBorders>
            <w:shd w:val="clear" w:color="auto" w:fill="auto"/>
            <w:noWrap/>
            <w:vAlign w:val="center"/>
          </w:tcPr>
          <w:p w14:paraId="34262885"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0.46729</w:t>
            </w:r>
          </w:p>
        </w:tc>
      </w:tr>
      <w:tr w:rsidR="00855071" w14:paraId="5BE0014C" w14:textId="77777777">
        <w:trPr>
          <w:trHeight w:val="283"/>
          <w:jc w:val="center"/>
        </w:trPr>
        <w:tc>
          <w:tcPr>
            <w:tcW w:w="1155" w:type="dxa"/>
            <w:tcBorders>
              <w:top w:val="nil"/>
              <w:left w:val="nil"/>
              <w:bottom w:val="nil"/>
              <w:right w:val="nil"/>
            </w:tcBorders>
            <w:shd w:val="clear" w:color="auto" w:fill="auto"/>
            <w:noWrap/>
            <w:vAlign w:val="center"/>
          </w:tcPr>
          <w:p w14:paraId="4831AB53"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301066</w:t>
            </w:r>
          </w:p>
        </w:tc>
        <w:tc>
          <w:tcPr>
            <w:tcW w:w="1082" w:type="dxa"/>
            <w:tcBorders>
              <w:top w:val="nil"/>
              <w:left w:val="nil"/>
              <w:bottom w:val="nil"/>
              <w:right w:val="nil"/>
            </w:tcBorders>
            <w:shd w:val="clear" w:color="auto" w:fill="auto"/>
            <w:noWrap/>
            <w:vAlign w:val="center"/>
          </w:tcPr>
          <w:p w14:paraId="348671AF"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0.533887</w:t>
            </w:r>
          </w:p>
        </w:tc>
        <w:tc>
          <w:tcPr>
            <w:tcW w:w="1020" w:type="dxa"/>
            <w:tcBorders>
              <w:top w:val="nil"/>
              <w:left w:val="nil"/>
              <w:bottom w:val="nil"/>
              <w:right w:val="nil"/>
            </w:tcBorders>
            <w:shd w:val="clear" w:color="auto" w:fill="auto"/>
            <w:noWrap/>
            <w:vAlign w:val="center"/>
          </w:tcPr>
          <w:p w14:paraId="24C41AF2"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0.554033</w:t>
            </w:r>
          </w:p>
        </w:tc>
        <w:tc>
          <w:tcPr>
            <w:tcW w:w="1020" w:type="dxa"/>
            <w:tcBorders>
              <w:top w:val="nil"/>
              <w:left w:val="nil"/>
              <w:bottom w:val="nil"/>
              <w:right w:val="nil"/>
            </w:tcBorders>
            <w:shd w:val="clear" w:color="auto" w:fill="auto"/>
            <w:noWrap/>
            <w:vAlign w:val="center"/>
          </w:tcPr>
          <w:p w14:paraId="124A7DA0"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0.553125</w:t>
            </w:r>
          </w:p>
        </w:tc>
        <w:tc>
          <w:tcPr>
            <w:tcW w:w="1143" w:type="dxa"/>
            <w:tcBorders>
              <w:top w:val="nil"/>
              <w:left w:val="nil"/>
              <w:bottom w:val="nil"/>
              <w:right w:val="nil"/>
            </w:tcBorders>
            <w:shd w:val="clear" w:color="auto" w:fill="auto"/>
            <w:noWrap/>
            <w:vAlign w:val="center"/>
          </w:tcPr>
          <w:p w14:paraId="4EC21015"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0.582192</w:t>
            </w:r>
          </w:p>
        </w:tc>
        <w:tc>
          <w:tcPr>
            <w:tcW w:w="1558" w:type="dxa"/>
            <w:tcBorders>
              <w:top w:val="nil"/>
              <w:left w:val="nil"/>
              <w:bottom w:val="nil"/>
              <w:right w:val="nil"/>
            </w:tcBorders>
            <w:shd w:val="clear" w:color="auto" w:fill="auto"/>
            <w:noWrap/>
            <w:vAlign w:val="center"/>
          </w:tcPr>
          <w:p w14:paraId="05EFCEDF"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0.245661</w:t>
            </w:r>
          </w:p>
        </w:tc>
      </w:tr>
      <w:tr w:rsidR="00855071" w14:paraId="66BA5082" w14:textId="77777777">
        <w:trPr>
          <w:trHeight w:val="283"/>
          <w:jc w:val="center"/>
        </w:trPr>
        <w:tc>
          <w:tcPr>
            <w:tcW w:w="1155" w:type="dxa"/>
            <w:tcBorders>
              <w:top w:val="nil"/>
              <w:left w:val="nil"/>
              <w:bottom w:val="nil"/>
              <w:right w:val="nil"/>
            </w:tcBorders>
            <w:shd w:val="clear" w:color="auto" w:fill="auto"/>
            <w:noWrap/>
            <w:vAlign w:val="center"/>
          </w:tcPr>
          <w:p w14:paraId="3B9EBAF8"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78188</w:t>
            </w:r>
          </w:p>
        </w:tc>
        <w:tc>
          <w:tcPr>
            <w:tcW w:w="1082" w:type="dxa"/>
            <w:tcBorders>
              <w:top w:val="nil"/>
              <w:left w:val="nil"/>
              <w:bottom w:val="nil"/>
              <w:right w:val="nil"/>
            </w:tcBorders>
            <w:shd w:val="clear" w:color="auto" w:fill="auto"/>
            <w:noWrap/>
            <w:vAlign w:val="center"/>
          </w:tcPr>
          <w:p w14:paraId="53778752"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0.420638</w:t>
            </w:r>
          </w:p>
        </w:tc>
        <w:tc>
          <w:tcPr>
            <w:tcW w:w="1020" w:type="dxa"/>
            <w:tcBorders>
              <w:top w:val="nil"/>
              <w:left w:val="nil"/>
              <w:bottom w:val="nil"/>
              <w:right w:val="nil"/>
            </w:tcBorders>
            <w:shd w:val="clear" w:color="auto" w:fill="auto"/>
            <w:noWrap/>
            <w:vAlign w:val="center"/>
          </w:tcPr>
          <w:p w14:paraId="2B8F3CB7"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0.393903</w:t>
            </w:r>
          </w:p>
        </w:tc>
        <w:tc>
          <w:tcPr>
            <w:tcW w:w="1020" w:type="dxa"/>
            <w:tcBorders>
              <w:top w:val="nil"/>
              <w:left w:val="nil"/>
              <w:bottom w:val="nil"/>
              <w:right w:val="nil"/>
            </w:tcBorders>
            <w:shd w:val="clear" w:color="auto" w:fill="auto"/>
            <w:noWrap/>
            <w:vAlign w:val="center"/>
          </w:tcPr>
          <w:p w14:paraId="31190FD9"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0.408631</w:t>
            </w:r>
          </w:p>
        </w:tc>
        <w:tc>
          <w:tcPr>
            <w:tcW w:w="1143" w:type="dxa"/>
            <w:tcBorders>
              <w:top w:val="nil"/>
              <w:left w:val="nil"/>
              <w:bottom w:val="nil"/>
              <w:right w:val="nil"/>
            </w:tcBorders>
            <w:shd w:val="clear" w:color="auto" w:fill="auto"/>
            <w:noWrap/>
            <w:vAlign w:val="center"/>
          </w:tcPr>
          <w:p w14:paraId="2981C9BB"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0.794521</w:t>
            </w:r>
          </w:p>
        </w:tc>
        <w:tc>
          <w:tcPr>
            <w:tcW w:w="1558" w:type="dxa"/>
            <w:tcBorders>
              <w:top w:val="nil"/>
              <w:left w:val="nil"/>
              <w:bottom w:val="nil"/>
              <w:right w:val="nil"/>
            </w:tcBorders>
            <w:shd w:val="clear" w:color="auto" w:fill="auto"/>
            <w:noWrap/>
            <w:vAlign w:val="center"/>
          </w:tcPr>
          <w:p w14:paraId="7324D2DD"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0.497997</w:t>
            </w:r>
          </w:p>
        </w:tc>
      </w:tr>
      <w:tr w:rsidR="00855071" w14:paraId="3875EB6C" w14:textId="77777777">
        <w:trPr>
          <w:trHeight w:val="283"/>
          <w:jc w:val="center"/>
        </w:trPr>
        <w:tc>
          <w:tcPr>
            <w:tcW w:w="1155" w:type="dxa"/>
            <w:tcBorders>
              <w:top w:val="nil"/>
              <w:left w:val="nil"/>
              <w:bottom w:val="nil"/>
              <w:right w:val="nil"/>
            </w:tcBorders>
            <w:shd w:val="clear" w:color="auto" w:fill="auto"/>
            <w:noWrap/>
            <w:vAlign w:val="center"/>
          </w:tcPr>
          <w:p w14:paraId="14AF7E8B"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327006</w:t>
            </w:r>
          </w:p>
        </w:tc>
        <w:tc>
          <w:tcPr>
            <w:tcW w:w="1082" w:type="dxa"/>
            <w:tcBorders>
              <w:top w:val="nil"/>
              <w:left w:val="nil"/>
              <w:bottom w:val="nil"/>
              <w:right w:val="nil"/>
            </w:tcBorders>
            <w:shd w:val="clear" w:color="auto" w:fill="auto"/>
            <w:noWrap/>
            <w:vAlign w:val="center"/>
          </w:tcPr>
          <w:p w14:paraId="2B9662E1"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0.517709</w:t>
            </w:r>
          </w:p>
        </w:tc>
        <w:tc>
          <w:tcPr>
            <w:tcW w:w="1020" w:type="dxa"/>
            <w:tcBorders>
              <w:top w:val="nil"/>
              <w:left w:val="nil"/>
              <w:bottom w:val="nil"/>
              <w:right w:val="nil"/>
            </w:tcBorders>
            <w:shd w:val="clear" w:color="auto" w:fill="auto"/>
            <w:noWrap/>
            <w:vAlign w:val="center"/>
          </w:tcPr>
          <w:p w14:paraId="435C170C"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0.299708</w:t>
            </w:r>
          </w:p>
        </w:tc>
        <w:tc>
          <w:tcPr>
            <w:tcW w:w="1020" w:type="dxa"/>
            <w:tcBorders>
              <w:top w:val="nil"/>
              <w:left w:val="nil"/>
              <w:bottom w:val="nil"/>
              <w:right w:val="nil"/>
            </w:tcBorders>
            <w:shd w:val="clear" w:color="auto" w:fill="auto"/>
            <w:noWrap/>
            <w:vAlign w:val="center"/>
          </w:tcPr>
          <w:p w14:paraId="3EED01E0"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0.564732</w:t>
            </w:r>
          </w:p>
        </w:tc>
        <w:tc>
          <w:tcPr>
            <w:tcW w:w="1143" w:type="dxa"/>
            <w:tcBorders>
              <w:top w:val="nil"/>
              <w:left w:val="nil"/>
              <w:bottom w:val="nil"/>
              <w:right w:val="nil"/>
            </w:tcBorders>
            <w:shd w:val="clear" w:color="auto" w:fill="auto"/>
            <w:noWrap/>
            <w:vAlign w:val="center"/>
          </w:tcPr>
          <w:p w14:paraId="256DB20A"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0.561644</w:t>
            </w:r>
          </w:p>
        </w:tc>
        <w:tc>
          <w:tcPr>
            <w:tcW w:w="1558" w:type="dxa"/>
            <w:tcBorders>
              <w:top w:val="nil"/>
              <w:left w:val="nil"/>
              <w:bottom w:val="nil"/>
              <w:right w:val="nil"/>
            </w:tcBorders>
            <w:shd w:val="clear" w:color="auto" w:fill="auto"/>
            <w:noWrap/>
            <w:vAlign w:val="center"/>
          </w:tcPr>
          <w:p w14:paraId="7C53DDEE"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0.283044</w:t>
            </w:r>
          </w:p>
        </w:tc>
      </w:tr>
      <w:tr w:rsidR="00855071" w14:paraId="2E73633E" w14:textId="77777777">
        <w:trPr>
          <w:trHeight w:val="283"/>
          <w:jc w:val="center"/>
        </w:trPr>
        <w:tc>
          <w:tcPr>
            <w:tcW w:w="1155" w:type="dxa"/>
            <w:tcBorders>
              <w:top w:val="nil"/>
              <w:left w:val="nil"/>
              <w:bottom w:val="nil"/>
              <w:right w:val="nil"/>
            </w:tcBorders>
            <w:shd w:val="clear" w:color="auto" w:fill="auto"/>
            <w:noWrap/>
            <w:vAlign w:val="center"/>
          </w:tcPr>
          <w:p w14:paraId="1ED560BC"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306561</w:t>
            </w:r>
          </w:p>
        </w:tc>
        <w:tc>
          <w:tcPr>
            <w:tcW w:w="1082" w:type="dxa"/>
            <w:tcBorders>
              <w:top w:val="nil"/>
              <w:left w:val="nil"/>
              <w:bottom w:val="nil"/>
              <w:right w:val="nil"/>
            </w:tcBorders>
            <w:shd w:val="clear" w:color="auto" w:fill="auto"/>
            <w:noWrap/>
            <w:vAlign w:val="center"/>
          </w:tcPr>
          <w:p w14:paraId="7AECBF3F"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0.444689</w:t>
            </w:r>
          </w:p>
        </w:tc>
        <w:tc>
          <w:tcPr>
            <w:tcW w:w="1020" w:type="dxa"/>
            <w:tcBorders>
              <w:top w:val="nil"/>
              <w:left w:val="nil"/>
              <w:bottom w:val="nil"/>
              <w:right w:val="nil"/>
            </w:tcBorders>
            <w:shd w:val="clear" w:color="auto" w:fill="auto"/>
            <w:noWrap/>
            <w:vAlign w:val="center"/>
          </w:tcPr>
          <w:p w14:paraId="6771C181"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0.455386</w:t>
            </w:r>
          </w:p>
        </w:tc>
        <w:tc>
          <w:tcPr>
            <w:tcW w:w="1020" w:type="dxa"/>
            <w:tcBorders>
              <w:top w:val="nil"/>
              <w:left w:val="nil"/>
              <w:bottom w:val="nil"/>
              <w:right w:val="nil"/>
            </w:tcBorders>
            <w:shd w:val="clear" w:color="auto" w:fill="auto"/>
            <w:noWrap/>
            <w:vAlign w:val="center"/>
          </w:tcPr>
          <w:p w14:paraId="1219682E"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0.318155</w:t>
            </w:r>
          </w:p>
        </w:tc>
        <w:tc>
          <w:tcPr>
            <w:tcW w:w="1143" w:type="dxa"/>
            <w:tcBorders>
              <w:top w:val="nil"/>
              <w:left w:val="nil"/>
              <w:bottom w:val="nil"/>
              <w:right w:val="nil"/>
            </w:tcBorders>
            <w:shd w:val="clear" w:color="auto" w:fill="auto"/>
            <w:noWrap/>
            <w:vAlign w:val="center"/>
          </w:tcPr>
          <w:p w14:paraId="73BE58EA"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0.493151</w:t>
            </w:r>
          </w:p>
        </w:tc>
        <w:tc>
          <w:tcPr>
            <w:tcW w:w="1558" w:type="dxa"/>
            <w:tcBorders>
              <w:top w:val="nil"/>
              <w:left w:val="nil"/>
              <w:bottom w:val="nil"/>
              <w:right w:val="nil"/>
            </w:tcBorders>
            <w:shd w:val="clear" w:color="auto" w:fill="auto"/>
            <w:noWrap/>
            <w:vAlign w:val="center"/>
          </w:tcPr>
          <w:p w14:paraId="68660FA7"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0.236315</w:t>
            </w:r>
          </w:p>
        </w:tc>
      </w:tr>
      <w:tr w:rsidR="00855071" w14:paraId="544D68D0" w14:textId="77777777">
        <w:trPr>
          <w:trHeight w:val="283"/>
          <w:jc w:val="center"/>
        </w:trPr>
        <w:tc>
          <w:tcPr>
            <w:tcW w:w="1155" w:type="dxa"/>
            <w:tcBorders>
              <w:top w:val="nil"/>
              <w:left w:val="nil"/>
              <w:bottom w:val="nil"/>
              <w:right w:val="nil"/>
            </w:tcBorders>
            <w:shd w:val="clear" w:color="auto" w:fill="auto"/>
            <w:noWrap/>
            <w:vAlign w:val="center"/>
          </w:tcPr>
          <w:p w14:paraId="1BB318BE"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216664</w:t>
            </w:r>
          </w:p>
        </w:tc>
        <w:tc>
          <w:tcPr>
            <w:tcW w:w="1082" w:type="dxa"/>
            <w:tcBorders>
              <w:top w:val="nil"/>
              <w:left w:val="nil"/>
              <w:bottom w:val="nil"/>
              <w:right w:val="nil"/>
            </w:tcBorders>
            <w:shd w:val="clear" w:color="auto" w:fill="auto"/>
            <w:noWrap/>
            <w:vAlign w:val="center"/>
          </w:tcPr>
          <w:p w14:paraId="40C8F4FC"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0.504593</w:t>
            </w:r>
          </w:p>
        </w:tc>
        <w:tc>
          <w:tcPr>
            <w:tcW w:w="1020" w:type="dxa"/>
            <w:tcBorders>
              <w:top w:val="nil"/>
              <w:left w:val="nil"/>
              <w:bottom w:val="nil"/>
              <w:right w:val="nil"/>
            </w:tcBorders>
            <w:shd w:val="clear" w:color="auto" w:fill="auto"/>
            <w:noWrap/>
            <w:vAlign w:val="center"/>
          </w:tcPr>
          <w:p w14:paraId="786B37B8"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0.788319</w:t>
            </w:r>
          </w:p>
        </w:tc>
        <w:tc>
          <w:tcPr>
            <w:tcW w:w="1020" w:type="dxa"/>
            <w:tcBorders>
              <w:top w:val="nil"/>
              <w:left w:val="nil"/>
              <w:bottom w:val="nil"/>
              <w:right w:val="nil"/>
            </w:tcBorders>
            <w:shd w:val="clear" w:color="auto" w:fill="auto"/>
            <w:noWrap/>
            <w:vAlign w:val="center"/>
          </w:tcPr>
          <w:p w14:paraId="44457552"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0.601637</w:t>
            </w:r>
          </w:p>
        </w:tc>
        <w:tc>
          <w:tcPr>
            <w:tcW w:w="1143" w:type="dxa"/>
            <w:tcBorders>
              <w:top w:val="nil"/>
              <w:left w:val="nil"/>
              <w:bottom w:val="nil"/>
              <w:right w:val="nil"/>
            </w:tcBorders>
            <w:shd w:val="clear" w:color="auto" w:fill="auto"/>
            <w:noWrap/>
            <w:vAlign w:val="center"/>
          </w:tcPr>
          <w:p w14:paraId="37B29EC9"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0.636986</w:t>
            </w:r>
          </w:p>
        </w:tc>
        <w:tc>
          <w:tcPr>
            <w:tcW w:w="1558" w:type="dxa"/>
            <w:tcBorders>
              <w:top w:val="nil"/>
              <w:left w:val="nil"/>
              <w:bottom w:val="nil"/>
              <w:right w:val="nil"/>
            </w:tcBorders>
            <w:shd w:val="clear" w:color="auto" w:fill="auto"/>
            <w:noWrap/>
            <w:vAlign w:val="center"/>
          </w:tcPr>
          <w:p w14:paraId="5A82503F"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0.261682</w:t>
            </w:r>
          </w:p>
        </w:tc>
      </w:tr>
      <w:tr w:rsidR="00855071" w14:paraId="69CB0234" w14:textId="77777777">
        <w:trPr>
          <w:trHeight w:val="292"/>
          <w:jc w:val="center"/>
        </w:trPr>
        <w:tc>
          <w:tcPr>
            <w:tcW w:w="1155" w:type="dxa"/>
            <w:tcBorders>
              <w:top w:val="nil"/>
              <w:left w:val="nil"/>
              <w:bottom w:val="single" w:sz="8" w:space="0" w:color="auto"/>
              <w:right w:val="nil"/>
            </w:tcBorders>
            <w:shd w:val="clear" w:color="auto" w:fill="auto"/>
            <w:noWrap/>
            <w:vAlign w:val="center"/>
          </w:tcPr>
          <w:p w14:paraId="38BACAEE"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239719</w:t>
            </w:r>
          </w:p>
        </w:tc>
        <w:tc>
          <w:tcPr>
            <w:tcW w:w="1082" w:type="dxa"/>
            <w:tcBorders>
              <w:top w:val="nil"/>
              <w:left w:val="nil"/>
              <w:bottom w:val="single" w:sz="8" w:space="0" w:color="auto"/>
              <w:right w:val="nil"/>
            </w:tcBorders>
            <w:shd w:val="clear" w:color="auto" w:fill="auto"/>
            <w:noWrap/>
            <w:vAlign w:val="center"/>
          </w:tcPr>
          <w:p w14:paraId="7107DE5B"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0.645824</w:t>
            </w:r>
          </w:p>
        </w:tc>
        <w:tc>
          <w:tcPr>
            <w:tcW w:w="1020" w:type="dxa"/>
            <w:tcBorders>
              <w:top w:val="nil"/>
              <w:left w:val="nil"/>
              <w:bottom w:val="single" w:sz="8" w:space="0" w:color="auto"/>
              <w:right w:val="nil"/>
            </w:tcBorders>
            <w:shd w:val="clear" w:color="auto" w:fill="auto"/>
            <w:noWrap/>
            <w:vAlign w:val="center"/>
          </w:tcPr>
          <w:p w14:paraId="55EA375A"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0.586402</w:t>
            </w:r>
          </w:p>
        </w:tc>
        <w:tc>
          <w:tcPr>
            <w:tcW w:w="1020" w:type="dxa"/>
            <w:tcBorders>
              <w:top w:val="nil"/>
              <w:left w:val="nil"/>
              <w:bottom w:val="single" w:sz="8" w:space="0" w:color="auto"/>
              <w:right w:val="nil"/>
            </w:tcBorders>
            <w:shd w:val="clear" w:color="auto" w:fill="auto"/>
            <w:noWrap/>
            <w:vAlign w:val="center"/>
          </w:tcPr>
          <w:p w14:paraId="155A5FEC"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0.545982</w:t>
            </w:r>
          </w:p>
        </w:tc>
        <w:tc>
          <w:tcPr>
            <w:tcW w:w="1143" w:type="dxa"/>
            <w:tcBorders>
              <w:top w:val="nil"/>
              <w:left w:val="nil"/>
              <w:bottom w:val="single" w:sz="8" w:space="0" w:color="auto"/>
              <w:right w:val="nil"/>
            </w:tcBorders>
            <w:shd w:val="clear" w:color="auto" w:fill="auto"/>
            <w:noWrap/>
            <w:vAlign w:val="center"/>
          </w:tcPr>
          <w:p w14:paraId="471EAD9C"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0.424658</w:t>
            </w:r>
          </w:p>
        </w:tc>
        <w:tc>
          <w:tcPr>
            <w:tcW w:w="1558" w:type="dxa"/>
            <w:tcBorders>
              <w:top w:val="nil"/>
              <w:left w:val="nil"/>
              <w:bottom w:val="single" w:sz="8" w:space="0" w:color="auto"/>
              <w:right w:val="nil"/>
            </w:tcBorders>
            <w:shd w:val="clear" w:color="auto" w:fill="auto"/>
            <w:noWrap/>
            <w:vAlign w:val="center"/>
          </w:tcPr>
          <w:p w14:paraId="7EF72172"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0.134846</w:t>
            </w:r>
          </w:p>
        </w:tc>
      </w:tr>
    </w:tbl>
    <w:p w14:paraId="596B325D" w14:textId="77777777" w:rsidR="00D71942" w:rsidRDefault="00D71942" w:rsidP="00262ED5">
      <w:pPr>
        <w:rPr>
          <w:rFonts w:ascii="Times New Roman" w:hAnsi="Times New Roman" w:cs="Times New Roman"/>
          <w:szCs w:val="21"/>
        </w:rPr>
      </w:pPr>
    </w:p>
    <w:p w14:paraId="376721B0" w14:textId="77777777" w:rsidR="00855071" w:rsidRPr="00262ED5" w:rsidRDefault="00E34CC2" w:rsidP="00262ED5">
      <w:pPr>
        <w:pStyle w:val="1"/>
        <w:spacing w:before="100" w:after="0" w:line="240" w:lineRule="exact"/>
        <w:rPr>
          <w:rFonts w:ascii="Times New Roman" w:hAnsi="Times New Roman" w:cs="Times New Roman"/>
          <w:sz w:val="28"/>
          <w:szCs w:val="28"/>
          <w:shd w:val="clear" w:color="auto" w:fill="FFFFFF"/>
        </w:rPr>
      </w:pPr>
      <w:r w:rsidRPr="00262ED5">
        <w:rPr>
          <w:rFonts w:ascii="Times New Roman" w:hAnsi="Times New Roman" w:cs="Times New Roman"/>
          <w:sz w:val="28"/>
          <w:szCs w:val="28"/>
          <w:shd w:val="clear" w:color="auto" w:fill="FFFFFF"/>
        </w:rPr>
        <w:t>Coupled Carbon Density Estimation Model</w:t>
      </w:r>
    </w:p>
    <w:p w14:paraId="14629775" w14:textId="7D74095E" w:rsidR="00D71942" w:rsidRDefault="0091356B" w:rsidP="00D3226D">
      <w:pPr>
        <w:ind w:firstLineChars="200" w:firstLine="420"/>
        <w:jc w:val="center"/>
        <w:rPr>
          <w:rFonts w:ascii="Times New Roman" w:hAnsi="Times New Roman" w:cs="Times New Roman"/>
          <w:szCs w:val="21"/>
        </w:rPr>
      </w:pPr>
      <w:r w:rsidRPr="0091356B">
        <w:rPr>
          <w:rFonts w:ascii="Times New Roman" w:hAnsi="Times New Roman" w:cs="Times New Roman"/>
          <w:szCs w:val="21"/>
        </w:rPr>
        <w:t>The study utilizes the ARIMA model to forecast the mean carbon density from 2015 to 2020 based on carbon density statistical data from 2000 to 2014. Additionally, the CatBoost model spatially partitions carbon density levels in the study area using various influencing factors. The ARIMA model's carbon density predictions provide temporal constraints for the carbon density values estimated by the RNN model. Meanwhile, the spatial classification results from the CatBoost model impose spatial constraints on the carbon density values estimated by the RNN model, thereby achieving high-precision carbon density estimation.</w:t>
      </w:r>
      <w:r w:rsidR="00D71942" w:rsidRPr="00186E74">
        <w:rPr>
          <w:rFonts w:hint="eastAsia"/>
          <w:noProof/>
        </w:rPr>
        <w:lastRenderedPageBreak/>
        <w:drawing>
          <wp:inline distT="0" distB="0" distL="0" distR="0" wp14:anchorId="2AF4545F" wp14:editId="7A559062">
            <wp:extent cx="3999600" cy="3960000"/>
            <wp:effectExtent l="0" t="0" r="127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999600" cy="3960000"/>
                    </a:xfrm>
                    <a:prstGeom prst="rect">
                      <a:avLst/>
                    </a:prstGeom>
                    <a:noFill/>
                    <a:ln>
                      <a:noFill/>
                    </a:ln>
                  </pic:spPr>
                </pic:pic>
              </a:graphicData>
            </a:graphic>
          </wp:inline>
        </w:drawing>
      </w:r>
    </w:p>
    <w:p w14:paraId="56480DFD" w14:textId="051CC8C3" w:rsidR="00D71942" w:rsidRDefault="00262ED5" w:rsidP="00DB37BF">
      <w:pPr>
        <w:widowControl/>
        <w:spacing w:line="200" w:lineRule="exact"/>
        <w:jc w:val="center"/>
        <w:rPr>
          <w:rFonts w:ascii="Times New Roman" w:eastAsia="宋体" w:hAnsi="Times New Roman"/>
          <w:b/>
          <w:bCs/>
          <w:sz w:val="18"/>
          <w:szCs w:val="18"/>
        </w:rPr>
      </w:pPr>
      <w:r w:rsidRPr="00F10EE6">
        <w:rPr>
          <w:rFonts w:ascii="Times New Roman" w:eastAsia="宋体" w:hAnsi="Times New Roman"/>
          <w:b/>
          <w:bCs/>
          <w:sz w:val="18"/>
          <w:szCs w:val="18"/>
        </w:rPr>
        <w:t xml:space="preserve">Supplementary Fig. </w:t>
      </w:r>
      <w:r w:rsidR="00873B16">
        <w:rPr>
          <w:rFonts w:ascii="Times New Roman" w:eastAsia="宋体" w:hAnsi="Times New Roman"/>
          <w:b/>
          <w:bCs/>
          <w:sz w:val="18"/>
          <w:szCs w:val="18"/>
        </w:rPr>
        <w:t>4</w:t>
      </w:r>
      <w:r w:rsidR="00D71942" w:rsidRPr="00F10EE6">
        <w:rPr>
          <w:rFonts w:ascii="Times New Roman" w:eastAsia="宋体" w:hAnsi="Times New Roman"/>
          <w:b/>
          <w:bCs/>
          <w:sz w:val="18"/>
          <w:szCs w:val="18"/>
        </w:rPr>
        <w:t xml:space="preserve"> Multi-model coupling structure diagram</w:t>
      </w:r>
    </w:p>
    <w:p w14:paraId="212F3A8B" w14:textId="77777777" w:rsidR="00DB37BF" w:rsidRPr="00DB37BF" w:rsidRDefault="00DB37BF" w:rsidP="00DB37BF">
      <w:pPr>
        <w:widowControl/>
        <w:spacing w:line="200" w:lineRule="exact"/>
        <w:jc w:val="center"/>
        <w:rPr>
          <w:rFonts w:ascii="Times New Roman" w:eastAsia="宋体" w:hAnsi="Times New Roman"/>
          <w:b/>
          <w:bCs/>
          <w:sz w:val="18"/>
          <w:szCs w:val="18"/>
        </w:rPr>
      </w:pPr>
    </w:p>
    <w:p w14:paraId="0A1FC588" w14:textId="28F001F1" w:rsidR="00855071" w:rsidRDefault="00F644B6" w:rsidP="00262ED5">
      <w:pPr>
        <w:pStyle w:val="2"/>
        <w:spacing w:before="0" w:after="0" w:line="300" w:lineRule="exact"/>
        <w:rPr>
          <w:rFonts w:ascii="Times New Roman" w:hAnsi="Times New Roman" w:cs="Times New Roman"/>
          <w:b w:val="0"/>
          <w:bCs w:val="0"/>
          <w:sz w:val="24"/>
          <w:szCs w:val="24"/>
          <w:shd w:val="clear" w:color="auto" w:fill="F5F5F5"/>
        </w:rPr>
      </w:pPr>
      <w:r w:rsidRPr="00F644B6">
        <w:rPr>
          <w:rFonts w:ascii="Times New Roman" w:hAnsi="Times New Roman" w:cs="Times New Roman"/>
          <w:b w:val="0"/>
          <w:bCs w:val="0"/>
          <w:sz w:val="24"/>
          <w:szCs w:val="24"/>
          <w:shd w:val="clear" w:color="auto" w:fill="F5F5F5"/>
        </w:rPr>
        <w:t>Building</w:t>
      </w:r>
      <w:r>
        <w:rPr>
          <w:rFonts w:ascii="Times New Roman" w:hAnsi="Times New Roman" w:cs="Times New Roman"/>
          <w:b w:val="0"/>
          <w:bCs w:val="0"/>
          <w:sz w:val="24"/>
          <w:szCs w:val="24"/>
          <w:shd w:val="clear" w:color="auto" w:fill="F5F5F5"/>
        </w:rPr>
        <w:t xml:space="preserve"> </w:t>
      </w:r>
      <w:r w:rsidRPr="00F644B6">
        <w:rPr>
          <w:rFonts w:ascii="Times New Roman" w:hAnsi="Times New Roman" w:cs="Times New Roman"/>
          <w:b w:val="0"/>
          <w:bCs w:val="0"/>
          <w:sz w:val="24"/>
          <w:szCs w:val="24"/>
          <w:shd w:val="clear" w:color="auto" w:fill="F5F5F5"/>
        </w:rPr>
        <w:t>the</w:t>
      </w:r>
      <w:r>
        <w:rPr>
          <w:rFonts w:ascii="Times New Roman" w:hAnsi="Times New Roman" w:cs="Times New Roman"/>
          <w:b w:val="0"/>
          <w:bCs w:val="0"/>
          <w:sz w:val="24"/>
          <w:szCs w:val="24"/>
          <w:shd w:val="clear" w:color="auto" w:fill="F5F5F5"/>
        </w:rPr>
        <w:t xml:space="preserve"> </w:t>
      </w:r>
      <w:r w:rsidR="00E34CC2" w:rsidRPr="00262ED5">
        <w:rPr>
          <w:rFonts w:ascii="Times New Roman" w:hAnsi="Times New Roman" w:cs="Times New Roman"/>
          <w:b w:val="0"/>
          <w:bCs w:val="0"/>
          <w:sz w:val="24"/>
          <w:szCs w:val="24"/>
          <w:shd w:val="clear" w:color="auto" w:fill="F5F5F5"/>
        </w:rPr>
        <w:t>ARIMA Model</w:t>
      </w:r>
    </w:p>
    <w:p w14:paraId="5F9D1118" w14:textId="733E463D" w:rsidR="00855071" w:rsidRPr="008120A9" w:rsidRDefault="008120A9" w:rsidP="00D3226D">
      <w:pPr>
        <w:ind w:firstLineChars="200" w:firstLine="420"/>
        <w:jc w:val="center"/>
        <w:rPr>
          <w:rFonts w:ascii="Times New Roman" w:hAnsi="Times New Roman" w:cs="Times New Roman"/>
          <w:szCs w:val="21"/>
        </w:rPr>
      </w:pPr>
      <w:r w:rsidRPr="008120A9">
        <w:rPr>
          <w:rFonts w:ascii="Times New Roman" w:hAnsi="Times New Roman" w:cs="Times New Roman"/>
          <w:szCs w:val="21"/>
        </w:rPr>
        <w:t xml:space="preserve">The parameter determination process of the ARIMA model begins with data differencing to smooth the input data and ascertain the value of parameter </w:t>
      </w:r>
      <w:r w:rsidRPr="008120A9">
        <w:rPr>
          <w:rFonts w:ascii="Cambria Math" w:hAnsi="Cambria Math" w:cs="Cambria Math"/>
          <w:szCs w:val="21"/>
        </w:rPr>
        <w:t>𝑑</w:t>
      </w:r>
      <w:r w:rsidRPr="008120A9">
        <w:rPr>
          <w:rFonts w:ascii="Times New Roman" w:hAnsi="Times New Roman" w:cs="Times New Roman"/>
          <w:szCs w:val="21"/>
        </w:rPr>
        <w:t xml:space="preserve">. Subsequently, values for </w:t>
      </w:r>
      <w:r w:rsidRPr="008120A9">
        <w:rPr>
          <w:rFonts w:ascii="Cambria Math" w:hAnsi="Cambria Math" w:cs="Cambria Math"/>
          <w:szCs w:val="21"/>
        </w:rPr>
        <w:t>𝑝</w:t>
      </w:r>
      <w:r w:rsidRPr="008120A9">
        <w:rPr>
          <w:rFonts w:ascii="Times New Roman" w:hAnsi="Times New Roman" w:cs="Times New Roman"/>
          <w:szCs w:val="21"/>
        </w:rPr>
        <w:t xml:space="preserve"> and </w:t>
      </w:r>
      <w:r w:rsidRPr="008120A9">
        <w:rPr>
          <w:rFonts w:ascii="Cambria Math" w:hAnsi="Cambria Math" w:cs="Cambria Math"/>
          <w:szCs w:val="21"/>
        </w:rPr>
        <w:t>𝑞</w:t>
      </w:r>
      <w:r w:rsidRPr="008120A9">
        <w:rPr>
          <w:rFonts w:ascii="Times New Roman" w:hAnsi="Times New Roman" w:cs="Times New Roman"/>
          <w:szCs w:val="21"/>
        </w:rPr>
        <w:t xml:space="preserve"> are determined based on minimizing the Akaike Information Criterion (AIC) and Bayesian Information Criterion(BIC).</w:t>
      </w:r>
      <w:r w:rsidR="00E34CC2">
        <w:rPr>
          <w:rFonts w:ascii="Times New Roman" w:eastAsia="宋体" w:hAnsi="Times New Roman"/>
          <w:noProof/>
          <w:sz w:val="24"/>
        </w:rPr>
        <w:drawing>
          <wp:inline distT="0" distB="0" distL="0" distR="0" wp14:anchorId="5200822E" wp14:editId="788EF4E0">
            <wp:extent cx="4679950" cy="2339975"/>
            <wp:effectExtent l="0" t="0" r="635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4680000" cy="2340000"/>
                    </a:xfrm>
                    <a:prstGeom prst="rect">
                      <a:avLst/>
                    </a:prstGeom>
                    <a:noFill/>
                    <a:ln>
                      <a:noFill/>
                    </a:ln>
                  </pic:spPr>
                </pic:pic>
              </a:graphicData>
            </a:graphic>
          </wp:inline>
        </w:drawing>
      </w:r>
    </w:p>
    <w:p w14:paraId="27A5A315" w14:textId="2D6BDB4C" w:rsidR="00855071" w:rsidRPr="00F10EE6" w:rsidRDefault="00262ED5">
      <w:pPr>
        <w:widowControl/>
        <w:spacing w:line="200" w:lineRule="exact"/>
        <w:jc w:val="center"/>
        <w:rPr>
          <w:rFonts w:ascii="Times New Roman" w:eastAsia="宋体" w:hAnsi="Times New Roman"/>
          <w:b/>
          <w:bCs/>
          <w:sz w:val="18"/>
          <w:szCs w:val="18"/>
        </w:rPr>
      </w:pPr>
      <w:bookmarkStart w:id="2" w:name="_Hlk170749167"/>
      <w:r w:rsidRPr="00F10EE6">
        <w:rPr>
          <w:rFonts w:ascii="Times New Roman" w:eastAsia="宋体" w:hAnsi="Times New Roman"/>
          <w:b/>
          <w:bCs/>
          <w:sz w:val="18"/>
          <w:szCs w:val="18"/>
        </w:rPr>
        <w:t xml:space="preserve">Supplementary Fig. </w:t>
      </w:r>
      <w:bookmarkEnd w:id="2"/>
      <w:r w:rsidR="00873B16">
        <w:rPr>
          <w:rFonts w:ascii="Times New Roman" w:eastAsia="宋体" w:hAnsi="Times New Roman"/>
          <w:b/>
          <w:bCs/>
          <w:sz w:val="18"/>
          <w:szCs w:val="18"/>
        </w:rPr>
        <w:t>5</w:t>
      </w:r>
      <w:r w:rsidR="00E34CC2" w:rsidRPr="00F10EE6">
        <w:rPr>
          <w:rFonts w:ascii="Times New Roman" w:eastAsia="宋体" w:hAnsi="Times New Roman"/>
          <w:b/>
          <w:bCs/>
          <w:sz w:val="18"/>
          <w:szCs w:val="18"/>
        </w:rPr>
        <w:t>. ARIMA Model Parameter Selection</w:t>
      </w:r>
    </w:p>
    <w:p w14:paraId="0C539EAD" w14:textId="77777777" w:rsidR="00F644B6" w:rsidRPr="00F644B6" w:rsidRDefault="00F644B6" w:rsidP="00F644B6">
      <w:pPr>
        <w:pStyle w:val="2"/>
        <w:spacing w:before="0" w:after="0" w:line="300" w:lineRule="exact"/>
        <w:rPr>
          <w:rFonts w:ascii="Times New Roman" w:hAnsi="Times New Roman" w:cs="Times New Roman"/>
          <w:b w:val="0"/>
          <w:bCs w:val="0"/>
          <w:sz w:val="24"/>
          <w:szCs w:val="24"/>
          <w:shd w:val="clear" w:color="auto" w:fill="F5F5F5"/>
        </w:rPr>
      </w:pPr>
      <w:r w:rsidRPr="00F644B6">
        <w:rPr>
          <w:rFonts w:ascii="Times New Roman" w:hAnsi="Times New Roman" w:cs="Times New Roman"/>
          <w:b w:val="0"/>
          <w:bCs w:val="0"/>
          <w:sz w:val="24"/>
          <w:szCs w:val="24"/>
          <w:shd w:val="clear" w:color="auto" w:fill="F5F5F5"/>
        </w:rPr>
        <w:t>CatBoost Model Accuracy Validation</w:t>
      </w:r>
    </w:p>
    <w:p w14:paraId="5349D803" w14:textId="71860DA0" w:rsidR="00855071" w:rsidRDefault="00F10EE6">
      <w:pPr>
        <w:ind w:firstLineChars="200" w:firstLine="420"/>
        <w:rPr>
          <w:rFonts w:ascii="Times New Roman" w:hAnsi="Times New Roman" w:cs="Times New Roman"/>
          <w:szCs w:val="21"/>
        </w:rPr>
      </w:pPr>
      <w:r w:rsidRPr="00F10EE6">
        <w:rPr>
          <w:rFonts w:ascii="Times New Roman" w:hAnsi="Times New Roman" w:cs="Times New Roman"/>
          <w:szCs w:val="21"/>
        </w:rPr>
        <w:t>Supplementary Fig. 5</w:t>
      </w:r>
      <w:r w:rsidR="00E34CC2">
        <w:rPr>
          <w:rFonts w:ascii="Times New Roman" w:hAnsi="Times New Roman" w:cs="Times New Roman"/>
          <w:szCs w:val="21"/>
        </w:rPr>
        <w:t xml:space="preserve"> shows the validation process for the aboveground carbon density classification results: the left figure represents the validation data for aboveground carbon density, while the right figure represents the carbon density levels predicted by the CatBoost model. The model's prediction results were validated at different spatial scales. As shown in the figure, the </w:t>
      </w:r>
      <w:r w:rsidR="00E34CC2">
        <w:rPr>
          <w:rFonts w:ascii="Times New Roman" w:hAnsi="Times New Roman" w:cs="Times New Roman"/>
          <w:szCs w:val="21"/>
        </w:rPr>
        <w:lastRenderedPageBreak/>
        <w:t>CatBoost model's prediction results at large and regional scales were highly consistent with the actual situation. Although the prediction error at the finer scale was slightly larger, it could still basically depict the true distribution of carbon density levels. The classification accuracy of each category was evaluated using the F1 score, which comprehensively considers precision and recall, while the overall accuracy of the model was assessed using the accuracy metric.</w:t>
      </w:r>
    </w:p>
    <w:p w14:paraId="52F0CAEC" w14:textId="77777777" w:rsidR="00855071" w:rsidRDefault="00E34CC2">
      <w:pPr>
        <w:jc w:val="center"/>
        <w:rPr>
          <w:rFonts w:ascii="Times New Roman" w:hAnsi="Times New Roman" w:cs="Times New Roman"/>
          <w:szCs w:val="21"/>
        </w:rPr>
      </w:pPr>
      <w:r>
        <w:rPr>
          <w:noProof/>
        </w:rPr>
        <w:drawing>
          <wp:inline distT="0" distB="0" distL="0" distR="0" wp14:anchorId="1F55313C" wp14:editId="224E8804">
            <wp:extent cx="5274310" cy="1741170"/>
            <wp:effectExtent l="0" t="0" r="254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5274310" cy="1741569"/>
                    </a:xfrm>
                    <a:prstGeom prst="rect">
                      <a:avLst/>
                    </a:prstGeom>
                    <a:noFill/>
                    <a:ln>
                      <a:noFill/>
                    </a:ln>
                  </pic:spPr>
                </pic:pic>
              </a:graphicData>
            </a:graphic>
          </wp:inline>
        </w:drawing>
      </w:r>
    </w:p>
    <w:p w14:paraId="5F1C4AB6" w14:textId="3A4715BC" w:rsidR="00F10EE6" w:rsidRDefault="00262ED5" w:rsidP="00F10EE6">
      <w:pPr>
        <w:rPr>
          <w:rFonts w:ascii="Times New Roman" w:eastAsia="宋体" w:hAnsi="Times New Roman"/>
          <w:sz w:val="18"/>
          <w:szCs w:val="18"/>
        </w:rPr>
      </w:pPr>
      <w:bookmarkStart w:id="3" w:name="_Hlk170749291"/>
      <w:r w:rsidRPr="00F10EE6">
        <w:rPr>
          <w:rFonts w:ascii="Times New Roman" w:eastAsia="宋体" w:hAnsi="Times New Roman"/>
          <w:b/>
          <w:bCs/>
          <w:sz w:val="18"/>
          <w:szCs w:val="18"/>
        </w:rPr>
        <w:t xml:space="preserve">Supplementary Fig. </w:t>
      </w:r>
      <w:bookmarkEnd w:id="3"/>
      <w:r w:rsidR="00873B16">
        <w:rPr>
          <w:rFonts w:ascii="Times New Roman" w:eastAsia="宋体" w:hAnsi="Times New Roman"/>
          <w:b/>
          <w:bCs/>
          <w:sz w:val="18"/>
          <w:szCs w:val="18"/>
        </w:rPr>
        <w:t>6</w:t>
      </w:r>
      <w:r w:rsidR="00E34CC2" w:rsidRPr="00F10EE6">
        <w:rPr>
          <w:rFonts w:ascii="Times New Roman" w:eastAsia="宋体" w:hAnsi="Times New Roman"/>
          <w:b/>
          <w:bCs/>
          <w:sz w:val="18"/>
          <w:szCs w:val="18"/>
        </w:rPr>
        <w:t>. Verification of aboveground carbon density grading results</w:t>
      </w:r>
      <w:r w:rsidR="00F10EE6">
        <w:rPr>
          <w:rFonts w:ascii="Times New Roman" w:eastAsia="宋体" w:hAnsi="Times New Roman" w:hint="eastAsia"/>
          <w:b/>
          <w:bCs/>
          <w:sz w:val="18"/>
          <w:szCs w:val="18"/>
        </w:rPr>
        <w:t>.</w:t>
      </w:r>
      <w:r w:rsidR="00F10EE6" w:rsidRPr="00F10EE6">
        <w:t xml:space="preserve"> </w:t>
      </w:r>
      <w:r w:rsidR="00F10EE6" w:rsidRPr="00F10EE6">
        <w:rPr>
          <w:rFonts w:ascii="Times New Roman" w:eastAsia="宋体" w:hAnsi="Times New Roman"/>
          <w:sz w:val="18"/>
          <w:szCs w:val="18"/>
        </w:rPr>
        <w:t>Panel a shows the soil carbon density classification results using CatBoost in 2010. Panel b displays the carbon density distribution of the soil validation dataset in Xinjiang for the year 2010.</w:t>
      </w:r>
    </w:p>
    <w:p w14:paraId="3FD5F8FF" w14:textId="223ED273" w:rsidR="00855071" w:rsidRDefault="00E34CC2" w:rsidP="00F10EE6">
      <w:pPr>
        <w:ind w:firstLineChars="200" w:firstLine="420"/>
        <w:rPr>
          <w:rFonts w:ascii="Times New Roman" w:hAnsi="Times New Roman" w:cs="Times New Roman"/>
          <w:szCs w:val="21"/>
        </w:rPr>
      </w:pPr>
      <w:r>
        <w:rPr>
          <w:rFonts w:ascii="Times New Roman" w:hAnsi="Times New Roman" w:cs="Times New Roman"/>
          <w:szCs w:val="21"/>
        </w:rPr>
        <w:t xml:space="preserve">Precision is the ratio of correctly predicted instances of a category to the total predicted instances of that category; recall is the ratio of correctly predicted instances to the total instances of that category in the validation data; the F1 score is the harmonic mean of precision and recall; accuracy is the ratio of correctly predicted instances to the total instances. The F1 score indicates that the carbon density classification models for soil, underground, and aboveground have high recognition accuracy for low carbon density cells, moderate accuracy for high carbon density, and low accuracy for medium carbon density. This is because low and high carbon density data have distinct characteristics, while medium density data are influenced by both, making differentiation difficult. The accuracy metrics for soil, aboveground, and underground carbon density models are 0.92, 0.86, and 0.85, respectively, with a mean of 0.876, indicating the CatBoost model accurately distinguishes carbon density levels across grid cells. </w:t>
      </w:r>
    </w:p>
    <w:p w14:paraId="0EBE148C" w14:textId="33D7DE6F" w:rsidR="00855071" w:rsidRDefault="00262ED5">
      <w:pPr>
        <w:jc w:val="center"/>
        <w:rPr>
          <w:rFonts w:ascii="Times New Roman" w:eastAsia="宋体" w:hAnsi="Times New Roman"/>
          <w:sz w:val="18"/>
          <w:szCs w:val="18"/>
        </w:rPr>
      </w:pPr>
      <w:bookmarkStart w:id="4" w:name="_Hlk170749321"/>
      <w:r w:rsidRPr="006D5163">
        <w:rPr>
          <w:rFonts w:ascii="Times New Roman" w:eastAsia="宋体" w:hAnsi="Times New Roman"/>
          <w:sz w:val="18"/>
          <w:szCs w:val="18"/>
        </w:rPr>
        <w:t xml:space="preserve">Supplementary Table </w:t>
      </w:r>
      <w:r>
        <w:rPr>
          <w:rFonts w:ascii="Times New Roman" w:eastAsia="宋体" w:hAnsi="Times New Roman"/>
          <w:sz w:val="18"/>
          <w:szCs w:val="18"/>
        </w:rPr>
        <w:t>3</w:t>
      </w:r>
      <w:bookmarkEnd w:id="4"/>
      <w:r w:rsidR="00E34CC2">
        <w:rPr>
          <w:rFonts w:ascii="Times New Roman" w:eastAsia="宋体" w:hAnsi="Times New Roman"/>
          <w:sz w:val="18"/>
          <w:szCs w:val="18"/>
        </w:rPr>
        <w:t>. CatBoost Model Training Accuracy Evaluation</w:t>
      </w:r>
    </w:p>
    <w:tbl>
      <w:tblPr>
        <w:tblW w:w="8722" w:type="dxa"/>
        <w:jc w:val="center"/>
        <w:tblLook w:val="04A0" w:firstRow="1" w:lastRow="0" w:firstColumn="1" w:lastColumn="0" w:noHBand="0" w:noVBand="1"/>
      </w:tblPr>
      <w:tblGrid>
        <w:gridCol w:w="1846"/>
        <w:gridCol w:w="857"/>
        <w:gridCol w:w="572"/>
        <w:gridCol w:w="837"/>
        <w:gridCol w:w="803"/>
        <w:gridCol w:w="572"/>
        <w:gridCol w:w="899"/>
        <w:gridCol w:w="803"/>
        <w:gridCol w:w="572"/>
        <w:gridCol w:w="961"/>
      </w:tblGrid>
      <w:tr w:rsidR="00855071" w14:paraId="6BCB80D6" w14:textId="77777777">
        <w:trPr>
          <w:trHeight w:val="318"/>
          <w:jc w:val="center"/>
        </w:trPr>
        <w:tc>
          <w:tcPr>
            <w:tcW w:w="1846" w:type="dxa"/>
            <w:vMerge w:val="restart"/>
            <w:tcBorders>
              <w:top w:val="single" w:sz="8" w:space="0" w:color="auto"/>
              <w:left w:val="nil"/>
              <w:bottom w:val="single" w:sz="4" w:space="0" w:color="000000"/>
              <w:right w:val="nil"/>
            </w:tcBorders>
            <w:shd w:val="clear" w:color="auto" w:fill="auto"/>
            <w:noWrap/>
            <w:vAlign w:val="center"/>
          </w:tcPr>
          <w:p w14:paraId="2D270465" w14:textId="77777777" w:rsidR="00855071" w:rsidRDefault="00E34CC2">
            <w:pPr>
              <w:widowControl/>
              <w:jc w:val="center"/>
              <w:rPr>
                <w:rFonts w:ascii="Times New Roman" w:eastAsia="宋体" w:hAnsi="Times New Roman" w:cs="Times New Roman"/>
                <w:b/>
                <w:bCs/>
                <w:color w:val="0D0D0D"/>
                <w:kern w:val="0"/>
                <w:sz w:val="16"/>
                <w:szCs w:val="16"/>
              </w:rPr>
            </w:pPr>
            <w:r>
              <w:rPr>
                <w:rFonts w:ascii="Times New Roman" w:eastAsia="宋体" w:hAnsi="Times New Roman" w:cs="Times New Roman"/>
                <w:b/>
                <w:bCs/>
                <w:color w:val="0D0D0D"/>
                <w:kern w:val="0"/>
                <w:sz w:val="16"/>
                <w:szCs w:val="16"/>
              </w:rPr>
              <w:t>Carbon Density Grade</w:t>
            </w:r>
          </w:p>
        </w:tc>
        <w:tc>
          <w:tcPr>
            <w:tcW w:w="2266" w:type="dxa"/>
            <w:gridSpan w:val="3"/>
            <w:tcBorders>
              <w:top w:val="single" w:sz="8" w:space="0" w:color="auto"/>
              <w:left w:val="nil"/>
              <w:bottom w:val="nil"/>
              <w:right w:val="nil"/>
            </w:tcBorders>
            <w:shd w:val="clear" w:color="auto" w:fill="auto"/>
            <w:noWrap/>
            <w:vAlign w:val="center"/>
          </w:tcPr>
          <w:p w14:paraId="4CE05FBF" w14:textId="77777777" w:rsidR="00855071" w:rsidRDefault="00E34CC2">
            <w:pPr>
              <w:widowControl/>
              <w:jc w:val="center"/>
              <w:rPr>
                <w:rFonts w:ascii="Times New Roman" w:eastAsia="宋体" w:hAnsi="Times New Roman" w:cs="Times New Roman"/>
                <w:b/>
                <w:bCs/>
                <w:color w:val="000000"/>
                <w:kern w:val="0"/>
                <w:sz w:val="16"/>
                <w:szCs w:val="16"/>
              </w:rPr>
            </w:pPr>
            <w:r>
              <w:rPr>
                <w:rFonts w:ascii="Times New Roman" w:eastAsia="宋体" w:hAnsi="Times New Roman" w:cs="Times New Roman"/>
                <w:b/>
                <w:bCs/>
                <w:color w:val="000000"/>
                <w:kern w:val="0"/>
                <w:sz w:val="16"/>
                <w:szCs w:val="16"/>
              </w:rPr>
              <w:t>Soil</w:t>
            </w:r>
          </w:p>
        </w:tc>
        <w:tc>
          <w:tcPr>
            <w:tcW w:w="2274" w:type="dxa"/>
            <w:gridSpan w:val="3"/>
            <w:tcBorders>
              <w:top w:val="single" w:sz="8" w:space="0" w:color="auto"/>
              <w:left w:val="nil"/>
              <w:bottom w:val="nil"/>
              <w:right w:val="nil"/>
            </w:tcBorders>
            <w:shd w:val="clear" w:color="auto" w:fill="auto"/>
            <w:noWrap/>
            <w:vAlign w:val="center"/>
          </w:tcPr>
          <w:p w14:paraId="56C6000C" w14:textId="77777777" w:rsidR="00855071" w:rsidRDefault="00E34CC2">
            <w:pPr>
              <w:widowControl/>
              <w:jc w:val="center"/>
              <w:rPr>
                <w:rFonts w:ascii="Times New Roman" w:eastAsia="宋体" w:hAnsi="Times New Roman" w:cs="Times New Roman"/>
                <w:b/>
                <w:bCs/>
                <w:color w:val="000000"/>
                <w:kern w:val="0"/>
                <w:sz w:val="16"/>
                <w:szCs w:val="16"/>
              </w:rPr>
            </w:pPr>
            <w:r>
              <w:rPr>
                <w:rFonts w:ascii="Times New Roman" w:eastAsia="宋体" w:hAnsi="Times New Roman" w:cs="Times New Roman"/>
                <w:b/>
                <w:bCs/>
                <w:color w:val="000000"/>
                <w:kern w:val="0"/>
                <w:sz w:val="16"/>
                <w:szCs w:val="16"/>
              </w:rPr>
              <w:t>Aboveground</w:t>
            </w:r>
          </w:p>
        </w:tc>
        <w:tc>
          <w:tcPr>
            <w:tcW w:w="2336" w:type="dxa"/>
            <w:gridSpan w:val="3"/>
            <w:tcBorders>
              <w:top w:val="single" w:sz="8" w:space="0" w:color="auto"/>
              <w:left w:val="nil"/>
              <w:bottom w:val="nil"/>
              <w:right w:val="nil"/>
            </w:tcBorders>
            <w:shd w:val="clear" w:color="auto" w:fill="auto"/>
            <w:noWrap/>
            <w:vAlign w:val="center"/>
          </w:tcPr>
          <w:p w14:paraId="04FCA827" w14:textId="77777777" w:rsidR="00855071" w:rsidRDefault="00E34CC2">
            <w:pPr>
              <w:widowControl/>
              <w:jc w:val="center"/>
              <w:rPr>
                <w:rFonts w:ascii="Times New Roman" w:eastAsia="宋体" w:hAnsi="Times New Roman" w:cs="Times New Roman"/>
                <w:b/>
                <w:bCs/>
                <w:color w:val="000000"/>
                <w:kern w:val="0"/>
                <w:sz w:val="16"/>
                <w:szCs w:val="16"/>
              </w:rPr>
            </w:pPr>
            <w:r>
              <w:rPr>
                <w:rFonts w:ascii="Times New Roman" w:eastAsia="宋体" w:hAnsi="Times New Roman" w:cs="Times New Roman"/>
                <w:b/>
                <w:bCs/>
                <w:color w:val="000000"/>
                <w:kern w:val="0"/>
                <w:sz w:val="16"/>
                <w:szCs w:val="16"/>
              </w:rPr>
              <w:t>Underground</w:t>
            </w:r>
          </w:p>
        </w:tc>
      </w:tr>
      <w:tr w:rsidR="00855071" w14:paraId="68E4249E" w14:textId="77777777">
        <w:trPr>
          <w:trHeight w:val="318"/>
          <w:jc w:val="center"/>
        </w:trPr>
        <w:tc>
          <w:tcPr>
            <w:tcW w:w="1846" w:type="dxa"/>
            <w:vMerge/>
            <w:tcBorders>
              <w:top w:val="single" w:sz="8" w:space="0" w:color="auto"/>
              <w:left w:val="nil"/>
              <w:bottom w:val="single" w:sz="4" w:space="0" w:color="000000"/>
              <w:right w:val="nil"/>
            </w:tcBorders>
            <w:vAlign w:val="center"/>
          </w:tcPr>
          <w:p w14:paraId="791A7312" w14:textId="77777777" w:rsidR="00855071" w:rsidRDefault="00855071">
            <w:pPr>
              <w:widowControl/>
              <w:jc w:val="left"/>
              <w:rPr>
                <w:rFonts w:ascii="Times New Roman" w:eastAsia="宋体" w:hAnsi="Times New Roman" w:cs="Times New Roman"/>
                <w:b/>
                <w:bCs/>
                <w:color w:val="0D0D0D"/>
                <w:kern w:val="0"/>
                <w:sz w:val="16"/>
                <w:szCs w:val="16"/>
              </w:rPr>
            </w:pPr>
          </w:p>
        </w:tc>
        <w:tc>
          <w:tcPr>
            <w:tcW w:w="857" w:type="dxa"/>
            <w:tcBorders>
              <w:top w:val="nil"/>
              <w:left w:val="nil"/>
              <w:bottom w:val="single" w:sz="4" w:space="0" w:color="auto"/>
              <w:right w:val="nil"/>
            </w:tcBorders>
            <w:shd w:val="clear" w:color="auto" w:fill="auto"/>
            <w:noWrap/>
            <w:vAlign w:val="center"/>
          </w:tcPr>
          <w:p w14:paraId="06BD77F2" w14:textId="77777777" w:rsidR="00855071" w:rsidRDefault="00E34CC2">
            <w:pPr>
              <w:widowControl/>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precision</w:t>
            </w:r>
          </w:p>
        </w:tc>
        <w:tc>
          <w:tcPr>
            <w:tcW w:w="572" w:type="dxa"/>
            <w:tcBorders>
              <w:top w:val="nil"/>
              <w:left w:val="nil"/>
              <w:bottom w:val="single" w:sz="4" w:space="0" w:color="auto"/>
              <w:right w:val="nil"/>
            </w:tcBorders>
            <w:shd w:val="clear" w:color="auto" w:fill="auto"/>
            <w:noWrap/>
            <w:vAlign w:val="center"/>
          </w:tcPr>
          <w:p w14:paraId="2DAF42E0"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recall</w:t>
            </w:r>
          </w:p>
        </w:tc>
        <w:tc>
          <w:tcPr>
            <w:tcW w:w="837" w:type="dxa"/>
            <w:tcBorders>
              <w:top w:val="nil"/>
              <w:left w:val="nil"/>
              <w:bottom w:val="single" w:sz="4" w:space="0" w:color="auto"/>
              <w:right w:val="nil"/>
            </w:tcBorders>
            <w:shd w:val="clear" w:color="auto" w:fill="auto"/>
            <w:noWrap/>
            <w:vAlign w:val="center"/>
          </w:tcPr>
          <w:p w14:paraId="37A55B8D"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 xml:space="preserve"> f1-score</w:t>
            </w:r>
          </w:p>
        </w:tc>
        <w:tc>
          <w:tcPr>
            <w:tcW w:w="803" w:type="dxa"/>
            <w:tcBorders>
              <w:top w:val="nil"/>
              <w:left w:val="nil"/>
              <w:bottom w:val="single" w:sz="4" w:space="0" w:color="auto"/>
              <w:right w:val="nil"/>
            </w:tcBorders>
            <w:shd w:val="clear" w:color="auto" w:fill="auto"/>
            <w:noWrap/>
            <w:vAlign w:val="center"/>
          </w:tcPr>
          <w:p w14:paraId="5DB5F155"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precision</w:t>
            </w:r>
          </w:p>
        </w:tc>
        <w:tc>
          <w:tcPr>
            <w:tcW w:w="572" w:type="dxa"/>
            <w:tcBorders>
              <w:top w:val="nil"/>
              <w:left w:val="nil"/>
              <w:bottom w:val="single" w:sz="4" w:space="0" w:color="auto"/>
              <w:right w:val="nil"/>
            </w:tcBorders>
            <w:shd w:val="clear" w:color="auto" w:fill="auto"/>
            <w:noWrap/>
            <w:vAlign w:val="center"/>
          </w:tcPr>
          <w:p w14:paraId="27F8442A"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recall</w:t>
            </w:r>
          </w:p>
        </w:tc>
        <w:tc>
          <w:tcPr>
            <w:tcW w:w="899" w:type="dxa"/>
            <w:tcBorders>
              <w:top w:val="nil"/>
              <w:left w:val="nil"/>
              <w:bottom w:val="single" w:sz="4" w:space="0" w:color="auto"/>
              <w:right w:val="nil"/>
            </w:tcBorders>
            <w:shd w:val="clear" w:color="auto" w:fill="auto"/>
            <w:noWrap/>
            <w:vAlign w:val="center"/>
          </w:tcPr>
          <w:p w14:paraId="7A5BC384"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 xml:space="preserve"> f1-score</w:t>
            </w:r>
          </w:p>
        </w:tc>
        <w:tc>
          <w:tcPr>
            <w:tcW w:w="803" w:type="dxa"/>
            <w:tcBorders>
              <w:top w:val="nil"/>
              <w:left w:val="nil"/>
              <w:bottom w:val="single" w:sz="4" w:space="0" w:color="auto"/>
              <w:right w:val="nil"/>
            </w:tcBorders>
            <w:shd w:val="clear" w:color="auto" w:fill="auto"/>
            <w:noWrap/>
            <w:vAlign w:val="center"/>
          </w:tcPr>
          <w:p w14:paraId="2D688B00"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precision</w:t>
            </w:r>
          </w:p>
        </w:tc>
        <w:tc>
          <w:tcPr>
            <w:tcW w:w="572" w:type="dxa"/>
            <w:tcBorders>
              <w:top w:val="nil"/>
              <w:left w:val="nil"/>
              <w:bottom w:val="single" w:sz="4" w:space="0" w:color="auto"/>
              <w:right w:val="nil"/>
            </w:tcBorders>
            <w:shd w:val="clear" w:color="auto" w:fill="auto"/>
            <w:noWrap/>
            <w:vAlign w:val="center"/>
          </w:tcPr>
          <w:p w14:paraId="1EA95625"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recall</w:t>
            </w:r>
          </w:p>
        </w:tc>
        <w:tc>
          <w:tcPr>
            <w:tcW w:w="961" w:type="dxa"/>
            <w:tcBorders>
              <w:top w:val="nil"/>
              <w:left w:val="nil"/>
              <w:bottom w:val="single" w:sz="4" w:space="0" w:color="auto"/>
              <w:right w:val="nil"/>
            </w:tcBorders>
            <w:shd w:val="clear" w:color="auto" w:fill="auto"/>
            <w:noWrap/>
            <w:vAlign w:val="center"/>
          </w:tcPr>
          <w:p w14:paraId="615A866E"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 xml:space="preserve"> f1-score</w:t>
            </w:r>
          </w:p>
        </w:tc>
      </w:tr>
      <w:tr w:rsidR="00855071" w14:paraId="6D491317" w14:textId="77777777">
        <w:trPr>
          <w:trHeight w:val="283"/>
          <w:jc w:val="center"/>
        </w:trPr>
        <w:tc>
          <w:tcPr>
            <w:tcW w:w="1846" w:type="dxa"/>
            <w:tcBorders>
              <w:top w:val="nil"/>
              <w:left w:val="nil"/>
              <w:bottom w:val="nil"/>
              <w:right w:val="nil"/>
            </w:tcBorders>
            <w:shd w:val="clear" w:color="auto" w:fill="auto"/>
            <w:noWrap/>
            <w:vAlign w:val="center"/>
          </w:tcPr>
          <w:p w14:paraId="135DA881" w14:textId="77777777" w:rsidR="00855071" w:rsidRDefault="00E34CC2">
            <w:pPr>
              <w:widowControl/>
              <w:jc w:val="center"/>
              <w:rPr>
                <w:rFonts w:ascii="Times New Roman" w:eastAsia="宋体" w:hAnsi="Times New Roman" w:cs="Times New Roman"/>
                <w:b/>
                <w:bCs/>
                <w:color w:val="000000"/>
                <w:kern w:val="0"/>
                <w:sz w:val="16"/>
                <w:szCs w:val="16"/>
              </w:rPr>
            </w:pPr>
            <w:r>
              <w:rPr>
                <w:rFonts w:ascii="Times New Roman" w:eastAsia="宋体" w:hAnsi="Times New Roman" w:cs="Times New Roman"/>
                <w:b/>
                <w:bCs/>
                <w:color w:val="000000"/>
                <w:kern w:val="0"/>
                <w:sz w:val="16"/>
                <w:szCs w:val="16"/>
              </w:rPr>
              <w:t>1</w:t>
            </w:r>
            <w:r>
              <w:rPr>
                <w:rFonts w:ascii="Times New Roman" w:eastAsia="宋体" w:hAnsi="Times New Roman" w:cs="Times New Roman" w:hint="eastAsia"/>
                <w:b/>
                <w:bCs/>
                <w:color w:val="000000"/>
                <w:kern w:val="0"/>
                <w:sz w:val="16"/>
                <w:szCs w:val="16"/>
              </w:rPr>
              <w:t>（</w:t>
            </w:r>
            <w:r>
              <w:rPr>
                <w:rFonts w:ascii="Times New Roman" w:eastAsia="宋体" w:hAnsi="Times New Roman" w:cs="Times New Roman"/>
                <w:b/>
                <w:bCs/>
                <w:color w:val="000000"/>
                <w:kern w:val="0"/>
                <w:sz w:val="16"/>
                <w:szCs w:val="16"/>
              </w:rPr>
              <w:t>Low Density</w:t>
            </w:r>
            <w:r>
              <w:rPr>
                <w:rFonts w:ascii="Times New Roman" w:eastAsia="宋体" w:hAnsi="Times New Roman" w:cs="Times New Roman" w:hint="eastAsia"/>
                <w:b/>
                <w:bCs/>
                <w:color w:val="000000"/>
                <w:kern w:val="0"/>
                <w:sz w:val="16"/>
                <w:szCs w:val="16"/>
              </w:rPr>
              <w:t>）</w:t>
            </w:r>
          </w:p>
        </w:tc>
        <w:tc>
          <w:tcPr>
            <w:tcW w:w="857" w:type="dxa"/>
            <w:tcBorders>
              <w:top w:val="nil"/>
              <w:left w:val="nil"/>
              <w:bottom w:val="nil"/>
              <w:right w:val="nil"/>
            </w:tcBorders>
            <w:shd w:val="clear" w:color="auto" w:fill="auto"/>
            <w:noWrap/>
            <w:vAlign w:val="center"/>
          </w:tcPr>
          <w:p w14:paraId="0B160DF2"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0.94</w:t>
            </w:r>
          </w:p>
        </w:tc>
        <w:tc>
          <w:tcPr>
            <w:tcW w:w="572" w:type="dxa"/>
            <w:tcBorders>
              <w:top w:val="nil"/>
              <w:left w:val="nil"/>
              <w:bottom w:val="nil"/>
              <w:right w:val="nil"/>
            </w:tcBorders>
            <w:shd w:val="clear" w:color="auto" w:fill="auto"/>
            <w:noWrap/>
            <w:vAlign w:val="center"/>
          </w:tcPr>
          <w:p w14:paraId="6821AF6A"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0.97</w:t>
            </w:r>
          </w:p>
        </w:tc>
        <w:tc>
          <w:tcPr>
            <w:tcW w:w="837" w:type="dxa"/>
            <w:tcBorders>
              <w:top w:val="nil"/>
              <w:left w:val="nil"/>
              <w:bottom w:val="nil"/>
              <w:right w:val="nil"/>
            </w:tcBorders>
            <w:shd w:val="clear" w:color="auto" w:fill="auto"/>
            <w:noWrap/>
            <w:vAlign w:val="center"/>
          </w:tcPr>
          <w:p w14:paraId="6F535FAE"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0.95</w:t>
            </w:r>
          </w:p>
        </w:tc>
        <w:tc>
          <w:tcPr>
            <w:tcW w:w="803" w:type="dxa"/>
            <w:tcBorders>
              <w:top w:val="nil"/>
              <w:left w:val="nil"/>
              <w:bottom w:val="nil"/>
              <w:right w:val="nil"/>
            </w:tcBorders>
            <w:shd w:val="clear" w:color="auto" w:fill="auto"/>
            <w:noWrap/>
            <w:vAlign w:val="center"/>
          </w:tcPr>
          <w:p w14:paraId="6C8A7ECF"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0.91</w:t>
            </w:r>
          </w:p>
        </w:tc>
        <w:tc>
          <w:tcPr>
            <w:tcW w:w="572" w:type="dxa"/>
            <w:tcBorders>
              <w:top w:val="nil"/>
              <w:left w:val="nil"/>
              <w:bottom w:val="nil"/>
              <w:right w:val="nil"/>
            </w:tcBorders>
            <w:shd w:val="clear" w:color="auto" w:fill="auto"/>
            <w:noWrap/>
            <w:vAlign w:val="center"/>
          </w:tcPr>
          <w:p w14:paraId="182FBAEC"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0.92</w:t>
            </w:r>
          </w:p>
        </w:tc>
        <w:tc>
          <w:tcPr>
            <w:tcW w:w="899" w:type="dxa"/>
            <w:tcBorders>
              <w:top w:val="nil"/>
              <w:left w:val="nil"/>
              <w:bottom w:val="nil"/>
              <w:right w:val="nil"/>
            </w:tcBorders>
            <w:shd w:val="clear" w:color="auto" w:fill="auto"/>
            <w:noWrap/>
            <w:vAlign w:val="center"/>
          </w:tcPr>
          <w:p w14:paraId="7A229C9D"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0.91</w:t>
            </w:r>
          </w:p>
        </w:tc>
        <w:tc>
          <w:tcPr>
            <w:tcW w:w="803" w:type="dxa"/>
            <w:tcBorders>
              <w:top w:val="nil"/>
              <w:left w:val="nil"/>
              <w:bottom w:val="nil"/>
              <w:right w:val="nil"/>
            </w:tcBorders>
            <w:shd w:val="clear" w:color="auto" w:fill="auto"/>
            <w:noWrap/>
            <w:vAlign w:val="center"/>
          </w:tcPr>
          <w:p w14:paraId="1CDF2BAC"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0.94</w:t>
            </w:r>
          </w:p>
        </w:tc>
        <w:tc>
          <w:tcPr>
            <w:tcW w:w="572" w:type="dxa"/>
            <w:tcBorders>
              <w:top w:val="nil"/>
              <w:left w:val="nil"/>
              <w:bottom w:val="nil"/>
              <w:right w:val="nil"/>
            </w:tcBorders>
            <w:shd w:val="clear" w:color="auto" w:fill="auto"/>
            <w:noWrap/>
            <w:vAlign w:val="center"/>
          </w:tcPr>
          <w:p w14:paraId="389B2A0B"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0.95</w:t>
            </w:r>
          </w:p>
        </w:tc>
        <w:tc>
          <w:tcPr>
            <w:tcW w:w="961" w:type="dxa"/>
            <w:tcBorders>
              <w:top w:val="nil"/>
              <w:left w:val="nil"/>
              <w:bottom w:val="nil"/>
              <w:right w:val="nil"/>
            </w:tcBorders>
            <w:shd w:val="clear" w:color="auto" w:fill="auto"/>
            <w:noWrap/>
            <w:vAlign w:val="center"/>
          </w:tcPr>
          <w:p w14:paraId="33A8C98E"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0.95</w:t>
            </w:r>
          </w:p>
        </w:tc>
      </w:tr>
      <w:tr w:rsidR="00855071" w14:paraId="34FE3440" w14:textId="77777777">
        <w:trPr>
          <w:trHeight w:val="283"/>
          <w:jc w:val="center"/>
        </w:trPr>
        <w:tc>
          <w:tcPr>
            <w:tcW w:w="1846" w:type="dxa"/>
            <w:tcBorders>
              <w:top w:val="nil"/>
              <w:left w:val="nil"/>
              <w:bottom w:val="nil"/>
              <w:right w:val="nil"/>
            </w:tcBorders>
            <w:shd w:val="clear" w:color="auto" w:fill="auto"/>
            <w:noWrap/>
            <w:vAlign w:val="center"/>
          </w:tcPr>
          <w:p w14:paraId="276E56A3" w14:textId="77777777" w:rsidR="00855071" w:rsidRDefault="00E34CC2">
            <w:pPr>
              <w:widowControl/>
              <w:jc w:val="center"/>
              <w:rPr>
                <w:rFonts w:ascii="Times New Roman" w:eastAsia="宋体" w:hAnsi="Times New Roman" w:cs="Times New Roman"/>
                <w:b/>
                <w:bCs/>
                <w:color w:val="000000"/>
                <w:kern w:val="0"/>
                <w:sz w:val="16"/>
                <w:szCs w:val="16"/>
              </w:rPr>
            </w:pPr>
            <w:r>
              <w:rPr>
                <w:rFonts w:ascii="Times New Roman" w:eastAsia="宋体" w:hAnsi="Times New Roman" w:cs="Times New Roman"/>
                <w:b/>
                <w:bCs/>
                <w:color w:val="000000"/>
                <w:kern w:val="0"/>
                <w:sz w:val="16"/>
                <w:szCs w:val="16"/>
              </w:rPr>
              <w:t>2</w:t>
            </w:r>
            <w:r>
              <w:rPr>
                <w:rFonts w:ascii="Times New Roman" w:eastAsia="宋体" w:hAnsi="Times New Roman" w:cs="Times New Roman" w:hint="eastAsia"/>
                <w:b/>
                <w:bCs/>
                <w:color w:val="000000"/>
                <w:kern w:val="0"/>
                <w:sz w:val="16"/>
                <w:szCs w:val="16"/>
              </w:rPr>
              <w:t>（</w:t>
            </w:r>
            <w:r>
              <w:rPr>
                <w:rFonts w:ascii="Times New Roman" w:eastAsia="宋体" w:hAnsi="Times New Roman" w:cs="Times New Roman"/>
                <w:b/>
                <w:bCs/>
                <w:color w:val="000000"/>
                <w:kern w:val="0"/>
                <w:sz w:val="16"/>
                <w:szCs w:val="16"/>
              </w:rPr>
              <w:t>Medium Density</w:t>
            </w:r>
            <w:r>
              <w:rPr>
                <w:rFonts w:ascii="Times New Roman" w:eastAsia="宋体" w:hAnsi="Times New Roman" w:cs="Times New Roman" w:hint="eastAsia"/>
                <w:b/>
                <w:bCs/>
                <w:color w:val="000000"/>
                <w:kern w:val="0"/>
                <w:sz w:val="16"/>
                <w:szCs w:val="16"/>
              </w:rPr>
              <w:t>）</w:t>
            </w:r>
          </w:p>
        </w:tc>
        <w:tc>
          <w:tcPr>
            <w:tcW w:w="857" w:type="dxa"/>
            <w:tcBorders>
              <w:top w:val="nil"/>
              <w:left w:val="nil"/>
              <w:bottom w:val="nil"/>
              <w:right w:val="nil"/>
            </w:tcBorders>
            <w:shd w:val="clear" w:color="auto" w:fill="auto"/>
            <w:noWrap/>
            <w:vAlign w:val="center"/>
          </w:tcPr>
          <w:p w14:paraId="4EFE79AA"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0.82</w:t>
            </w:r>
          </w:p>
        </w:tc>
        <w:tc>
          <w:tcPr>
            <w:tcW w:w="572" w:type="dxa"/>
            <w:tcBorders>
              <w:top w:val="nil"/>
              <w:left w:val="nil"/>
              <w:bottom w:val="nil"/>
              <w:right w:val="nil"/>
            </w:tcBorders>
            <w:shd w:val="clear" w:color="auto" w:fill="auto"/>
            <w:noWrap/>
            <w:vAlign w:val="center"/>
          </w:tcPr>
          <w:p w14:paraId="138E4F6B"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0.79</w:t>
            </w:r>
          </w:p>
        </w:tc>
        <w:tc>
          <w:tcPr>
            <w:tcW w:w="837" w:type="dxa"/>
            <w:tcBorders>
              <w:top w:val="nil"/>
              <w:left w:val="nil"/>
              <w:bottom w:val="nil"/>
              <w:right w:val="nil"/>
            </w:tcBorders>
            <w:shd w:val="clear" w:color="auto" w:fill="auto"/>
            <w:noWrap/>
            <w:vAlign w:val="center"/>
          </w:tcPr>
          <w:p w14:paraId="55897B7C"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0.81</w:t>
            </w:r>
          </w:p>
        </w:tc>
        <w:tc>
          <w:tcPr>
            <w:tcW w:w="803" w:type="dxa"/>
            <w:tcBorders>
              <w:top w:val="nil"/>
              <w:left w:val="nil"/>
              <w:bottom w:val="nil"/>
              <w:right w:val="nil"/>
            </w:tcBorders>
            <w:shd w:val="clear" w:color="auto" w:fill="auto"/>
            <w:noWrap/>
            <w:vAlign w:val="center"/>
          </w:tcPr>
          <w:p w14:paraId="1653260E"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0.76</w:t>
            </w:r>
          </w:p>
        </w:tc>
        <w:tc>
          <w:tcPr>
            <w:tcW w:w="572" w:type="dxa"/>
            <w:tcBorders>
              <w:top w:val="nil"/>
              <w:left w:val="nil"/>
              <w:bottom w:val="nil"/>
              <w:right w:val="nil"/>
            </w:tcBorders>
            <w:shd w:val="clear" w:color="auto" w:fill="auto"/>
            <w:noWrap/>
            <w:vAlign w:val="center"/>
          </w:tcPr>
          <w:p w14:paraId="0EE7B10B"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0.78</w:t>
            </w:r>
          </w:p>
        </w:tc>
        <w:tc>
          <w:tcPr>
            <w:tcW w:w="899" w:type="dxa"/>
            <w:tcBorders>
              <w:top w:val="nil"/>
              <w:left w:val="nil"/>
              <w:bottom w:val="nil"/>
              <w:right w:val="nil"/>
            </w:tcBorders>
            <w:shd w:val="clear" w:color="auto" w:fill="auto"/>
            <w:noWrap/>
            <w:vAlign w:val="center"/>
          </w:tcPr>
          <w:p w14:paraId="697FB12F"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0.77</w:t>
            </w:r>
          </w:p>
        </w:tc>
        <w:tc>
          <w:tcPr>
            <w:tcW w:w="803" w:type="dxa"/>
            <w:tcBorders>
              <w:top w:val="nil"/>
              <w:left w:val="nil"/>
              <w:bottom w:val="nil"/>
              <w:right w:val="nil"/>
            </w:tcBorders>
            <w:shd w:val="clear" w:color="auto" w:fill="auto"/>
            <w:noWrap/>
            <w:vAlign w:val="center"/>
          </w:tcPr>
          <w:p w14:paraId="62BD4F22"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0.78</w:t>
            </w:r>
          </w:p>
        </w:tc>
        <w:tc>
          <w:tcPr>
            <w:tcW w:w="572" w:type="dxa"/>
            <w:tcBorders>
              <w:top w:val="nil"/>
              <w:left w:val="nil"/>
              <w:bottom w:val="nil"/>
              <w:right w:val="nil"/>
            </w:tcBorders>
            <w:shd w:val="clear" w:color="auto" w:fill="auto"/>
            <w:noWrap/>
            <w:vAlign w:val="center"/>
          </w:tcPr>
          <w:p w14:paraId="1391BD3F"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0.8</w:t>
            </w:r>
          </w:p>
        </w:tc>
        <w:tc>
          <w:tcPr>
            <w:tcW w:w="961" w:type="dxa"/>
            <w:tcBorders>
              <w:top w:val="nil"/>
              <w:left w:val="nil"/>
              <w:bottom w:val="nil"/>
              <w:right w:val="nil"/>
            </w:tcBorders>
            <w:shd w:val="clear" w:color="auto" w:fill="auto"/>
            <w:noWrap/>
            <w:vAlign w:val="center"/>
          </w:tcPr>
          <w:p w14:paraId="5915D0F5"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0.79</w:t>
            </w:r>
          </w:p>
        </w:tc>
      </w:tr>
      <w:tr w:rsidR="00855071" w14:paraId="5CED0270" w14:textId="77777777">
        <w:trPr>
          <w:trHeight w:val="283"/>
          <w:jc w:val="center"/>
        </w:trPr>
        <w:tc>
          <w:tcPr>
            <w:tcW w:w="1846" w:type="dxa"/>
            <w:tcBorders>
              <w:top w:val="nil"/>
              <w:left w:val="nil"/>
              <w:bottom w:val="single" w:sz="4" w:space="0" w:color="auto"/>
              <w:right w:val="nil"/>
            </w:tcBorders>
            <w:shd w:val="clear" w:color="auto" w:fill="auto"/>
            <w:noWrap/>
            <w:vAlign w:val="center"/>
          </w:tcPr>
          <w:p w14:paraId="17274EA6" w14:textId="77777777" w:rsidR="00855071" w:rsidRDefault="00E34CC2">
            <w:pPr>
              <w:widowControl/>
              <w:jc w:val="center"/>
              <w:rPr>
                <w:rFonts w:ascii="Times New Roman" w:eastAsia="宋体" w:hAnsi="Times New Roman" w:cs="Times New Roman"/>
                <w:b/>
                <w:bCs/>
                <w:color w:val="000000"/>
                <w:kern w:val="0"/>
                <w:sz w:val="16"/>
                <w:szCs w:val="16"/>
              </w:rPr>
            </w:pPr>
            <w:r>
              <w:rPr>
                <w:rFonts w:ascii="Times New Roman" w:eastAsia="宋体" w:hAnsi="Times New Roman" w:cs="Times New Roman"/>
                <w:b/>
                <w:bCs/>
                <w:color w:val="000000"/>
                <w:kern w:val="0"/>
                <w:sz w:val="16"/>
                <w:szCs w:val="16"/>
              </w:rPr>
              <w:t>3</w:t>
            </w:r>
            <w:r>
              <w:rPr>
                <w:rFonts w:ascii="Times New Roman" w:eastAsia="宋体" w:hAnsi="Times New Roman" w:cs="Times New Roman" w:hint="eastAsia"/>
                <w:b/>
                <w:bCs/>
                <w:color w:val="000000"/>
                <w:kern w:val="0"/>
                <w:sz w:val="16"/>
                <w:szCs w:val="16"/>
              </w:rPr>
              <w:t>（</w:t>
            </w:r>
            <w:r>
              <w:rPr>
                <w:rFonts w:ascii="Times New Roman" w:eastAsia="宋体" w:hAnsi="Times New Roman" w:cs="Times New Roman"/>
                <w:b/>
                <w:bCs/>
                <w:color w:val="000000"/>
                <w:kern w:val="0"/>
                <w:sz w:val="16"/>
                <w:szCs w:val="16"/>
              </w:rPr>
              <w:t>High Density</w:t>
            </w:r>
            <w:r>
              <w:rPr>
                <w:rFonts w:ascii="Times New Roman" w:eastAsia="宋体" w:hAnsi="Times New Roman" w:cs="Times New Roman" w:hint="eastAsia"/>
                <w:b/>
                <w:bCs/>
                <w:color w:val="000000"/>
                <w:kern w:val="0"/>
                <w:sz w:val="16"/>
                <w:szCs w:val="16"/>
              </w:rPr>
              <w:t>）</w:t>
            </w:r>
          </w:p>
        </w:tc>
        <w:tc>
          <w:tcPr>
            <w:tcW w:w="857" w:type="dxa"/>
            <w:tcBorders>
              <w:top w:val="nil"/>
              <w:left w:val="nil"/>
              <w:bottom w:val="single" w:sz="4" w:space="0" w:color="auto"/>
              <w:right w:val="nil"/>
            </w:tcBorders>
            <w:shd w:val="clear" w:color="auto" w:fill="auto"/>
            <w:noWrap/>
            <w:vAlign w:val="center"/>
          </w:tcPr>
          <w:p w14:paraId="5A00F026"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0.94</w:t>
            </w:r>
          </w:p>
        </w:tc>
        <w:tc>
          <w:tcPr>
            <w:tcW w:w="572" w:type="dxa"/>
            <w:tcBorders>
              <w:top w:val="nil"/>
              <w:left w:val="nil"/>
              <w:bottom w:val="single" w:sz="4" w:space="0" w:color="auto"/>
              <w:right w:val="nil"/>
            </w:tcBorders>
            <w:shd w:val="clear" w:color="auto" w:fill="auto"/>
            <w:noWrap/>
            <w:vAlign w:val="center"/>
          </w:tcPr>
          <w:p w14:paraId="7109C455"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0.88</w:t>
            </w:r>
          </w:p>
        </w:tc>
        <w:tc>
          <w:tcPr>
            <w:tcW w:w="837" w:type="dxa"/>
            <w:tcBorders>
              <w:top w:val="nil"/>
              <w:left w:val="nil"/>
              <w:bottom w:val="single" w:sz="4" w:space="0" w:color="auto"/>
              <w:right w:val="nil"/>
            </w:tcBorders>
            <w:shd w:val="clear" w:color="auto" w:fill="auto"/>
            <w:noWrap/>
            <w:vAlign w:val="center"/>
          </w:tcPr>
          <w:p w14:paraId="1EBDEB9D"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0.91</w:t>
            </w:r>
          </w:p>
        </w:tc>
        <w:tc>
          <w:tcPr>
            <w:tcW w:w="803" w:type="dxa"/>
            <w:tcBorders>
              <w:top w:val="nil"/>
              <w:left w:val="nil"/>
              <w:bottom w:val="single" w:sz="4" w:space="0" w:color="auto"/>
              <w:right w:val="nil"/>
            </w:tcBorders>
            <w:shd w:val="clear" w:color="auto" w:fill="auto"/>
            <w:noWrap/>
            <w:vAlign w:val="center"/>
          </w:tcPr>
          <w:p w14:paraId="7704ADE3"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0.89</w:t>
            </w:r>
          </w:p>
        </w:tc>
        <w:tc>
          <w:tcPr>
            <w:tcW w:w="572" w:type="dxa"/>
            <w:tcBorders>
              <w:top w:val="nil"/>
              <w:left w:val="nil"/>
              <w:bottom w:val="single" w:sz="4" w:space="0" w:color="auto"/>
              <w:right w:val="nil"/>
            </w:tcBorders>
            <w:shd w:val="clear" w:color="auto" w:fill="auto"/>
            <w:noWrap/>
            <w:vAlign w:val="center"/>
          </w:tcPr>
          <w:p w14:paraId="098FE517"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0.86</w:t>
            </w:r>
          </w:p>
        </w:tc>
        <w:tc>
          <w:tcPr>
            <w:tcW w:w="899" w:type="dxa"/>
            <w:tcBorders>
              <w:top w:val="nil"/>
              <w:left w:val="nil"/>
              <w:bottom w:val="single" w:sz="4" w:space="0" w:color="auto"/>
              <w:right w:val="nil"/>
            </w:tcBorders>
            <w:shd w:val="clear" w:color="auto" w:fill="auto"/>
            <w:noWrap/>
            <w:vAlign w:val="center"/>
          </w:tcPr>
          <w:p w14:paraId="70544E23"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0.87</w:t>
            </w:r>
          </w:p>
        </w:tc>
        <w:tc>
          <w:tcPr>
            <w:tcW w:w="803" w:type="dxa"/>
            <w:tcBorders>
              <w:top w:val="nil"/>
              <w:left w:val="nil"/>
              <w:bottom w:val="single" w:sz="4" w:space="0" w:color="auto"/>
              <w:right w:val="nil"/>
            </w:tcBorders>
            <w:shd w:val="clear" w:color="auto" w:fill="auto"/>
            <w:noWrap/>
            <w:vAlign w:val="center"/>
          </w:tcPr>
          <w:p w14:paraId="6D468A0D"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0.85</w:t>
            </w:r>
          </w:p>
        </w:tc>
        <w:tc>
          <w:tcPr>
            <w:tcW w:w="572" w:type="dxa"/>
            <w:tcBorders>
              <w:top w:val="nil"/>
              <w:left w:val="nil"/>
              <w:bottom w:val="single" w:sz="4" w:space="0" w:color="auto"/>
              <w:right w:val="nil"/>
            </w:tcBorders>
            <w:shd w:val="clear" w:color="auto" w:fill="auto"/>
            <w:noWrap/>
            <w:vAlign w:val="center"/>
          </w:tcPr>
          <w:p w14:paraId="462AFFF2"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0.86</w:t>
            </w:r>
          </w:p>
        </w:tc>
        <w:tc>
          <w:tcPr>
            <w:tcW w:w="961" w:type="dxa"/>
            <w:tcBorders>
              <w:top w:val="nil"/>
              <w:left w:val="nil"/>
              <w:bottom w:val="single" w:sz="4" w:space="0" w:color="auto"/>
              <w:right w:val="nil"/>
            </w:tcBorders>
            <w:shd w:val="clear" w:color="auto" w:fill="auto"/>
            <w:noWrap/>
            <w:vAlign w:val="center"/>
          </w:tcPr>
          <w:p w14:paraId="7AA9BE0D"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0.85</w:t>
            </w:r>
          </w:p>
        </w:tc>
      </w:tr>
      <w:tr w:rsidR="00855071" w14:paraId="419F5445" w14:textId="77777777">
        <w:trPr>
          <w:trHeight w:val="292"/>
          <w:jc w:val="center"/>
        </w:trPr>
        <w:tc>
          <w:tcPr>
            <w:tcW w:w="1846" w:type="dxa"/>
            <w:tcBorders>
              <w:top w:val="nil"/>
              <w:left w:val="nil"/>
              <w:bottom w:val="single" w:sz="8" w:space="0" w:color="auto"/>
              <w:right w:val="nil"/>
            </w:tcBorders>
            <w:shd w:val="clear" w:color="auto" w:fill="auto"/>
            <w:noWrap/>
            <w:vAlign w:val="center"/>
          </w:tcPr>
          <w:p w14:paraId="0B837D80" w14:textId="77777777" w:rsidR="00855071" w:rsidRDefault="00E34CC2">
            <w:pPr>
              <w:widowControl/>
              <w:jc w:val="center"/>
              <w:rPr>
                <w:rFonts w:ascii="Times New Roman" w:eastAsia="宋体" w:hAnsi="Times New Roman" w:cs="Times New Roman"/>
                <w:b/>
                <w:bCs/>
                <w:color w:val="000000"/>
                <w:kern w:val="0"/>
                <w:sz w:val="16"/>
                <w:szCs w:val="16"/>
              </w:rPr>
            </w:pPr>
            <w:r>
              <w:rPr>
                <w:rFonts w:ascii="Times New Roman" w:eastAsia="宋体" w:hAnsi="Times New Roman" w:cs="Times New Roman"/>
                <w:b/>
                <w:bCs/>
                <w:color w:val="000000"/>
                <w:kern w:val="0"/>
                <w:sz w:val="16"/>
                <w:szCs w:val="16"/>
              </w:rPr>
              <w:t xml:space="preserve"> accuracy  </w:t>
            </w:r>
          </w:p>
        </w:tc>
        <w:tc>
          <w:tcPr>
            <w:tcW w:w="2266" w:type="dxa"/>
            <w:gridSpan w:val="3"/>
            <w:tcBorders>
              <w:top w:val="nil"/>
              <w:left w:val="nil"/>
              <w:bottom w:val="single" w:sz="8" w:space="0" w:color="auto"/>
              <w:right w:val="nil"/>
            </w:tcBorders>
            <w:shd w:val="clear" w:color="auto" w:fill="auto"/>
            <w:noWrap/>
            <w:vAlign w:val="center"/>
          </w:tcPr>
          <w:p w14:paraId="4E723FD0"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0.92</w:t>
            </w:r>
          </w:p>
        </w:tc>
        <w:tc>
          <w:tcPr>
            <w:tcW w:w="2274" w:type="dxa"/>
            <w:gridSpan w:val="3"/>
            <w:tcBorders>
              <w:top w:val="nil"/>
              <w:left w:val="nil"/>
              <w:bottom w:val="single" w:sz="8" w:space="0" w:color="auto"/>
              <w:right w:val="nil"/>
            </w:tcBorders>
            <w:shd w:val="clear" w:color="auto" w:fill="auto"/>
            <w:noWrap/>
            <w:vAlign w:val="center"/>
          </w:tcPr>
          <w:p w14:paraId="1006DDC4"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0.86</w:t>
            </w:r>
          </w:p>
        </w:tc>
        <w:tc>
          <w:tcPr>
            <w:tcW w:w="2336" w:type="dxa"/>
            <w:gridSpan w:val="3"/>
            <w:tcBorders>
              <w:top w:val="nil"/>
              <w:left w:val="nil"/>
              <w:bottom w:val="single" w:sz="8" w:space="0" w:color="auto"/>
              <w:right w:val="nil"/>
            </w:tcBorders>
            <w:shd w:val="clear" w:color="auto" w:fill="auto"/>
            <w:noWrap/>
            <w:vAlign w:val="center"/>
          </w:tcPr>
          <w:p w14:paraId="72765B74" w14:textId="77777777" w:rsidR="00855071" w:rsidRDefault="00E34CC2">
            <w:pPr>
              <w:widowControl/>
              <w:jc w:val="center"/>
              <w:rPr>
                <w:rFonts w:ascii="Times New Roman" w:eastAsia="宋体" w:hAnsi="Times New Roman" w:cs="Times New Roman"/>
                <w:color w:val="000000"/>
                <w:kern w:val="0"/>
                <w:sz w:val="16"/>
                <w:szCs w:val="16"/>
              </w:rPr>
            </w:pPr>
            <w:r>
              <w:rPr>
                <w:rFonts w:ascii="Times New Roman" w:eastAsia="宋体" w:hAnsi="Times New Roman" w:cs="Times New Roman"/>
                <w:color w:val="000000"/>
                <w:kern w:val="0"/>
                <w:sz w:val="16"/>
                <w:szCs w:val="16"/>
              </w:rPr>
              <w:t>0.85</w:t>
            </w:r>
          </w:p>
        </w:tc>
      </w:tr>
    </w:tbl>
    <w:p w14:paraId="65BF46C4" w14:textId="77777777" w:rsidR="00262ED5" w:rsidRDefault="00262ED5" w:rsidP="00262ED5">
      <w:pPr>
        <w:ind w:firstLineChars="200" w:firstLine="560"/>
        <w:rPr>
          <w:rFonts w:ascii="Times New Roman" w:hAnsi="Times New Roman" w:cs="Times New Roman"/>
          <w:sz w:val="28"/>
          <w:szCs w:val="28"/>
          <w:shd w:val="clear" w:color="auto" w:fill="FFFFFF"/>
        </w:rPr>
      </w:pPr>
    </w:p>
    <w:p w14:paraId="1EDB3C44" w14:textId="5BEF802F" w:rsidR="00855071" w:rsidRDefault="00F644B6">
      <w:pPr>
        <w:pStyle w:val="1"/>
        <w:spacing w:before="100" w:after="0" w:line="240" w:lineRule="exact"/>
        <w:rPr>
          <w:rFonts w:ascii="Times New Roman" w:hAnsi="Times New Roman" w:cs="Times New Roman"/>
          <w:sz w:val="28"/>
          <w:szCs w:val="28"/>
          <w:shd w:val="clear" w:color="auto" w:fill="FFFFFF"/>
        </w:rPr>
      </w:pPr>
      <w:r w:rsidRPr="00F644B6">
        <w:rPr>
          <w:rFonts w:ascii="Times New Roman" w:hAnsi="Times New Roman" w:cs="Times New Roman"/>
          <w:sz w:val="28"/>
          <w:szCs w:val="28"/>
          <w:shd w:val="clear" w:color="auto" w:fill="FFFFFF"/>
        </w:rPr>
        <w:t>Supplementary References</w:t>
      </w:r>
    </w:p>
    <w:p w14:paraId="4DC344A8" w14:textId="7B659EBD" w:rsidR="00285302" w:rsidRPr="00ED2904" w:rsidRDefault="00285302" w:rsidP="00285302">
      <w:pPr>
        <w:widowControl/>
        <w:spacing w:line="220" w:lineRule="atLeast"/>
        <w:rPr>
          <w:rFonts w:ascii="Times New Roman" w:eastAsia="宋体" w:hAnsi="Times New Roman" w:cs="Times New Roman"/>
          <w:szCs w:val="20"/>
        </w:rPr>
      </w:pPr>
      <w:r w:rsidRPr="00ED2904">
        <w:rPr>
          <w:rFonts w:ascii="Times New Roman" w:eastAsia="宋体" w:hAnsi="Times New Roman" w:cs="Times New Roman" w:hint="eastAsia"/>
          <w:szCs w:val="20"/>
        </w:rPr>
        <w:t>[</w:t>
      </w:r>
      <w:r w:rsidR="008E2006">
        <w:rPr>
          <w:rFonts w:ascii="Times New Roman" w:eastAsia="宋体" w:hAnsi="Times New Roman" w:cs="Times New Roman"/>
          <w:szCs w:val="20"/>
        </w:rPr>
        <w:t>1</w:t>
      </w:r>
      <w:r w:rsidRPr="00ED2904">
        <w:rPr>
          <w:rFonts w:ascii="Times New Roman" w:eastAsia="宋体" w:hAnsi="Times New Roman" w:cs="Times New Roman"/>
          <w:szCs w:val="20"/>
        </w:rPr>
        <w:t>].</w:t>
      </w:r>
      <w:r w:rsidRPr="00ED2904">
        <w:rPr>
          <w:rFonts w:ascii="Times New Roman" w:eastAsia="宋体" w:hAnsi="Times New Roman"/>
          <w:sz w:val="24"/>
        </w:rPr>
        <w:t xml:space="preserve"> </w:t>
      </w:r>
      <w:r w:rsidRPr="00ED2904">
        <w:rPr>
          <w:rFonts w:ascii="Times New Roman" w:eastAsia="宋体" w:hAnsi="Times New Roman" w:cs="Times New Roman"/>
          <w:szCs w:val="20"/>
        </w:rPr>
        <w:t>Peng, S. (2020). 1-km monthly precipitation dataset for China (1901-2021). A Big Earth Data Platform for Three Poles, DOI: 10.5281/zenodo.3185722.</w:t>
      </w:r>
    </w:p>
    <w:p w14:paraId="572DCAC1" w14:textId="63A3E0DC" w:rsidR="00285302" w:rsidRPr="00ED2904" w:rsidRDefault="00285302" w:rsidP="00285302">
      <w:pPr>
        <w:widowControl/>
        <w:spacing w:line="220" w:lineRule="atLeast"/>
        <w:rPr>
          <w:rFonts w:ascii="Times New Roman" w:eastAsia="宋体" w:hAnsi="Times New Roman" w:cs="Times New Roman"/>
          <w:szCs w:val="20"/>
        </w:rPr>
      </w:pPr>
      <w:r w:rsidRPr="00ED2904">
        <w:rPr>
          <w:rFonts w:ascii="Times New Roman" w:eastAsia="宋体" w:hAnsi="Times New Roman" w:cs="Times New Roman" w:hint="eastAsia"/>
          <w:szCs w:val="20"/>
        </w:rPr>
        <w:t>[</w:t>
      </w:r>
      <w:r w:rsidR="008E2006">
        <w:rPr>
          <w:rFonts w:ascii="Times New Roman" w:eastAsia="宋体" w:hAnsi="Times New Roman" w:cs="Times New Roman"/>
          <w:szCs w:val="20"/>
        </w:rPr>
        <w:t>2</w:t>
      </w:r>
      <w:r w:rsidRPr="00ED2904">
        <w:rPr>
          <w:rFonts w:ascii="Times New Roman" w:eastAsia="宋体" w:hAnsi="Times New Roman" w:cs="Times New Roman"/>
          <w:szCs w:val="20"/>
        </w:rPr>
        <w:t>]. Peng, S. (2019). 1-km monthly mean temperature dataset for china (1901-2021). A Big Earth Data Platform for Three Poles, DOI: 10.11888/Meteoro.tpdc.270961. CSTR: 18406.11.Meteoro.tpdc.270961.</w:t>
      </w:r>
    </w:p>
    <w:p w14:paraId="12C83345" w14:textId="2471C2E1" w:rsidR="00285302" w:rsidRPr="00ED2904" w:rsidRDefault="00285302" w:rsidP="00285302">
      <w:pPr>
        <w:widowControl/>
        <w:spacing w:line="220" w:lineRule="atLeast"/>
        <w:rPr>
          <w:rFonts w:ascii="Times New Roman" w:eastAsia="宋体" w:hAnsi="Times New Roman" w:cs="Times New Roman"/>
          <w:szCs w:val="20"/>
        </w:rPr>
      </w:pPr>
      <w:r w:rsidRPr="00ED2904">
        <w:rPr>
          <w:rFonts w:ascii="Times New Roman" w:eastAsia="宋体" w:hAnsi="Times New Roman" w:cs="Times New Roman" w:hint="eastAsia"/>
          <w:szCs w:val="20"/>
        </w:rPr>
        <w:lastRenderedPageBreak/>
        <w:t>[</w:t>
      </w:r>
      <w:r w:rsidR="008E2006">
        <w:rPr>
          <w:rFonts w:ascii="Times New Roman" w:eastAsia="宋体" w:hAnsi="Times New Roman" w:cs="Times New Roman"/>
          <w:szCs w:val="20"/>
        </w:rPr>
        <w:t>3</w:t>
      </w:r>
      <w:r w:rsidRPr="00ED2904">
        <w:rPr>
          <w:rFonts w:ascii="Times New Roman" w:eastAsia="宋体" w:hAnsi="Times New Roman" w:cs="Times New Roman"/>
          <w:szCs w:val="20"/>
        </w:rPr>
        <w:t>]. Shangguan, W., Li, Q., Shi, G. (2022). China Soil Moisture Dataset (2000-2020). A Big Earth Data Platform for Three Poles, DOI: 10.11888/Terre.tpdc.272415. CSTR: 18406.11.Terre.tpdc.272415.</w:t>
      </w:r>
    </w:p>
    <w:p w14:paraId="256399C9" w14:textId="37E90EEF" w:rsidR="00285302" w:rsidRPr="00ED2904" w:rsidRDefault="00285302" w:rsidP="00285302">
      <w:pPr>
        <w:widowControl/>
        <w:spacing w:line="220" w:lineRule="atLeast"/>
        <w:rPr>
          <w:rFonts w:ascii="Times New Roman" w:eastAsia="宋体" w:hAnsi="Times New Roman" w:cs="Times New Roman"/>
          <w:szCs w:val="20"/>
        </w:rPr>
      </w:pPr>
      <w:r w:rsidRPr="00ED2904">
        <w:rPr>
          <w:rFonts w:ascii="Times New Roman" w:eastAsia="宋体" w:hAnsi="Times New Roman" w:cs="Times New Roman" w:hint="eastAsia"/>
          <w:szCs w:val="20"/>
        </w:rPr>
        <w:t>[</w:t>
      </w:r>
      <w:r w:rsidR="008E2006">
        <w:rPr>
          <w:rFonts w:ascii="Times New Roman" w:eastAsia="宋体" w:hAnsi="Times New Roman" w:cs="Times New Roman"/>
          <w:szCs w:val="20"/>
        </w:rPr>
        <w:t>4</w:t>
      </w:r>
      <w:r w:rsidRPr="00ED2904">
        <w:rPr>
          <w:rFonts w:ascii="Times New Roman" w:eastAsia="宋体" w:hAnsi="Times New Roman" w:cs="Times New Roman"/>
          <w:szCs w:val="20"/>
        </w:rPr>
        <w:t xml:space="preserve">]. </w:t>
      </w:r>
      <w:r w:rsidRPr="00ED2904">
        <w:rPr>
          <w:rFonts w:ascii="Times New Roman" w:eastAsia="宋体" w:hAnsi="Times New Roman" w:cs="Times New Roman" w:hint="eastAsia"/>
          <w:szCs w:val="20"/>
        </w:rPr>
        <w:t>He Q, Ju W, Dai S, et al. Drought risk of global terrestrial gross primary productivity over the last 40 years detected by a remote sensing</w:t>
      </w:r>
      <w:r w:rsidRPr="00ED2904">
        <w:rPr>
          <w:rFonts w:ascii="Times New Roman" w:eastAsia="宋体" w:hAnsi="Times New Roman" w:cs="Times New Roman" w:hint="eastAsia"/>
          <w:szCs w:val="20"/>
        </w:rPr>
        <w:t>‐</w:t>
      </w:r>
      <w:r w:rsidRPr="00ED2904">
        <w:rPr>
          <w:rFonts w:ascii="Times New Roman" w:eastAsia="宋体" w:hAnsi="Times New Roman" w:cs="Times New Roman" w:hint="eastAsia"/>
          <w:szCs w:val="20"/>
        </w:rPr>
        <w:t>driven process model[J]. Journal of Geophysical Research: Biogeosciences, 2021, 126(6):</w:t>
      </w:r>
      <w:r w:rsidRPr="00ED2904">
        <w:rPr>
          <w:rFonts w:ascii="Times New Roman" w:eastAsia="宋体" w:hAnsi="Times New Roman" w:cs="Times New Roman"/>
          <w:szCs w:val="20"/>
        </w:rPr>
        <w:t>1-15</w:t>
      </w:r>
      <w:r w:rsidRPr="00ED2904">
        <w:rPr>
          <w:rFonts w:ascii="Times New Roman" w:eastAsia="宋体" w:hAnsi="Times New Roman" w:cs="Times New Roman" w:hint="eastAsia"/>
          <w:szCs w:val="20"/>
        </w:rPr>
        <w:t>.</w:t>
      </w:r>
    </w:p>
    <w:p w14:paraId="790F84F0" w14:textId="1DF19975" w:rsidR="00285302" w:rsidRPr="00ED2904" w:rsidRDefault="008E2006" w:rsidP="00285302">
      <w:pPr>
        <w:widowControl/>
        <w:spacing w:line="220" w:lineRule="atLeast"/>
        <w:rPr>
          <w:rFonts w:ascii="Times New Roman" w:eastAsia="宋体" w:hAnsi="Times New Roman" w:cs="Times New Roman"/>
          <w:szCs w:val="20"/>
        </w:rPr>
      </w:pPr>
      <w:r>
        <w:rPr>
          <w:rFonts w:ascii="Times New Roman" w:eastAsia="宋体" w:hAnsi="Times New Roman" w:cs="Times New Roman"/>
          <w:szCs w:val="20"/>
        </w:rPr>
        <w:t>5</w:t>
      </w:r>
      <w:r w:rsidR="00285302" w:rsidRPr="00ED2904">
        <w:rPr>
          <w:rFonts w:ascii="Times New Roman" w:eastAsia="宋体" w:hAnsi="Times New Roman" w:cs="Times New Roman"/>
          <w:szCs w:val="20"/>
        </w:rPr>
        <w:t>]. Yi L, Xiong L, Yang X. Method of pixelizing GDP data based on the GIS[J]. J. Gansu Sci, 2006, 18: 54-58.</w:t>
      </w:r>
    </w:p>
    <w:p w14:paraId="636BF1FB" w14:textId="37B84388" w:rsidR="00285302" w:rsidRPr="00ED2904" w:rsidRDefault="00285302" w:rsidP="00285302">
      <w:pPr>
        <w:widowControl/>
        <w:spacing w:line="220" w:lineRule="atLeast"/>
        <w:rPr>
          <w:rFonts w:ascii="Times New Roman" w:eastAsia="宋体" w:hAnsi="Times New Roman" w:cs="Times New Roman"/>
          <w:szCs w:val="20"/>
        </w:rPr>
      </w:pPr>
      <w:r w:rsidRPr="00ED2904">
        <w:rPr>
          <w:rFonts w:ascii="Times New Roman" w:eastAsia="宋体" w:hAnsi="Times New Roman" w:cs="Times New Roman" w:hint="eastAsia"/>
          <w:szCs w:val="20"/>
        </w:rPr>
        <w:t>[</w:t>
      </w:r>
      <w:r w:rsidR="00262ED5">
        <w:rPr>
          <w:rFonts w:ascii="Times New Roman" w:eastAsia="宋体" w:hAnsi="Times New Roman" w:cs="Times New Roman"/>
          <w:szCs w:val="20"/>
        </w:rPr>
        <w:t>6</w:t>
      </w:r>
      <w:r w:rsidRPr="00ED2904">
        <w:rPr>
          <w:rFonts w:ascii="Times New Roman" w:eastAsia="宋体" w:hAnsi="Times New Roman" w:cs="Times New Roman"/>
          <w:szCs w:val="20"/>
        </w:rPr>
        <w:t>]. Spawn, S.A., and H.K. Gibbs. 2020. Global Aboveground and Belowground Biomass Carbon Density Maps for the Year 2010. ORNL DAAC,Oak Ridge, Tennessee, USA. https://doi.org/10.3334/ORNLDAAC/1763</w:t>
      </w:r>
    </w:p>
    <w:p w14:paraId="3F2F21B2" w14:textId="2C337F5E" w:rsidR="00285302" w:rsidRDefault="00285302" w:rsidP="00285302">
      <w:pPr>
        <w:widowControl/>
        <w:spacing w:line="220" w:lineRule="atLeast"/>
        <w:rPr>
          <w:rFonts w:ascii="Times New Roman" w:eastAsia="宋体" w:hAnsi="Times New Roman" w:cs="Times New Roman"/>
          <w:szCs w:val="20"/>
        </w:rPr>
      </w:pPr>
      <w:r w:rsidRPr="00ED2904">
        <w:rPr>
          <w:rFonts w:ascii="Times New Roman" w:eastAsia="宋体" w:hAnsi="Times New Roman" w:cs="Times New Roman" w:hint="eastAsia"/>
          <w:szCs w:val="20"/>
        </w:rPr>
        <w:t>[</w:t>
      </w:r>
      <w:r w:rsidR="00262ED5">
        <w:rPr>
          <w:rFonts w:ascii="Times New Roman" w:eastAsia="宋体" w:hAnsi="Times New Roman" w:cs="Times New Roman"/>
          <w:szCs w:val="20"/>
        </w:rPr>
        <w:t>7</w:t>
      </w:r>
      <w:r w:rsidRPr="00ED2904">
        <w:rPr>
          <w:rFonts w:ascii="Times New Roman" w:eastAsia="宋体" w:hAnsi="Times New Roman" w:cs="Times New Roman"/>
          <w:szCs w:val="20"/>
        </w:rPr>
        <w:t>]. Liu S, Bian Z, An T, et al. Carbon pools of biomass and dead organic matter in typical forest ecosystems of Tibet: A new estimation based on the first forestry carbon sequestration monitoring undertaken in China[J]. Land Degradation &amp; Development, 2021, 32(10): 2877-2891.</w:t>
      </w:r>
    </w:p>
    <w:p w14:paraId="3835C993" w14:textId="77777777" w:rsidR="00285302" w:rsidRPr="00285302" w:rsidRDefault="00285302" w:rsidP="00285302"/>
    <w:sectPr w:rsidR="00285302" w:rsidRPr="00285302">
      <w:footerReference w:type="default" r:id="rId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727CCD" w14:textId="77777777" w:rsidR="00970C2F" w:rsidRDefault="00970C2F">
      <w:r>
        <w:separator/>
      </w:r>
    </w:p>
  </w:endnote>
  <w:endnote w:type="continuationSeparator" w:id="0">
    <w:p w14:paraId="2AE8C1AB" w14:textId="77777777" w:rsidR="00970C2F" w:rsidRDefault="00970C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ld">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
    </w:sdtPr>
    <w:sdtEndPr/>
    <w:sdtContent>
      <w:p w14:paraId="526FB76B" w14:textId="77777777" w:rsidR="00855071" w:rsidRDefault="00E34CC2">
        <w:pPr>
          <w:pStyle w:val="a3"/>
          <w:jc w:val="right"/>
        </w:pPr>
        <w:r>
          <w:fldChar w:fldCharType="begin"/>
        </w:r>
        <w:r>
          <w:instrText>PAGE   \* MERGEFORMAT</w:instrText>
        </w:r>
        <w:r>
          <w:fldChar w:fldCharType="separate"/>
        </w:r>
        <w:r>
          <w:rPr>
            <w:lang w:val="zh-CN"/>
          </w:rPr>
          <w:t>2</w:t>
        </w:r>
        <w:r>
          <w:fldChar w:fldCharType="end"/>
        </w:r>
      </w:p>
    </w:sdtContent>
  </w:sdt>
  <w:p w14:paraId="22DC5B04" w14:textId="77777777" w:rsidR="00855071" w:rsidRDefault="0085507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5619F5" w14:textId="77777777" w:rsidR="00970C2F" w:rsidRDefault="00970C2F">
      <w:r>
        <w:separator/>
      </w:r>
    </w:p>
  </w:footnote>
  <w:footnote w:type="continuationSeparator" w:id="0">
    <w:p w14:paraId="3B4A476C" w14:textId="77777777" w:rsidR="00970C2F" w:rsidRDefault="00970C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4918"/>
    <w:rsid w:val="BBBF7AA0"/>
    <w:rsid w:val="EFFF771E"/>
    <w:rsid w:val="000038F9"/>
    <w:rsid w:val="0003209F"/>
    <w:rsid w:val="000664C0"/>
    <w:rsid w:val="00082CA0"/>
    <w:rsid w:val="000A0029"/>
    <w:rsid w:val="000A0947"/>
    <w:rsid w:val="000A466C"/>
    <w:rsid w:val="000C1223"/>
    <w:rsid w:val="000C4BA0"/>
    <w:rsid w:val="000D28B3"/>
    <w:rsid w:val="000D2A88"/>
    <w:rsid w:val="000D7F86"/>
    <w:rsid w:val="000F2F59"/>
    <w:rsid w:val="00101D24"/>
    <w:rsid w:val="001046A7"/>
    <w:rsid w:val="001103F4"/>
    <w:rsid w:val="00125204"/>
    <w:rsid w:val="001435F6"/>
    <w:rsid w:val="00161E78"/>
    <w:rsid w:val="00164918"/>
    <w:rsid w:val="001667C9"/>
    <w:rsid w:val="00176CCC"/>
    <w:rsid w:val="00176F45"/>
    <w:rsid w:val="00186E74"/>
    <w:rsid w:val="001911CD"/>
    <w:rsid w:val="001C3AAF"/>
    <w:rsid w:val="001D0561"/>
    <w:rsid w:val="001D208B"/>
    <w:rsid w:val="00217622"/>
    <w:rsid w:val="002217D0"/>
    <w:rsid w:val="00257691"/>
    <w:rsid w:val="00262ED5"/>
    <w:rsid w:val="0027523D"/>
    <w:rsid w:val="00275471"/>
    <w:rsid w:val="00285302"/>
    <w:rsid w:val="002A7BBF"/>
    <w:rsid w:val="002D66C9"/>
    <w:rsid w:val="002F41E5"/>
    <w:rsid w:val="003035E8"/>
    <w:rsid w:val="003658F0"/>
    <w:rsid w:val="0037021A"/>
    <w:rsid w:val="003B7BFB"/>
    <w:rsid w:val="003C0135"/>
    <w:rsid w:val="003C6D33"/>
    <w:rsid w:val="003D3A50"/>
    <w:rsid w:val="003E27FF"/>
    <w:rsid w:val="003E76B3"/>
    <w:rsid w:val="003F7A7B"/>
    <w:rsid w:val="00443F5E"/>
    <w:rsid w:val="00491681"/>
    <w:rsid w:val="00556B23"/>
    <w:rsid w:val="00557534"/>
    <w:rsid w:val="00585782"/>
    <w:rsid w:val="00595073"/>
    <w:rsid w:val="005A12D9"/>
    <w:rsid w:val="005C5B1F"/>
    <w:rsid w:val="005D734A"/>
    <w:rsid w:val="005E4502"/>
    <w:rsid w:val="005F0EFF"/>
    <w:rsid w:val="005F7E71"/>
    <w:rsid w:val="006043DA"/>
    <w:rsid w:val="00620FEF"/>
    <w:rsid w:val="00680E83"/>
    <w:rsid w:val="006A26C8"/>
    <w:rsid w:val="006B2944"/>
    <w:rsid w:val="006C214E"/>
    <w:rsid w:val="006D5163"/>
    <w:rsid w:val="006E6D4F"/>
    <w:rsid w:val="00714685"/>
    <w:rsid w:val="007216F1"/>
    <w:rsid w:val="007254AB"/>
    <w:rsid w:val="00744E62"/>
    <w:rsid w:val="007644DE"/>
    <w:rsid w:val="00767D2D"/>
    <w:rsid w:val="00780701"/>
    <w:rsid w:val="0078715E"/>
    <w:rsid w:val="007E25E6"/>
    <w:rsid w:val="007E6104"/>
    <w:rsid w:val="007F1794"/>
    <w:rsid w:val="007F3D64"/>
    <w:rsid w:val="007F719E"/>
    <w:rsid w:val="007F740A"/>
    <w:rsid w:val="00810461"/>
    <w:rsid w:val="008120A9"/>
    <w:rsid w:val="0081471B"/>
    <w:rsid w:val="00826916"/>
    <w:rsid w:val="00855071"/>
    <w:rsid w:val="00873B16"/>
    <w:rsid w:val="008A553B"/>
    <w:rsid w:val="008D405F"/>
    <w:rsid w:val="008E0225"/>
    <w:rsid w:val="008E1376"/>
    <w:rsid w:val="008E2006"/>
    <w:rsid w:val="0091356B"/>
    <w:rsid w:val="009228EB"/>
    <w:rsid w:val="00940DB8"/>
    <w:rsid w:val="0094370F"/>
    <w:rsid w:val="0094632E"/>
    <w:rsid w:val="009653AF"/>
    <w:rsid w:val="00970C2F"/>
    <w:rsid w:val="00980F6A"/>
    <w:rsid w:val="00996747"/>
    <w:rsid w:val="009A38A5"/>
    <w:rsid w:val="009A4999"/>
    <w:rsid w:val="009A72F9"/>
    <w:rsid w:val="009B5D3B"/>
    <w:rsid w:val="009D4A65"/>
    <w:rsid w:val="009E11B4"/>
    <w:rsid w:val="009E57DE"/>
    <w:rsid w:val="00A03817"/>
    <w:rsid w:val="00A12533"/>
    <w:rsid w:val="00A17CEA"/>
    <w:rsid w:val="00A219F8"/>
    <w:rsid w:val="00A25BC9"/>
    <w:rsid w:val="00A572C3"/>
    <w:rsid w:val="00A716A6"/>
    <w:rsid w:val="00A77FE7"/>
    <w:rsid w:val="00AB039B"/>
    <w:rsid w:val="00AF35DA"/>
    <w:rsid w:val="00B01B11"/>
    <w:rsid w:val="00B03706"/>
    <w:rsid w:val="00B232E6"/>
    <w:rsid w:val="00B978BB"/>
    <w:rsid w:val="00BB115C"/>
    <w:rsid w:val="00BD4C95"/>
    <w:rsid w:val="00BE45D8"/>
    <w:rsid w:val="00C03FE7"/>
    <w:rsid w:val="00C07214"/>
    <w:rsid w:val="00C27838"/>
    <w:rsid w:val="00C361B1"/>
    <w:rsid w:val="00C57729"/>
    <w:rsid w:val="00C72958"/>
    <w:rsid w:val="00C7620D"/>
    <w:rsid w:val="00C8272E"/>
    <w:rsid w:val="00C95D96"/>
    <w:rsid w:val="00CA3939"/>
    <w:rsid w:val="00CB7834"/>
    <w:rsid w:val="00CD6804"/>
    <w:rsid w:val="00CE7B94"/>
    <w:rsid w:val="00D04AD3"/>
    <w:rsid w:val="00D11354"/>
    <w:rsid w:val="00D1284A"/>
    <w:rsid w:val="00D20F66"/>
    <w:rsid w:val="00D21B3F"/>
    <w:rsid w:val="00D3226D"/>
    <w:rsid w:val="00D57C6D"/>
    <w:rsid w:val="00D60B05"/>
    <w:rsid w:val="00D71942"/>
    <w:rsid w:val="00D86F05"/>
    <w:rsid w:val="00DB37BF"/>
    <w:rsid w:val="00DB55D2"/>
    <w:rsid w:val="00E045E5"/>
    <w:rsid w:val="00E06F20"/>
    <w:rsid w:val="00E34CC2"/>
    <w:rsid w:val="00E54451"/>
    <w:rsid w:val="00E72E7F"/>
    <w:rsid w:val="00E802C8"/>
    <w:rsid w:val="00E91DCF"/>
    <w:rsid w:val="00E968A6"/>
    <w:rsid w:val="00EC1CBE"/>
    <w:rsid w:val="00ED2904"/>
    <w:rsid w:val="00EE657E"/>
    <w:rsid w:val="00EF33AA"/>
    <w:rsid w:val="00F10EE6"/>
    <w:rsid w:val="00F1279A"/>
    <w:rsid w:val="00F14E1A"/>
    <w:rsid w:val="00F57381"/>
    <w:rsid w:val="00F60A25"/>
    <w:rsid w:val="00F62A53"/>
    <w:rsid w:val="00F630CA"/>
    <w:rsid w:val="00F644B6"/>
    <w:rsid w:val="00F72470"/>
    <w:rsid w:val="00F75E45"/>
    <w:rsid w:val="00F97E18"/>
    <w:rsid w:val="00FB65A2"/>
    <w:rsid w:val="00FE29CA"/>
    <w:rsid w:val="54FF0EB4"/>
    <w:rsid w:val="76F37C48"/>
    <w:rsid w:val="7B95E1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315A0DE"/>
  <w14:defaultImageDpi w14:val="32767"/>
  <w15:docId w15:val="{32DE418A-E0C4-40E0-9509-0F9832287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unhideWhenUsed/>
    <w:qFormat/>
    <w:rPr>
      <w:color w:val="0000FF" w:themeColor="hyperlink"/>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10">
    <w:name w:val="标题 1 字符"/>
    <w:basedOn w:val="a0"/>
    <w:link w:val="1"/>
    <w:uiPriority w:val="9"/>
    <w:qFormat/>
    <w:rPr>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qFormat/>
    <w:rPr>
      <w:b/>
      <w:bCs/>
      <w:sz w:val="32"/>
      <w:szCs w:val="32"/>
    </w:rPr>
  </w:style>
  <w:style w:type="character" w:customStyle="1" w:styleId="1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7.emf"/><Relationship Id="rId18" Type="http://schemas.openxmlformats.org/officeDocument/2006/relationships/image" Target="media/image12.emf"/><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image" Target="media/image2.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0.emf"/><Relationship Id="rId20" Type="http://schemas.openxmlformats.org/officeDocument/2006/relationships/image" Target="media/image14.emf"/><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5.emf"/><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9.emf"/><Relationship Id="rId23" Type="http://schemas.openxmlformats.org/officeDocument/2006/relationships/footer" Target="footer1.xml"/><Relationship Id="rId10" Type="http://schemas.openxmlformats.org/officeDocument/2006/relationships/hyperlink" Target="https://www.resdc.cn/DOI/DOI.aspx?DOIID=54" TargetMode="External"/><Relationship Id="rId19" Type="http://schemas.openxmlformats.org/officeDocument/2006/relationships/image" Target="media/image13.emf"/><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8.emf"/><Relationship Id="rId22" Type="http://schemas.openxmlformats.org/officeDocument/2006/relationships/image" Target="media/image1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475</TotalTime>
  <Pages>8</Pages>
  <Words>2390</Words>
  <Characters>13626</Characters>
  <Application>Microsoft Office Word</Application>
  <DocSecurity>0</DocSecurity>
  <Lines>113</Lines>
  <Paragraphs>31</Paragraphs>
  <ScaleCrop>false</ScaleCrop>
  <Company/>
  <LinksUpToDate>false</LinksUpToDate>
  <CharactersWithSpaces>15985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29</cp:revision>
  <dcterms:created xsi:type="dcterms:W3CDTF">2024-06-13T14:02:00Z</dcterms:created>
  <dcterms:modified xsi:type="dcterms:W3CDTF">2024-10-24T07:10:00Z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54AF06F61DBB8B10758A6066F42B6EB6_42</vt:lpwstr>
  </property>
</Properties>
</file>