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5E87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Coffee husks activated carbon supported cobalt oxide-Zinc oxide nanocomposites for enhanced adsorption-photocatalytic degradation of </w:t>
      </w:r>
      <w:r>
        <w:rPr>
          <w:rFonts w:ascii="Times New Roman" w:hAnsi="Times New Roman" w:cs="Times New Roman"/>
          <w:b/>
          <w:bCs/>
          <w:sz w:val="24"/>
          <w:szCs w:val="24"/>
        </w:rPr>
        <w:t>methylene blue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dye in water</w:t>
      </w:r>
    </w:p>
    <w:p w14:paraId="6536CB0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Waktola Fite Dinka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Melkamu Biyana Regasa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377266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>Department of Chemistry, College of Natural and Computational Sciences, Wollega University, Nekemte, Ethiopia</w:t>
      </w:r>
    </w:p>
    <w:p w14:paraId="03BD0EC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Department of Chemistry, College of Natural and Computational Sciences, Dambi Dollo University, Dambi Dollo, Ethiopia</w:t>
      </w:r>
    </w:p>
    <w:p w14:paraId="04764EE1">
      <w:pPr>
        <w:rPr>
          <w:color w:val="auto"/>
        </w:rPr>
      </w:pPr>
    </w:p>
    <w:p w14:paraId="15B1DF7F">
      <w:pPr>
        <w:rPr>
          <w:color w:val="auto"/>
        </w:rPr>
      </w:pPr>
    </w:p>
    <w:p w14:paraId="5C4653BF">
      <w:pPr>
        <w:rPr>
          <w:color w:val="auto"/>
        </w:rPr>
      </w:pPr>
      <w:r>
        <w:rPr>
          <w:rFonts w:ascii="Times New Roman" w:hAnsi="Times New Roman" w:cs="Times New Roman"/>
          <w:iCs/>
          <w:color w:val="auto"/>
          <w:sz w:val="24"/>
          <w:szCs w:val="24"/>
        </w:rPr>
        <w:drawing>
          <wp:inline distT="0" distB="0" distL="0" distR="0">
            <wp:extent cx="5340350" cy="4425315"/>
            <wp:effectExtent l="0" t="0" r="12700" b="133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2462" cy="442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AB6B45">
      <w:pPr>
        <w:rPr>
          <w:color w:val="auto"/>
        </w:rPr>
      </w:pPr>
    </w:p>
    <w:p w14:paraId="42CE9728">
      <w:pPr>
        <w:pStyle w:val="4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0" w:name="_Toc161048818"/>
      <w:r>
        <w:rPr>
          <w:rFonts w:ascii="Times New Roman" w:hAnsi="Times New Roman" w:cs="Times New Roman"/>
          <w:color w:val="auto"/>
          <w:sz w:val="24"/>
          <w:szCs w:val="24"/>
        </w:rPr>
        <w:t xml:space="preserve">Figure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a) UV-Vis spectra and b) Energy band gap c) </w:t>
      </w:r>
      <w:bookmarkEnd w:id="0"/>
      <w:bookmarkStart w:id="1" w:name="_Toc161048819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FT-IR spectra of AC prepared from coffee husk.</w:t>
      </w:r>
      <w:bookmarkEnd w:id="1"/>
    </w:p>
    <w:p w14:paraId="498F4018">
      <w:pPr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253ED5AF">
      <w:pPr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11F8D344">
      <w:pPr>
        <w:pStyle w:val="4"/>
        <w:spacing w:line="36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color w:val="auto"/>
        </w:rPr>
        <w:object>
          <v:shape id="_x0000_i1025" o:spt="75" type="#_x0000_t75" style="height:199.7pt;width:458.5pt;" o:ole="t" filled="f" coordsize="21600,21600">
            <v:path/>
            <v:fill on="f" focussize="0,0"/>
            <v:stroke/>
            <v:imagedata r:id="rId8" cropleft="628f" croptop="5645f" cropright="10309f" cropbottom="28304f" o:title=""/>
            <o:lock v:ext="edit" aspectratio="t"/>
            <w10:wrap type="none"/>
            <w10:anchorlock/>
          </v:shape>
          <o:OLEObject Type="Embed" ProgID="Origin95.Graph" ShapeID="_x0000_i1025" DrawAspect="Content" ObjectID="_1468075725" r:id="rId7">
            <o:LockedField>false</o:LockedField>
          </o:OLEObject>
        </w:objec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Figure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. UV-Vis absorbance spectra of a) nanoparticle and binary nanocomposite and b) supported nanocomposite.</w:t>
      </w:r>
    </w:p>
    <w:p w14:paraId="2D673E1B">
      <w:pPr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46100345"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object>
          <v:shape id="_x0000_i1026" o:spt="75" type="#_x0000_t75" style="height:269.65pt;width:370.2pt;" o:ole="t" filled="f" coordsize="21600,21600">
            <v:path/>
            <v:fill on="f" focussize="0,0"/>
            <v:stroke/>
            <v:imagedata r:id="rId10" cropleft="7030f" croptop="4188f" cropright="6195f" cropbottom="1595f" o:title=""/>
            <o:lock v:ext="edit" aspectratio="t"/>
            <w10:wrap type="none"/>
            <w10:anchorlock/>
          </v:shape>
          <o:OLEObject Type="Embed" ProgID="Origin95.Graph" ShapeID="_x0000_i1026" DrawAspect="Content" ObjectID="_1468075726" r:id="rId9">
            <o:LockedField>false</o:LockedField>
          </o:OLEObject>
        </w:object>
      </w:r>
    </w:p>
    <w:p w14:paraId="59036BC8">
      <w:pPr>
        <w:pStyle w:val="4"/>
        <w:spacing w:line="36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2" w:name="_Toc161048821"/>
      <w:r>
        <w:rPr>
          <w:rFonts w:ascii="Times New Roman" w:hAnsi="Times New Roman" w:cs="Times New Roman"/>
          <w:color w:val="auto"/>
          <w:sz w:val="24"/>
          <w:szCs w:val="24"/>
        </w:rPr>
        <w:t xml:space="preserve">Figure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. Tauc’s plot for optical band gap estimation for nanoparticle, binary nanocomposite and supported nanocomposite.</w:t>
      </w:r>
      <w:bookmarkEnd w:id="2"/>
    </w:p>
    <w:p w14:paraId="528A51F5">
      <w:pPr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0CF215EA">
      <w:pPr>
        <w:pStyle w:val="4"/>
        <w:spacing w:line="360" w:lineRule="auto"/>
        <w:jc w:val="center"/>
        <w:rPr>
          <w:color w:val="auto"/>
        </w:rPr>
      </w:pPr>
      <w:r>
        <w:rPr>
          <w:color w:val="auto"/>
        </w:rPr>
        <w:object>
          <v:shape id="_x0000_i1027" o:spt="75" type="#_x0000_t75" style="height:387.15pt;width:468pt;" o:ole="t" filled="f" coordsize="21600,21600">
            <v:path/>
            <v:fill on="f" focussize="0,0"/>
            <v:stroke/>
            <v:imagedata r:id="rId12" cropleft="4492f" croptop="5390f" cropright="8661f" cropbottom="2160f" o:title=""/>
            <o:lock v:ext="edit" aspectratio="t"/>
            <w10:wrap type="none"/>
            <w10:anchorlock/>
          </v:shape>
          <o:OLEObject Type="Embed" ProgID="Origin95.Graph" ShapeID="_x0000_i1027" DrawAspect="Content" ObjectID="_1468075727" r:id="rId11">
            <o:LockedField>false</o:LockedField>
          </o:OLEObject>
        </w:object>
      </w:r>
      <w:bookmarkStart w:id="3" w:name="_Toc161048825"/>
    </w:p>
    <w:p w14:paraId="74D0E1CF">
      <w:pPr>
        <w:pStyle w:val="4"/>
        <w:spacing w:line="360" w:lineRule="auto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Figure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. The FT-IR spectrum of ZnO/Co</w:t>
      </w:r>
      <w:r>
        <w:rPr>
          <w:rFonts w:ascii="Times New Roman" w:hAnsi="Times New Roman" w:cs="Times New Roman"/>
          <w:b w:val="0"/>
          <w:color w:val="auto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O</w:t>
      </w:r>
      <w:r>
        <w:rPr>
          <w:rFonts w:ascii="Times New Roman" w:hAnsi="Times New Roman" w:cs="Times New Roman"/>
          <w:b w:val="0"/>
          <w:color w:val="auto"/>
          <w:sz w:val="24"/>
          <w:szCs w:val="24"/>
          <w:vertAlign w:val="subscript"/>
        </w:rPr>
        <w:t>4</w:t>
      </w:r>
      <w:r>
        <w:rPr>
          <w:rFonts w:hint="default" w:ascii="Times New Roman" w:hAnsi="Times New Roman" w:cs="Times New Roman"/>
          <w:b w:val="0"/>
          <w:color w:val="auto"/>
          <w:sz w:val="24"/>
          <w:szCs w:val="24"/>
          <w:lang w:val="en-US"/>
        </w:rPr>
        <w:t>/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AC nanocomposite with three different atios (1:2:1, 1:2:2 and 1:2:4) were recorded to investigate their bonding properties.</w:t>
      </w:r>
      <w:bookmarkEnd w:id="3"/>
    </w:p>
    <w:p w14:paraId="3CB3E20A">
      <w:pPr>
        <w:spacing w:line="36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6E9C57C5">
      <w:pPr>
        <w:spacing w:line="36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164B331F">
      <w:pPr>
        <w:spacing w:line="36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5605F672">
      <w:pPr>
        <w:spacing w:line="36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4BA07935">
      <w:pPr>
        <w:spacing w:line="36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57D9FB1E">
      <w:pPr>
        <w:spacing w:line="36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3FFEB860">
      <w:pPr>
        <w:spacing w:line="36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7CE53CBD">
      <w:pPr>
        <w:spacing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Table 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Optimization of different experimental parameters to prepare stable and efficient ZnO/Co</w:t>
      </w:r>
      <w:r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auto"/>
          <w:sz w:val="24"/>
          <w:szCs w:val="24"/>
        </w:rPr>
        <w:t>O</w:t>
      </w:r>
      <w:r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color w:val="auto"/>
          <w:sz w:val="24"/>
          <w:szCs w:val="24"/>
        </w:rPr>
        <w:t>/AC photocatalyst.</w:t>
      </w:r>
      <w:bookmarkStart w:id="4" w:name="_GoBack"/>
      <w:bookmarkEnd w:id="4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8"/>
        <w:gridCol w:w="1980"/>
        <w:gridCol w:w="3060"/>
      </w:tblGrid>
      <w:tr w14:paraId="72347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8" w:type="dxa"/>
          </w:tcPr>
          <w:p w14:paraId="24E52E84">
            <w:pPr>
              <w:spacing w:after="0"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Parameter</w:t>
            </w:r>
          </w:p>
        </w:tc>
        <w:tc>
          <w:tcPr>
            <w:tcW w:w="1980" w:type="dxa"/>
          </w:tcPr>
          <w:p w14:paraId="5A8F57B2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Values</w:t>
            </w:r>
          </w:p>
        </w:tc>
        <w:tc>
          <w:tcPr>
            <w:tcW w:w="3060" w:type="dxa"/>
          </w:tcPr>
          <w:p w14:paraId="3A1DF35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Maximum absorbance point</w:t>
            </w:r>
          </w:p>
        </w:tc>
      </w:tr>
      <w:tr w14:paraId="43CE2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8" w:type="dxa"/>
            <w:vMerge w:val="restart"/>
          </w:tcPr>
          <w:p w14:paraId="593558CA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Precursor mass ratio</w:t>
            </w:r>
          </w:p>
        </w:tc>
        <w:tc>
          <w:tcPr>
            <w:tcW w:w="1980" w:type="dxa"/>
          </w:tcPr>
          <w:p w14:paraId="2809CA56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ZnO:Co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:AC</w:t>
            </w:r>
          </w:p>
        </w:tc>
        <w:tc>
          <w:tcPr>
            <w:tcW w:w="3060" w:type="dxa"/>
            <w:vMerge w:val="restart"/>
          </w:tcPr>
          <w:p w14:paraId="24EA22C8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14:paraId="2F422E63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14:paraId="1080D94A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1:1:2</w:t>
            </w:r>
          </w:p>
        </w:tc>
      </w:tr>
      <w:tr w14:paraId="4C1A3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8" w:type="dxa"/>
            <w:vMerge w:val="continue"/>
          </w:tcPr>
          <w:p w14:paraId="090939B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</w:tcPr>
          <w:p w14:paraId="1458CBFC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1:2:4</w:t>
            </w:r>
          </w:p>
        </w:tc>
        <w:tc>
          <w:tcPr>
            <w:tcW w:w="3060" w:type="dxa"/>
            <w:vMerge w:val="continue"/>
          </w:tcPr>
          <w:p w14:paraId="1D9A44F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14:paraId="21CD8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8" w:type="dxa"/>
            <w:vMerge w:val="continue"/>
          </w:tcPr>
          <w:p w14:paraId="3AF15E7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</w:tcPr>
          <w:p w14:paraId="408D1AE8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1:2:1</w:t>
            </w:r>
          </w:p>
        </w:tc>
        <w:tc>
          <w:tcPr>
            <w:tcW w:w="3060" w:type="dxa"/>
            <w:vMerge w:val="continue"/>
          </w:tcPr>
          <w:p w14:paraId="44CBEEE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14:paraId="329BF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8" w:type="dxa"/>
            <w:vMerge w:val="continue"/>
          </w:tcPr>
          <w:p w14:paraId="5B411E37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</w:tcPr>
          <w:p w14:paraId="52DD9177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1:2:2</w:t>
            </w:r>
          </w:p>
        </w:tc>
        <w:tc>
          <w:tcPr>
            <w:tcW w:w="3060" w:type="dxa"/>
            <w:vMerge w:val="continue"/>
          </w:tcPr>
          <w:p w14:paraId="78127609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14:paraId="3F0A0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8" w:type="dxa"/>
            <w:vMerge w:val="restart"/>
          </w:tcPr>
          <w:p w14:paraId="025886C9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Solution pH</w:t>
            </w:r>
          </w:p>
        </w:tc>
        <w:tc>
          <w:tcPr>
            <w:tcW w:w="1980" w:type="dxa"/>
          </w:tcPr>
          <w:p w14:paraId="0E3B9772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3060" w:type="dxa"/>
            <w:vMerge w:val="restart"/>
          </w:tcPr>
          <w:p w14:paraId="65D4F952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14:paraId="0418CD6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14:paraId="5F1ED02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</w:t>
            </w:r>
          </w:p>
        </w:tc>
      </w:tr>
      <w:tr w14:paraId="2C018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8" w:type="dxa"/>
            <w:vMerge w:val="continue"/>
          </w:tcPr>
          <w:p w14:paraId="2398FB7E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</w:tcPr>
          <w:p w14:paraId="31EF42D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3060" w:type="dxa"/>
            <w:vMerge w:val="continue"/>
          </w:tcPr>
          <w:p w14:paraId="6F5D0730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14:paraId="0D76D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8" w:type="dxa"/>
            <w:vMerge w:val="continue"/>
          </w:tcPr>
          <w:p w14:paraId="47D47CD9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</w:tcPr>
          <w:p w14:paraId="0435BBB7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3060" w:type="dxa"/>
            <w:vMerge w:val="continue"/>
          </w:tcPr>
          <w:p w14:paraId="5AABD4AD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14:paraId="00424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8" w:type="dxa"/>
            <w:vMerge w:val="continue"/>
          </w:tcPr>
          <w:p w14:paraId="4B3F92FF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</w:tcPr>
          <w:p w14:paraId="377242E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</w:t>
            </w:r>
          </w:p>
        </w:tc>
        <w:tc>
          <w:tcPr>
            <w:tcW w:w="3060" w:type="dxa"/>
            <w:vMerge w:val="continue"/>
          </w:tcPr>
          <w:p w14:paraId="18CCC9AB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14:paraId="435CD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8" w:type="dxa"/>
            <w:vMerge w:val="restart"/>
          </w:tcPr>
          <w:p w14:paraId="35F3F208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Reaction temperature (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C)</w:t>
            </w:r>
          </w:p>
        </w:tc>
        <w:tc>
          <w:tcPr>
            <w:tcW w:w="1980" w:type="dxa"/>
          </w:tcPr>
          <w:p w14:paraId="2A7FF379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</w:t>
            </w:r>
          </w:p>
        </w:tc>
        <w:tc>
          <w:tcPr>
            <w:tcW w:w="3060" w:type="dxa"/>
            <w:vMerge w:val="restart"/>
          </w:tcPr>
          <w:p w14:paraId="4DB1BC72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75</w:t>
            </w:r>
          </w:p>
        </w:tc>
      </w:tr>
      <w:tr w14:paraId="07F6C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8" w:type="dxa"/>
            <w:vMerge w:val="continue"/>
          </w:tcPr>
          <w:p w14:paraId="78065D0D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</w:tcPr>
          <w:p w14:paraId="2C5ADAC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75</w:t>
            </w:r>
          </w:p>
        </w:tc>
        <w:tc>
          <w:tcPr>
            <w:tcW w:w="3060" w:type="dxa"/>
            <w:vMerge w:val="continue"/>
          </w:tcPr>
          <w:p w14:paraId="71E73198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14:paraId="33CBD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8" w:type="dxa"/>
            <w:vMerge w:val="continue"/>
          </w:tcPr>
          <w:p w14:paraId="1D2BEEE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0" w:type="dxa"/>
          </w:tcPr>
          <w:p w14:paraId="596A9539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90</w:t>
            </w:r>
          </w:p>
        </w:tc>
        <w:tc>
          <w:tcPr>
            <w:tcW w:w="3060" w:type="dxa"/>
            <w:vMerge w:val="continue"/>
          </w:tcPr>
          <w:p w14:paraId="256AA256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14:paraId="040BE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8" w:type="dxa"/>
          </w:tcPr>
          <w:p w14:paraId="06F1DFB2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Reaction time (hour)</w:t>
            </w:r>
          </w:p>
        </w:tc>
        <w:tc>
          <w:tcPr>
            <w:tcW w:w="1980" w:type="dxa"/>
          </w:tcPr>
          <w:p w14:paraId="4574F4D1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2 </w:t>
            </w:r>
          </w:p>
        </w:tc>
        <w:tc>
          <w:tcPr>
            <w:tcW w:w="3060" w:type="dxa"/>
          </w:tcPr>
          <w:p w14:paraId="4FC17E02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14:paraId="54B717DD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</w:tr>
    </w:tbl>
    <w:p w14:paraId="379C1B77">
      <w:pPr>
        <w:rPr>
          <w:color w:val="auto"/>
        </w:rPr>
      </w:pPr>
    </w:p>
    <w:p w14:paraId="45CE2DFF">
      <w:pPr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14:paraId="44D8256F">
      <w:pPr>
        <w:rPr>
          <w:rFonts w:ascii="Times New Roman" w:hAnsi="Times New Roman" w:cs="Times New Roman"/>
          <w:color w:val="auto"/>
        </w:rPr>
      </w:pPr>
    </w:p>
    <w:p w14:paraId="000DE9AD">
      <w:pPr>
        <w:rPr>
          <w:color w:val="auto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F3573B"/>
    <w:rsid w:val="03F3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unhideWhenUsed/>
    <w:qFormat/>
    <w:uiPriority w:val="35"/>
    <w:pPr>
      <w:spacing w:line="240" w:lineRule="auto"/>
    </w:pPr>
    <w:rPr>
      <w:b/>
      <w:bCs/>
      <w:color w:val="5B9BD5" w:themeColor="accent1"/>
      <w:sz w:val="18"/>
      <w:szCs w:val="18"/>
      <w14:textFill>
        <w14:solidFill>
          <w14:schemeClr w14:val="accent1"/>
        </w14:solidFill>
      </w14:textFill>
    </w:rPr>
  </w:style>
  <w:style w:type="table" w:styleId="5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2.emf"/><Relationship Id="rId7" Type="http://schemas.openxmlformats.org/officeDocument/2006/relationships/oleObject" Target="embeddings/oleObject1.bin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4.emf"/><Relationship Id="rId11" Type="http://schemas.openxmlformats.org/officeDocument/2006/relationships/oleObject" Target="embeddings/oleObject3.bin"/><Relationship Id="rId10" Type="http://schemas.openxmlformats.org/officeDocument/2006/relationships/image" Target="media/image3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2024-10-01T08:56:00Z</dcterms:created>
  <dc:creator>pc</dc:creator>
  <cp:lastModifiedBy>pc</cp:lastModifiedBy>
  <dcterms:modified xsi:type="dcterms:W3CDTF">2024-10-01T09:14:58Z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55B81B42599E4E0EB5A338176721C70B_11</vt:lpwstr>
  </property>
</Properties>
</file>