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2DE2" w:rsidRPr="002B25A5" w:rsidRDefault="00342DE2" w:rsidP="002B25A5">
      <w:pPr>
        <w:pStyle w:val="a3"/>
        <w:tabs>
          <w:tab w:val="left" w:pos="3098"/>
        </w:tabs>
        <w:spacing w:before="240" w:after="120"/>
        <w:rPr>
          <w:rFonts w:ascii="Times New Roman" w:hAnsi="Times New Roman"/>
          <w:b/>
          <w:bCs/>
          <w:color w:val="000000" w:themeColor="text1"/>
          <w:sz w:val="28"/>
          <w:szCs w:val="24"/>
        </w:rPr>
      </w:pPr>
      <w:r w:rsidRPr="002B25A5">
        <w:rPr>
          <w:rFonts w:ascii="Times New Roman" w:hAnsi="Times New Roman"/>
          <w:b/>
          <w:bCs/>
          <w:color w:val="000000" w:themeColor="text1"/>
          <w:sz w:val="28"/>
          <w:szCs w:val="24"/>
        </w:rPr>
        <w:t xml:space="preserve">Supplementary </w:t>
      </w:r>
      <w:r w:rsidR="007E046E" w:rsidRPr="002B25A5">
        <w:rPr>
          <w:rFonts w:ascii="Times New Roman" w:hAnsi="Times New Roman"/>
          <w:b/>
          <w:bCs/>
          <w:color w:val="000000" w:themeColor="text1"/>
          <w:sz w:val="28"/>
          <w:szCs w:val="24"/>
        </w:rPr>
        <w:t>Methods</w:t>
      </w:r>
      <w:bookmarkStart w:id="0" w:name="_GoBack"/>
      <w:bookmarkEnd w:id="0"/>
    </w:p>
    <w:p w:rsidR="0080730A" w:rsidRPr="0080730A" w:rsidRDefault="007E046E" w:rsidP="00195F10">
      <w:pPr>
        <w:pStyle w:val="a3"/>
        <w:spacing w:before="240" w:after="120" w:line="480" w:lineRule="auto"/>
        <w:jc w:val="left"/>
        <w:rPr>
          <w:rFonts w:ascii="Times New Roman" w:hAnsi="Times New Roman"/>
          <w:b/>
          <w:bCs/>
          <w:color w:val="000000" w:themeColor="text1"/>
          <w:sz w:val="24"/>
          <w:szCs w:val="24"/>
        </w:rPr>
      </w:pPr>
      <w:r>
        <w:rPr>
          <w:rFonts w:ascii="Times New Roman" w:hAnsi="Times New Roman"/>
          <w:b/>
          <w:bCs/>
          <w:color w:val="000000" w:themeColor="text1"/>
          <w:sz w:val="24"/>
          <w:szCs w:val="24"/>
        </w:rPr>
        <w:t xml:space="preserve">Supplementary Method </w:t>
      </w:r>
      <w:r w:rsidR="0080730A" w:rsidRPr="0080730A">
        <w:rPr>
          <w:rFonts w:ascii="Times New Roman" w:hAnsi="Times New Roman"/>
          <w:b/>
          <w:bCs/>
          <w:color w:val="000000" w:themeColor="text1"/>
          <w:sz w:val="24"/>
          <w:szCs w:val="24"/>
        </w:rPr>
        <w:t>1. Acquisition and analysis of multimodal MRI</w:t>
      </w:r>
    </w:p>
    <w:p w:rsidR="0080730A" w:rsidRPr="0080730A" w:rsidRDefault="0080730A" w:rsidP="00195F10">
      <w:pPr>
        <w:spacing w:before="240" w:after="120" w:line="480" w:lineRule="auto"/>
        <w:rPr>
          <w:rFonts w:ascii="Times New Roman" w:hAnsi="Times New Roman" w:cs="Times New Roman"/>
          <w:color w:val="000000" w:themeColor="text1"/>
          <w:lang w:val="en-GB"/>
        </w:rPr>
      </w:pPr>
      <w:r w:rsidRPr="0080730A">
        <w:rPr>
          <w:rFonts w:ascii="Times New Roman" w:hAnsi="Times New Roman" w:cs="Times New Roman"/>
          <w:color w:val="000000" w:themeColor="text1"/>
          <w:lang w:val="en-GB"/>
        </w:rPr>
        <w:t>MRI data were acquired on a 3T scanner (</w:t>
      </w:r>
      <w:proofErr w:type="spellStart"/>
      <w:r w:rsidRPr="0080730A">
        <w:rPr>
          <w:rFonts w:ascii="Times New Roman" w:hAnsi="Times New Roman" w:cs="Times New Roman"/>
          <w:color w:val="000000" w:themeColor="text1"/>
          <w:lang w:val="en-GB"/>
        </w:rPr>
        <w:t>uMR</w:t>
      </w:r>
      <w:proofErr w:type="spellEnd"/>
      <w:r w:rsidRPr="0080730A">
        <w:rPr>
          <w:rFonts w:ascii="Times New Roman" w:hAnsi="Times New Roman" w:cs="Times New Roman"/>
          <w:color w:val="000000" w:themeColor="text1"/>
          <w:lang w:val="en-GB"/>
        </w:rPr>
        <w:t xml:space="preserve"> 890, United Imaging Healthcare, Shanghai, China) with a dedicated 64-channel head coil. As our previous protocol of RJNB</w:t>
      </w:r>
      <w:r w:rsidRPr="0080730A">
        <w:rPr>
          <w:rFonts w:ascii="Times New Roman" w:hAnsi="Times New Roman" w:cs="Times New Roman"/>
          <w:color w:val="000000" w:themeColor="text1"/>
          <w:lang w:eastAsia="zh-CN"/>
        </w:rPr>
        <w:t>-Dementia</w:t>
      </w:r>
      <w:r w:rsidRPr="0080730A">
        <w:rPr>
          <w:rFonts w:ascii="Times New Roman" w:hAnsi="Times New Roman" w:cs="Times New Roman"/>
          <w:color w:val="000000" w:themeColor="text1"/>
          <w:lang w:val="en-GB"/>
        </w:rPr>
        <w:t xml:space="preserve"> dataset</w:t>
      </w:r>
      <w:r w:rsidRPr="0080730A">
        <w:rPr>
          <w:rFonts w:ascii="Times New Roman" w:hAnsi="Times New Roman" w:cs="Times New Roman"/>
          <w:color w:val="000000" w:themeColor="text1"/>
          <w:lang w:val="en-GB"/>
        </w:rPr>
        <w:fldChar w:fldCharType="begin"/>
      </w:r>
      <w:r w:rsidR="006C125C">
        <w:rPr>
          <w:rFonts w:ascii="Times New Roman" w:hAnsi="Times New Roman" w:cs="Times New Roman"/>
          <w:color w:val="000000" w:themeColor="text1"/>
          <w:lang w:val="en-GB"/>
        </w:rPr>
        <w:instrText xml:space="preserve"> ADDIN ZOTERO_ITEM CSL_CITATION {"citationID":"0hg5Q0MY","properties":{"formattedCitation":"\\super 1,2\\nosupersub{}","plainCitation":"1,2","noteIndex":0},"citationItems":[{"id":"7Pkga8HE/xo9xgt3V","uris":["http://zotero.org/users/9311654/items/JL6PTMJS"],"itemData":{"id":2812,"type":"article-journal","abstract":"INTRODUCTION: We investigated the association between white matter hyperintensities (WMH) and regional cortical thickness, amyloid and tau deposition, and synaptic density in the WMH-connected cortex using multimodal images.\nMETHODS: We included 107 participants (59 with Alzheimer's disease [AD]; 27 with mild cognitive impairment; 21 cognitively normal controls) with amyloid beta (Aβ) positivity on amyloid positron emission tomography (PET). The cortex connected to WMH was identified using probabilistic tractography.\nRESULTS: We found that WMH connected to the cortex with more severe regional degeneration as measured by cortical thickness, Aβ and tau deposition, and synaptic vesicle glycoprotein 2 A (SV2A) density using 18F-SynVesT-1 PET. In addition, higher ratios of Aβ in the deep WMH-connected versus WMH-unconnected cortex were significantly related to lower cognitive scores. Last, the cortical thickness of WMH-connected cortex reduced more than WMH-unconnected cortex over 12 months.\nDISCUSSION: Our results suggest that WMH may be associated with AD-intrinsic processes of degeneration, in addition to vascular mechanisms.\nHIGHLIGHTS: We studied white matter hyperintensities (WMHs) and WMH-connected cortical changes. WMHs are associated with more severe regional cortical degeneration. Findings suggest WMHs may be associated with Alzheimer's disease-intrinsic processes of degeneration.","container-title":"Alzheimer's &amp; Dementia: The Journal of the Alzheimer's Association","DOI":"10.1002/alz.13845","ISSN":"1552-5279","journalAbbreviation":"Alzheimers Dement","language":"eng","note":"PMID: 38648354","source":"PubMed","title":"Linking white matter hyperintensities to regional cortical thinning, amyloid deposition, and synaptic density loss in Alzheimer's disease","author":[{"family":"Zhang","given":"Junfang"},{"family":"Chen","given":"Haijuan"},{"family":"Wang","given":"Jie"},{"family":"Huang","given":"Qi"},{"family":"Xu","given":"Xiaomeng"},{"family":"Wang","given":"Wenjing"},{"family":"Xu","given":"Wei"},{"family":"Guan","given":"Yihui"},{"family":"Liu","given":"Jun"},{"family":"Wardlaw","given":"Joanna M."},{"family":"Deng","given":"Yulei"},{"family":"Xie","given":"Fang"},{"family":"Li","given":"Binyin"}],"issued":{"date-parts":[["2024",4,22]]}},"label":"page"},{"id":"7Pkga8HE/cnm2Wp58","uris":["http://zotero.org/users/9311654/items/XGX5ZFNH"],"itemData":{"id":2376,"type":"article-journal","abstract":"Synapse loss has been considered as a major pathological change in Alzheimer's disease (AD). It remains unclear about whether and how synapse loss relates to functional and structural connectivity dysfunction in AD. We measured synaptic vesicle glycoprotein 2 A (SV2A) binding using 18F-SynVesT-1 PET to evaluate synaptic alterations in 33 participants with AD, 31 with mild cognitive impairment (MCI), and 30 controls. We examined the correlation between synaptic density and cognitive function. Functional MRI was performed to analyze functional connectivity in lower synaptic density regions. We tracked the white matter tracts between impaired functional connectivity regions using Diffusion MRI. In AD group, lower synaptic density in bilateral cortex and hippocampus was found when compared with controls. The synaptic density changes in right insular cortex and bilateral caudal middle frontal gyrus (MFG) were correlated with cognitive decline. Among them, right MFG synaptic density was positively associated with right MFG - bilateral superior frontal gyrus (SFG) functional connectivity. AD had lower probability of tract (POT) between right MFG and SFG than controls, which was significantly associated with global cognition. These findings provide evidence supporting synapse loss contributes to functional and related structural connectivity alterations underlying cognitive impairment of AD.","container-title":"Journal of Cerebral Blood Flow and Metabolism: Official Journal of the International Society of Cerebral Blood Flow and Metabolism","DOI":"10.1177/0271678X231153730","ISSN":"1559-7016","issue":"6","journalAbbreviation":"J Cereb Blood Flow Metab","language":"eng","note":"PMID: 36718002\nPMCID: PMC10196742","page":"977-988","source":"PubMed","title":"In vivo synaptic density loss correlates with impaired functional and related structural connectivity in Alzheimer's disease","volume":"43","author":[{"family":"Zhang","given":"Junfang"},{"family":"Wang","given":"Jie"},{"family":"Xu","given":"Xiaomeng"},{"family":"You","given":"Zhiwen"},{"family":"Huang","given":"Qi"},{"family":"Huang","given":"Yiyun"},{"family":"Guo","given":"Qihao"},{"family":"Guan","given":"Yihui"},{"family":"Zhao","given":"Jun"},{"family":"Liu","given":"Jun"},{"family":"Xu","given":"Wei"},{"family":"Deng","given":"Yulei"},{"family":"Xie","given":"Fang"},{"family":"Li","given":"Binyin"}],"issued":{"date-parts":[["2023",6]]}},"label":"page"}],"schema":"https://github.com/citation-style-language/schema/raw/master/csl-citation.json"} </w:instrText>
      </w:r>
      <w:r w:rsidRPr="0080730A">
        <w:rPr>
          <w:rFonts w:ascii="Times New Roman" w:hAnsi="Times New Roman" w:cs="Times New Roman"/>
          <w:color w:val="000000" w:themeColor="text1"/>
          <w:lang w:val="en-GB"/>
        </w:rPr>
        <w:fldChar w:fldCharType="separate"/>
      </w:r>
      <w:r w:rsidRPr="0080730A">
        <w:rPr>
          <w:rFonts w:ascii="Times New Roman" w:hAnsi="Times New Roman" w:cs="Times New Roman"/>
          <w:color w:val="000000"/>
          <w:vertAlign w:val="superscript"/>
        </w:rPr>
        <w:t>1,2</w:t>
      </w:r>
      <w:r w:rsidRPr="0080730A">
        <w:rPr>
          <w:rFonts w:ascii="Times New Roman" w:hAnsi="Times New Roman" w:cs="Times New Roman"/>
          <w:color w:val="000000" w:themeColor="text1"/>
          <w:lang w:val="en-GB"/>
        </w:rPr>
        <w:fldChar w:fldCharType="end"/>
      </w:r>
      <w:r w:rsidRPr="0080730A">
        <w:rPr>
          <w:rFonts w:ascii="Times New Roman" w:hAnsi="Times New Roman" w:cs="Times New Roman"/>
          <w:color w:val="000000" w:themeColor="text1"/>
          <w:lang w:val="en-GB"/>
        </w:rPr>
        <w:t xml:space="preserve">, the T1-weighted structural images were acquired with a 3D fast spoiled gradient-echo sequence, with 0.75 mm isotropic voxels (field of view read: 240 mm, output images of 360 × 439× 480 slices, </w:t>
      </w:r>
      <w:bookmarkStart w:id="1" w:name="OLE_LINK13"/>
      <w:r w:rsidRPr="0080730A">
        <w:rPr>
          <w:rFonts w:ascii="Times New Roman" w:hAnsi="Times New Roman" w:cs="Times New Roman"/>
          <w:color w:val="000000" w:themeColor="text1"/>
          <w:lang w:val="en-GB"/>
        </w:rPr>
        <w:t>repetition time</w:t>
      </w:r>
      <w:r w:rsidRPr="0080730A" w:rsidDel="00441A4A">
        <w:rPr>
          <w:rFonts w:ascii="Times New Roman" w:hAnsi="Times New Roman" w:cs="Times New Roman"/>
          <w:color w:val="000000" w:themeColor="text1"/>
          <w:lang w:val="en-GB"/>
        </w:rPr>
        <w:t xml:space="preserve"> </w:t>
      </w:r>
      <w:r w:rsidRPr="0080730A">
        <w:rPr>
          <w:rFonts w:ascii="Times New Roman" w:hAnsi="Times New Roman" w:cs="Times New Roman"/>
          <w:color w:val="000000" w:themeColor="text1"/>
          <w:lang w:val="en-GB"/>
        </w:rPr>
        <w:t xml:space="preserve">(TR) / inversion time (TI) = 7.5 </w:t>
      </w:r>
      <w:proofErr w:type="spellStart"/>
      <w:r w:rsidRPr="0080730A">
        <w:rPr>
          <w:rFonts w:ascii="Times New Roman" w:hAnsi="Times New Roman" w:cs="Times New Roman"/>
          <w:color w:val="000000" w:themeColor="text1"/>
          <w:lang w:val="en-GB"/>
        </w:rPr>
        <w:t>ms</w:t>
      </w:r>
      <w:proofErr w:type="spellEnd"/>
      <w:r w:rsidRPr="0080730A">
        <w:rPr>
          <w:rFonts w:ascii="Times New Roman" w:hAnsi="Times New Roman" w:cs="Times New Roman"/>
          <w:color w:val="000000" w:themeColor="text1"/>
          <w:lang w:val="en-GB"/>
        </w:rPr>
        <w:t xml:space="preserve"> /1100 </w:t>
      </w:r>
      <w:proofErr w:type="spellStart"/>
      <w:r w:rsidRPr="0080730A">
        <w:rPr>
          <w:rFonts w:ascii="Times New Roman" w:hAnsi="Times New Roman" w:cs="Times New Roman"/>
          <w:color w:val="000000" w:themeColor="text1"/>
          <w:lang w:val="en-GB"/>
        </w:rPr>
        <w:t>ms</w:t>
      </w:r>
      <w:proofErr w:type="spellEnd"/>
      <w:r w:rsidRPr="0080730A">
        <w:rPr>
          <w:rFonts w:ascii="Times New Roman" w:hAnsi="Times New Roman" w:cs="Times New Roman"/>
          <w:color w:val="000000" w:themeColor="text1"/>
          <w:lang w:val="en-GB"/>
        </w:rPr>
        <w:t xml:space="preserve">, echo time (TE) </w:t>
      </w:r>
      <w:bookmarkEnd w:id="1"/>
      <w:r w:rsidRPr="0080730A">
        <w:rPr>
          <w:rFonts w:ascii="Times New Roman" w:hAnsi="Times New Roman" w:cs="Times New Roman"/>
          <w:color w:val="000000" w:themeColor="text1"/>
          <w:lang w:val="en-GB"/>
        </w:rPr>
        <w:t xml:space="preserve">= 3.4 </w:t>
      </w:r>
      <w:proofErr w:type="spellStart"/>
      <w:r w:rsidRPr="0080730A">
        <w:rPr>
          <w:rFonts w:ascii="Times New Roman" w:hAnsi="Times New Roman" w:cs="Times New Roman"/>
          <w:color w:val="000000" w:themeColor="text1"/>
          <w:lang w:val="en-GB"/>
        </w:rPr>
        <w:t>ms</w:t>
      </w:r>
      <w:proofErr w:type="spellEnd"/>
      <w:r w:rsidRPr="0080730A">
        <w:rPr>
          <w:rFonts w:ascii="Times New Roman" w:hAnsi="Times New Roman" w:cs="Times New Roman"/>
          <w:color w:val="000000" w:themeColor="text1"/>
          <w:lang w:val="en-GB"/>
        </w:rPr>
        <w:t xml:space="preserve">, flip angle = 7 degree). The 3D FLAIR acquisition parameters were: TR= 6000 </w:t>
      </w:r>
      <w:proofErr w:type="spellStart"/>
      <w:r w:rsidRPr="0080730A">
        <w:rPr>
          <w:rFonts w:ascii="Times New Roman" w:hAnsi="Times New Roman" w:cs="Times New Roman"/>
          <w:color w:val="000000" w:themeColor="text1"/>
          <w:lang w:val="en-GB"/>
        </w:rPr>
        <w:t>ms</w:t>
      </w:r>
      <w:proofErr w:type="spellEnd"/>
      <w:r w:rsidRPr="0080730A">
        <w:rPr>
          <w:rFonts w:ascii="Times New Roman" w:hAnsi="Times New Roman" w:cs="Times New Roman"/>
          <w:color w:val="000000" w:themeColor="text1"/>
          <w:lang w:val="en-GB"/>
        </w:rPr>
        <w:t xml:space="preserve">, TE = 408 </w:t>
      </w:r>
      <w:proofErr w:type="spellStart"/>
      <w:r w:rsidRPr="0080730A">
        <w:rPr>
          <w:rFonts w:ascii="Times New Roman" w:hAnsi="Times New Roman" w:cs="Times New Roman"/>
          <w:color w:val="000000" w:themeColor="text1"/>
          <w:lang w:val="en-GB"/>
        </w:rPr>
        <w:t>ms</w:t>
      </w:r>
      <w:proofErr w:type="spellEnd"/>
      <w:r w:rsidRPr="0080730A">
        <w:rPr>
          <w:rFonts w:ascii="Times New Roman" w:hAnsi="Times New Roman" w:cs="Times New Roman"/>
          <w:color w:val="000000" w:themeColor="text1"/>
          <w:lang w:val="en-GB"/>
        </w:rPr>
        <w:t>, and TI = 1841ms, with 0.75 mm isotropic voxels.</w:t>
      </w:r>
      <w:r w:rsidRPr="0080730A">
        <w:rPr>
          <w:rFonts w:ascii="Times New Roman" w:hAnsi="Times New Roman" w:cs="Times New Roman"/>
          <w:color w:val="000000" w:themeColor="text1"/>
        </w:rPr>
        <w:t xml:space="preserve"> </w:t>
      </w:r>
      <w:r w:rsidRPr="0080730A">
        <w:rPr>
          <w:rFonts w:ascii="Times New Roman" w:hAnsi="Times New Roman" w:cs="Times New Roman"/>
          <w:color w:val="000000" w:themeColor="text1"/>
          <w:lang w:val="en-GB"/>
        </w:rPr>
        <w:t xml:space="preserve">Diffusion images were acquired with an </w:t>
      </w:r>
      <w:bookmarkStart w:id="2" w:name="OLE_LINK17"/>
      <w:r w:rsidRPr="0080730A">
        <w:rPr>
          <w:rFonts w:ascii="Times New Roman" w:hAnsi="Times New Roman" w:cs="Times New Roman"/>
          <w:color w:val="000000" w:themeColor="text1"/>
          <w:lang w:val="en-GB"/>
        </w:rPr>
        <w:t xml:space="preserve">echo-planar imaging </w:t>
      </w:r>
      <w:bookmarkEnd w:id="2"/>
      <w:r w:rsidRPr="0080730A">
        <w:rPr>
          <w:rFonts w:ascii="Times New Roman" w:hAnsi="Times New Roman" w:cs="Times New Roman"/>
          <w:color w:val="000000" w:themeColor="text1"/>
          <w:lang w:val="en-GB"/>
        </w:rPr>
        <w:t>(EPI) sequence, and the parameters were: TR/TE= 3500/77.3 </w:t>
      </w:r>
      <w:proofErr w:type="spellStart"/>
      <w:r w:rsidRPr="0080730A">
        <w:rPr>
          <w:rFonts w:ascii="Times New Roman" w:hAnsi="Times New Roman" w:cs="Times New Roman"/>
          <w:color w:val="000000" w:themeColor="text1"/>
          <w:lang w:val="en-GB"/>
        </w:rPr>
        <w:t>ms</w:t>
      </w:r>
      <w:proofErr w:type="spellEnd"/>
      <w:r w:rsidRPr="0080730A">
        <w:rPr>
          <w:rFonts w:ascii="Times New Roman" w:hAnsi="Times New Roman" w:cs="Times New Roman"/>
          <w:color w:val="000000" w:themeColor="text1"/>
          <w:lang w:val="en-GB"/>
        </w:rPr>
        <w:t xml:space="preserve">, voxel size = 1.5 × 1.5 × 1.5 mm, 100 slices, multiple band = 10, diffusion direction = 32/64, b = 1500/3000, phase encoding direction = PA. A pair of four b0 images with reversed phase-encode blips (AP and PA) was acquired to correct susceptibility-induced distortion. The ASL scans were performed using a 5-delay </w:t>
      </w:r>
      <w:proofErr w:type="spellStart"/>
      <w:r w:rsidRPr="0080730A">
        <w:rPr>
          <w:rFonts w:ascii="Times New Roman" w:hAnsi="Times New Roman" w:cs="Times New Roman"/>
          <w:color w:val="000000" w:themeColor="text1"/>
          <w:lang w:val="en-GB"/>
        </w:rPr>
        <w:t>pCASL</w:t>
      </w:r>
      <w:proofErr w:type="spellEnd"/>
      <w:r w:rsidRPr="0080730A">
        <w:rPr>
          <w:rFonts w:ascii="Times New Roman" w:hAnsi="Times New Roman" w:cs="Times New Roman"/>
          <w:color w:val="000000" w:themeColor="text1"/>
          <w:lang w:val="en-GB"/>
        </w:rPr>
        <w:t xml:space="preserve"> protocol with background suppressed 3D GRASE (gradient and spin echo) readout (</w:t>
      </w:r>
      <w:proofErr w:type="spellStart"/>
      <w:r w:rsidRPr="0080730A">
        <w:rPr>
          <w:rFonts w:ascii="Times New Roman" w:hAnsi="Times New Roman" w:cs="Times New Roman"/>
          <w:color w:val="000000" w:themeColor="text1"/>
          <w:lang w:val="en-GB"/>
        </w:rPr>
        <w:t>labeling</w:t>
      </w:r>
      <w:proofErr w:type="spellEnd"/>
      <w:r w:rsidRPr="0080730A">
        <w:rPr>
          <w:rFonts w:ascii="Times New Roman" w:hAnsi="Times New Roman" w:cs="Times New Roman"/>
          <w:color w:val="000000" w:themeColor="text1"/>
          <w:lang w:val="en-GB"/>
        </w:rPr>
        <w:t xml:space="preserve"> pulse duration = 1.8 s, post label delay = 0.5-1.0-1.5-2.0-2.5 s, matrix = 64 × 64, voxel size = 3.5 × 3.5 × 3.5 mm, 6 pairs of tag and control for each delay).</w:t>
      </w:r>
    </w:p>
    <w:p w:rsidR="0080730A" w:rsidRPr="0080730A" w:rsidRDefault="0080730A" w:rsidP="00195F10">
      <w:pPr>
        <w:pStyle w:val="a3"/>
        <w:spacing w:before="240" w:after="120" w:line="480" w:lineRule="auto"/>
        <w:jc w:val="left"/>
        <w:rPr>
          <w:rFonts w:ascii="Times New Roman" w:hAnsi="Times New Roman"/>
          <w:b/>
          <w:bCs/>
          <w:color w:val="000000" w:themeColor="text1"/>
          <w:sz w:val="24"/>
          <w:szCs w:val="24"/>
        </w:rPr>
      </w:pPr>
      <w:r w:rsidRPr="0080730A">
        <w:rPr>
          <w:rFonts w:ascii="Times New Roman" w:hAnsi="Times New Roman"/>
          <w:b/>
          <w:bCs/>
          <w:color w:val="000000" w:themeColor="text1"/>
          <w:sz w:val="24"/>
          <w:szCs w:val="24"/>
          <w:lang w:eastAsia="zh-CN"/>
        </w:rPr>
        <w:t>CP and WMH</w:t>
      </w:r>
      <w:r w:rsidRPr="0080730A">
        <w:rPr>
          <w:rFonts w:ascii="Times New Roman" w:hAnsi="Times New Roman"/>
          <w:b/>
          <w:bCs/>
          <w:color w:val="000000" w:themeColor="text1"/>
          <w:sz w:val="24"/>
          <w:szCs w:val="24"/>
        </w:rPr>
        <w:t xml:space="preserve"> segmentation</w:t>
      </w:r>
    </w:p>
    <w:p w:rsidR="0080730A" w:rsidRPr="0080730A" w:rsidRDefault="0080730A" w:rsidP="00195F10">
      <w:pPr>
        <w:pStyle w:val="a3"/>
        <w:spacing w:line="480" w:lineRule="auto"/>
        <w:jc w:val="left"/>
        <w:rPr>
          <w:rFonts w:ascii="Times New Roman" w:eastAsiaTheme="minorEastAsia" w:hAnsi="Times New Roman"/>
          <w:color w:val="000000" w:themeColor="text1"/>
          <w:kern w:val="2"/>
          <w:sz w:val="24"/>
          <w:szCs w:val="24"/>
          <w:lang w:eastAsia="zh-CN" w:bidi="ar-SA"/>
        </w:rPr>
      </w:pPr>
      <w:r w:rsidRPr="0080730A">
        <w:rPr>
          <w:rFonts w:ascii="Times New Roman" w:eastAsiaTheme="minorEastAsia" w:hAnsi="Times New Roman"/>
          <w:color w:val="000000" w:themeColor="text1"/>
          <w:kern w:val="2"/>
          <w:sz w:val="24"/>
          <w:szCs w:val="24"/>
          <w:lang w:val="en-GB" w:eastAsia="zh-CN" w:bidi="ar-SA"/>
        </w:rPr>
        <w:lastRenderedPageBreak/>
        <w:t xml:space="preserve">The region of interest (ROI) of CP was segmented from 3D-T1 weighted images. Both baseline and follow-up 3D-T1 images were segmented automatically based on </w:t>
      </w:r>
      <w:proofErr w:type="spellStart"/>
      <w:r w:rsidRPr="0080730A">
        <w:rPr>
          <w:rFonts w:ascii="Times New Roman" w:eastAsiaTheme="minorEastAsia" w:hAnsi="Times New Roman"/>
          <w:color w:val="000000" w:themeColor="text1"/>
          <w:kern w:val="2"/>
          <w:sz w:val="24"/>
          <w:szCs w:val="24"/>
          <w:lang w:val="en-GB" w:eastAsia="zh-CN" w:bidi="ar-SA"/>
        </w:rPr>
        <w:t>FreeSurfer</w:t>
      </w:r>
      <w:proofErr w:type="spellEnd"/>
      <w:r w:rsidRPr="0080730A">
        <w:rPr>
          <w:rFonts w:ascii="Times New Roman" w:eastAsiaTheme="minorEastAsia" w:hAnsi="Times New Roman"/>
          <w:color w:val="000000" w:themeColor="text1"/>
          <w:kern w:val="2"/>
          <w:sz w:val="24"/>
          <w:szCs w:val="24"/>
          <w:lang w:val="en-GB" w:eastAsia="zh-CN" w:bidi="ar-SA"/>
        </w:rPr>
        <w:t xml:space="preserve"> 7.1.1 platform as previously described</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{"citationID":"GVvZLCP2","properties":{"formattedCitation":"\\super 3,4\\nosupersub{}","plainCitation":"3,4","noteIndex":0},"citationItems":[{"id":"7Pkga8HE/S2pUei39","uris":["http://zotero.org/users/9311654/items/2SEYSR88"],"itemData":{"id":2421,"type":"article-journal","abstract":"Given the difficulty in factoring out typical age effects from subtle Alzheimer's disease (AD) effects on brain structure, identification of very early, as well as younger preclinical \"at-risk\" individuals has unique challenges. We examined whether age-correction procedures could be used to better identify individuals at very early potential risk from adults who did not have any existing cognitive diagnosis. First, we obtained cross-sectional age effects for each structural feature using data from a selected portion of the Human Connectome Project Aging (HCP-A) cohort. After age detrending, we weighted AD structural deterioration with patterns quantified from data of the Alzheimer's Disease Neuroimaging Initiative. Support vector machine was then used to classify individuals with brains that most resembled atrophy in AD across the entire HCP-A sample. Additionally, we iteratively adjusted the pipeline by removing individuals classified as AD-like from the HCP-A cohort to minimize atypical brain structural contributions to the age detrending. The classifier had a mean cross-validation accuracy of 94.0% for AD recognition. It also could identify mild cognitive impairment with more severe AD-specific biomarkers and worse cognition. In an independent HCP-A cohort, 8.8% were identified as AD-like, and they trended toward worse cognition. An \"AD risk\" score derived from the machine learning models also significantly correlated with cognition. This work provides a proof of concept for the potential to use structural brain imaging to identify asymptomatic individuals at young ages who show structural brain patterns similar to AD and are potentially at risk for a future clinical disorder.","container-title":"Human Brain Mapping","DOI":"10.1002/hbm.25626","ISSN":"1097-0193","issue":"17","journalAbbreviation":"Hum Brain Mapp","language":"eng","note":"PMID: 34582057\nPMCID: PMC8559490","page":"5535-5546","source":"PubMed","title":"Identifying individuals with Alzheimer's disease-like brains based on structural imaging in the Human Connectome Project Aging cohort","volume":"42","author":[{"family":"Li","given":"Binyin"},{"family":"Jang","given":"Ikbeom"},{"family":"Riphagen","given":"Joost"},{"family":"Almaktoum","given":"Randa"},{"family":"Yochim","given":"Kathryn Morrison"},{"family":"Ances","given":"Beau M."},{"family":"Bookheimer","given":"Susan Y."},{"family":"Salat","given":"David H."},{"literal":"Alzheimer's Disease Neuroimaging Initiative"}],"issued":{"date-parts":[["2021",12,1]]}},"label":"page"},{"id":"7Pkga8HE/xF3ddzPH","uris":["http://zotero.org/users/9311654/items/CZ3W756B"],"itemData":{"id":2600,"type":"article-journal","abstract":"Structural neuroimaging has been applied to the identification of individuals with Alzheimer's disease (AD) and mild cognitive impairment (MCI). However, these methods are greatly impacted by age limiting their utility for detection of preclinical pathology. We built linear models for age based on multiple combined structural features using a large independent lifespan sample of 272 healthy adults across a wide age range from the Human Connectome Project Aging study. These models were then used to create a new support vector machine (SVM) training model in 136 AD and 268 control participants based on residues of fit from the expected age-effects relationship. Subsequent validation assessed the accuracy of the SVM model in new datasets. Finally, we applied the classifier to 276 individuals with MCI to evaluate prediction for early impairment and longitudinal cognitive change. The optimal 10-fold cross-validation accuracy was 93.07%, compared to 91.83% without age detrending. In the validation dataset, the classifier for AD obtained an accuracy of 84.85% (56/66), sensitivity of 85.36% (35/41) and specificity of 84% (21/25). Classification accuracy was improved when using the lifespan sample as opposed to the classification sample. Importantly, we observed cross-sectional greater AD specific biomarkers, as well as faster cognitive decline in MCI who were classified as more 'AD-like' (MCI-AD), and these effects were pronounced in individuals who were late MCI. The top five contributive features were volumes of left hippocampus, right hippocampus, left amygdala, the thickness of left and right middle temporal &amp; parahippocampus gyrus. Linear detrending for age in SVM for combined structural features resulted in good performance for recognition of AD and AD-specific biomarkers, as well as prediction of MCI progression. Such procedures may be used in future work to enhance prediction in samples with atypical age distributions.","container-title":"NeuroImage. Clinical","DOI":"10.1016/j.nicl.2020.102387","ISSN":"2213-1582","journalAbbreviation":"Neuroimage Clin","language":"eng","note":"PMID: 32871388\nPMCID: PMC7476071","page":"102387","source":"PubMed","title":"Prediction of clinical and biomarker conformed Alzheimer's disease and mild cognitive impairment from multi-feature brain structural MRI using age-correction from a large independent lifespan sample","volume":"28","author":[{"family":"Li","given":"Binyin"},{"family":"Zhang","given":"Miao"},{"family":"Riphagen","given":"Joost"},{"family":"Morrison Yochim","given":"Kathryn"},{"family":"Li","given":"Biao"},{"family":"Liu","given":"Jun"},{"family":"Salat","given":"David H."},{"literal":"Alzheimer's Disease Neuroimaging Initiative"}],"issued":{"date-parts":[["2020"]]}},"label":"page"}],"schema":"https://github.com/citation-style-language/schema/raw/master/csl-citation.json"}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3,4</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xml:space="preserve">. The segmentation of brain volumes is based on an atlas containing probabilistic information regarding the location of structures. This pre-processing step involves motion correction of 3D T1 images, brain extraction, segmentation of subcortical white matter and deep </w:t>
      </w:r>
      <w:proofErr w:type="spellStart"/>
      <w:r w:rsidRPr="0080730A">
        <w:rPr>
          <w:rFonts w:ascii="Times New Roman" w:eastAsiaTheme="minorEastAsia" w:hAnsi="Times New Roman"/>
          <w:color w:val="000000" w:themeColor="text1"/>
          <w:kern w:val="2"/>
          <w:sz w:val="24"/>
          <w:szCs w:val="24"/>
          <w:lang w:val="en-GB" w:eastAsia="zh-CN" w:bidi="ar-SA"/>
        </w:rPr>
        <w:t>gray</w:t>
      </w:r>
      <w:proofErr w:type="spellEnd"/>
      <w:r w:rsidRPr="0080730A">
        <w:rPr>
          <w:rFonts w:ascii="Times New Roman" w:eastAsiaTheme="minorEastAsia" w:hAnsi="Times New Roman"/>
          <w:color w:val="000000" w:themeColor="text1"/>
          <w:kern w:val="2"/>
          <w:sz w:val="24"/>
          <w:szCs w:val="24"/>
          <w:lang w:val="en-GB" w:eastAsia="zh-CN" w:bidi="ar-SA"/>
        </w:rPr>
        <w:t xml:space="preserve"> matter volumetric structures, intensity normalization, white matter surface smoothing, topology correction, and optimization of </w:t>
      </w:r>
      <w:proofErr w:type="spellStart"/>
      <w:r w:rsidRPr="0080730A">
        <w:rPr>
          <w:rFonts w:ascii="Times New Roman" w:eastAsiaTheme="minorEastAsia" w:hAnsi="Times New Roman"/>
          <w:color w:val="000000" w:themeColor="text1"/>
          <w:kern w:val="2"/>
          <w:sz w:val="24"/>
          <w:szCs w:val="24"/>
          <w:lang w:val="en-GB" w:eastAsia="zh-CN" w:bidi="ar-SA"/>
        </w:rPr>
        <w:t>pial</w:t>
      </w:r>
      <w:proofErr w:type="spellEnd"/>
      <w:r w:rsidRPr="0080730A">
        <w:rPr>
          <w:rFonts w:ascii="Times New Roman" w:eastAsiaTheme="minorEastAsia" w:hAnsi="Times New Roman"/>
          <w:color w:val="000000" w:themeColor="text1"/>
          <w:kern w:val="2"/>
          <w:sz w:val="24"/>
          <w:szCs w:val="24"/>
          <w:lang w:val="en-GB" w:eastAsia="zh-CN" w:bidi="ar-SA"/>
        </w:rPr>
        <w:t xml:space="preserve"> and white matter surfaces. The total intracranial volume (TIV) and the CP of the lateral ventricle were determined through this process. In addition, the cortical thickness was determined by measuring the distance between the white matter and </w:t>
      </w:r>
      <w:proofErr w:type="spellStart"/>
      <w:r w:rsidRPr="0080730A">
        <w:rPr>
          <w:rFonts w:ascii="Times New Roman" w:eastAsiaTheme="minorEastAsia" w:hAnsi="Times New Roman"/>
          <w:color w:val="000000" w:themeColor="text1"/>
          <w:kern w:val="2"/>
          <w:sz w:val="24"/>
          <w:szCs w:val="24"/>
          <w:lang w:val="en-GB" w:eastAsia="zh-CN" w:bidi="ar-SA"/>
        </w:rPr>
        <w:t>pial</w:t>
      </w:r>
      <w:proofErr w:type="spellEnd"/>
      <w:r w:rsidRPr="0080730A">
        <w:rPr>
          <w:rFonts w:ascii="Times New Roman" w:eastAsiaTheme="minorEastAsia" w:hAnsi="Times New Roman"/>
          <w:color w:val="000000" w:themeColor="text1"/>
          <w:kern w:val="2"/>
          <w:sz w:val="24"/>
          <w:szCs w:val="24"/>
          <w:lang w:val="en-GB" w:eastAsia="zh-CN" w:bidi="ar-SA"/>
        </w:rPr>
        <w:t xml:space="preserve"> surfaces. All final automatic segmentations underwent quality checks by a senior neurologist (X.X.) who was blinded to clinical and other image data. The CP ROI were used as mask for analysis after registration with the following MRI modalities. The CP volumes (CPV) were expressed as ratios to TIV. </w:t>
      </w:r>
    </w:p>
    <w:p w:rsidR="0080730A" w:rsidRPr="0080730A" w:rsidRDefault="0080730A" w:rsidP="00195F10">
      <w:pPr>
        <w:pStyle w:val="a3"/>
        <w:spacing w:line="480" w:lineRule="auto"/>
        <w:ind w:firstLineChars="177" w:firstLine="425"/>
        <w:jc w:val="left"/>
        <w:rPr>
          <w:rFonts w:ascii="Times New Roman" w:eastAsiaTheme="minorEastAsia" w:hAnsi="Times New Roman"/>
          <w:color w:val="000000" w:themeColor="text1"/>
          <w:kern w:val="2"/>
          <w:sz w:val="24"/>
          <w:szCs w:val="24"/>
          <w:lang w:val="en-GB" w:eastAsia="zh-CN" w:bidi="ar-SA"/>
        </w:rPr>
      </w:pPr>
      <w:r w:rsidRPr="0080730A">
        <w:rPr>
          <w:rFonts w:ascii="Times New Roman" w:eastAsiaTheme="minorEastAsia" w:hAnsi="Times New Roman"/>
          <w:color w:val="000000" w:themeColor="text1"/>
          <w:kern w:val="2"/>
          <w:sz w:val="24"/>
          <w:szCs w:val="24"/>
          <w:lang w:val="en-GB" w:eastAsia="zh-CN" w:bidi="ar-SA"/>
        </w:rPr>
        <w:t>The WMH was defined as subcortical hyperintensities without cavitation on T2 FLAIR based on the recommendations of Standards for Reporting Vascular Changes on Neuroimaging (STRIVE)</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{"citationID":"u9jXXqEK","properties":{"formattedCitation":"\\super 5\\nosupersub{}","plainCitation":"5","noteIndex":0},"citationItems":[{"id":"7Pkga8HE/GeZxNLZb","uris":["http://zotero.org/users/9311654/items/4V46KGSD"],"itemData":{"id":2139,"type":"article-journal","abstract":"Cerebral small vessel disease (SVD) is common during ageing and can present as stroke, cognitive decline, neurobehavioural symptoms, or functional impairment. SVD frequently coexists with neurodegenerative disease, and can exacerbate cognitive and other symptoms and affect activities of daily living. Standards for Reporting Vascular Changes on Neuroimaging 1 (STRIVE-1) categorised and standardised the diverse features of SVD that are visible on structural MRI. Since then, new information on these established SVD markers and novel MRI sequences and imaging features have emerged. As the effect of combined SVD imaging features becomes clearer, a key role for quantitative imaging biomarkers to determine sub-visible tissue damage, subtle abnormalities visible at high-field strength MRI, and lesion-symptom patterns, is also apparent. Together with rapidly emerging machine learning methods, these metrics can more comprehensively capture the effect of SVD on the brain than the structural MRI features alone and serve as intermediary outcomes in clinical trials and future routine practice. Using a similar approach to that adopted in STRIVE-1, we updated the guidance on neuroimaging of vascular changes in studies of ageing and neurodegeneration to create STRIVE-2.","container-title":"The Lancet. Neurology","DOI":"10.1016/S1474-4422(23)00131-X","ISSN":"1474-4465","journalAbbreviation":"Lancet Neurol","language":"eng","note":"PMID: 37236211","page":"S1474-4422(23)00131-X","source":"PubMed","title":"Neuroimaging standards for research into small vessel disease-advances since 2013","author":[{"family":"Duering","given":"Marco"},{"family":"Biessels","given":"Geert Jan"},{"family":"Brodtmann","given":"Amy"},{"family":"Chen","given":"Christopher"},{"family":"Cordonnier","given":"Charlotte"},{"family":"Leeuw","given":"Frank-Erik","non-dropping-particle":"de"},{"family":"Debette","given":"Stéphanie"},{"family":"Frayne","given":"Richard"},{"family":"Jouvent","given":"Eric"},{"family":"Rost","given":"Natalia S."},{"family":"Ter Telgte","given":"Annemieke"},{"family":"Al-Shahi Salman","given":"Rustam"},{"family":"Backes","given":"Walter H."},{"family":"Bae","given":"Hee-Joon"},{"family":"Brown","given":"Rosalind"},{"family":"Chabriat","given":"Hugues"},{"family":"De Luca","given":"Alberto"},{"family":"deCarli","given":"Charles"},{"family":"Dewenter","given":"Anna"},{"family":"Doubal","given":"Fergus N."},{"family":"Ewers","given":"Michael"},{"family":"Field","given":"Thalia S."},{"family":"Ganesh","given":"Aravind"},{"family":"Greenberg","given":"Steven"},{"family":"Helmer","given":"Karl G."},{"family":"Hilal","given":"Saima"},{"family":"Jochems","given":"Angela C. C."},{"family":"Jokinen","given":"Hanna"},{"family":"Kuijf","given":"Hugo"},{"family":"Lam","given":"Bonnie Y. K."},{"family":"Lebenberg","given":"Jessica"},{"family":"MacIntosh","given":"Bradley J."},{"family":"Maillard","given":"Pauline"},{"family":"Mok","given":"Vincent C. T."},{"family":"Pantoni","given":"Leonardo"},{"family":"Rudilosso","given":"Salvatore"},{"family":"Satizabal","given":"Claudia L."},{"family":"Schirmer","given":"Markus D."},{"family":"Schmidt","given":"Reinhold"},{"family":"Smith","given":"Colin"},{"family":"Staals","given":"Julie"},{"family":"Thrippleton","given":"Michael J."},{"family":"Veluw","given":"Susanne J.","non-dropping-particle":"van"},{"family":"Vemuri","given":"Prashanthi"},{"family":"Wang","given":"Yilong"},{"family":"Werring","given":"David"},{"family":"Zedde","given":"Marialuisa"},{"family":"Akinyemi","given":"Rufus O."},{"family":"Del Brutto","given":"Oscar H."},{"family":"Markus","given":"Hugh S."},{"family":"Zhu","given":"Yi-Cheng"},{"family":"Smith","given":"Eric E."},{"family":"Dichgans","given":"Martin"},{"family":"Wardlaw","given":"Joanna M."}],"issued":{"date-parts":[["2023",5,23]]}}}],"schema":"https://github.com/citation-style-language/schema/raw/master/csl-citation.json"}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5</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xml:space="preserve">. We utilized FSL's Brain Intensity </w:t>
      </w:r>
      <w:proofErr w:type="spellStart"/>
      <w:r w:rsidRPr="0080730A">
        <w:rPr>
          <w:rFonts w:ascii="Times New Roman" w:eastAsiaTheme="minorEastAsia" w:hAnsi="Times New Roman"/>
          <w:color w:val="000000" w:themeColor="text1"/>
          <w:kern w:val="2"/>
          <w:sz w:val="24"/>
          <w:szCs w:val="24"/>
          <w:lang w:val="en-GB" w:eastAsia="zh-CN" w:bidi="ar-SA"/>
        </w:rPr>
        <w:t>AbNormality</w:t>
      </w:r>
      <w:proofErr w:type="spellEnd"/>
      <w:r w:rsidRPr="0080730A">
        <w:rPr>
          <w:rFonts w:ascii="Times New Roman" w:eastAsiaTheme="minorEastAsia" w:hAnsi="Times New Roman"/>
          <w:color w:val="000000" w:themeColor="text1"/>
          <w:kern w:val="2"/>
          <w:sz w:val="24"/>
          <w:szCs w:val="24"/>
          <w:lang w:val="en-GB" w:eastAsia="zh-CN" w:bidi="ar-SA"/>
        </w:rPr>
        <w:t xml:space="preserve"> Classification Algorithm (BIANCA, FMRIB Software Library, Oxford, UK), version 6.0, a fully automated, supervised k-nearest </w:t>
      </w:r>
      <w:proofErr w:type="spellStart"/>
      <w:r w:rsidRPr="0080730A">
        <w:rPr>
          <w:rFonts w:ascii="Times New Roman" w:eastAsiaTheme="minorEastAsia" w:hAnsi="Times New Roman"/>
          <w:color w:val="000000" w:themeColor="text1"/>
          <w:kern w:val="2"/>
          <w:sz w:val="24"/>
          <w:szCs w:val="24"/>
          <w:lang w:val="en-GB" w:eastAsia="zh-CN" w:bidi="ar-SA"/>
        </w:rPr>
        <w:t>neighbor</w:t>
      </w:r>
      <w:proofErr w:type="spellEnd"/>
      <w:r w:rsidRPr="0080730A">
        <w:rPr>
          <w:rFonts w:ascii="Times New Roman" w:eastAsiaTheme="minorEastAsia" w:hAnsi="Times New Roman"/>
          <w:color w:val="000000" w:themeColor="text1"/>
          <w:kern w:val="2"/>
          <w:sz w:val="24"/>
          <w:szCs w:val="24"/>
          <w:lang w:val="en-GB" w:eastAsia="zh-CN" w:bidi="ar-SA"/>
        </w:rPr>
        <w:t xml:space="preserve"> (k-NN) algorithm for WMH segmentation. The binary masks of total hyperintensities were generated using BIANCA and then carefully inspected and manually corrected to produce the final </w:t>
      </w:r>
      <w:r w:rsidRPr="0080730A">
        <w:rPr>
          <w:rFonts w:ascii="Times New Roman" w:eastAsiaTheme="minorEastAsia" w:hAnsi="Times New Roman"/>
          <w:color w:val="000000" w:themeColor="text1"/>
          <w:kern w:val="2"/>
          <w:sz w:val="24"/>
          <w:szCs w:val="24"/>
          <w:lang w:val="en-GB" w:eastAsia="zh-CN" w:bidi="ar-SA"/>
        </w:rPr>
        <w:lastRenderedPageBreak/>
        <w:t>WMH binary masks. These derived WMH masks were further categorized into periventricular WMH (</w:t>
      </w:r>
      <w:proofErr w:type="spellStart"/>
      <w:r w:rsidRPr="0080730A">
        <w:rPr>
          <w:rFonts w:ascii="Times New Roman" w:eastAsiaTheme="minorEastAsia" w:hAnsi="Times New Roman"/>
          <w:color w:val="000000" w:themeColor="text1"/>
          <w:kern w:val="2"/>
          <w:sz w:val="24"/>
          <w:szCs w:val="24"/>
          <w:lang w:val="en-GB" w:eastAsia="zh-CN" w:bidi="ar-SA"/>
        </w:rPr>
        <w:t>pWMH</w:t>
      </w:r>
      <w:proofErr w:type="spellEnd"/>
      <w:r w:rsidRPr="0080730A">
        <w:rPr>
          <w:rFonts w:ascii="Times New Roman" w:eastAsiaTheme="minorEastAsia" w:hAnsi="Times New Roman"/>
          <w:color w:val="000000" w:themeColor="text1"/>
          <w:kern w:val="2"/>
          <w:sz w:val="24"/>
          <w:szCs w:val="24"/>
          <w:lang w:val="en-GB" w:eastAsia="zh-CN" w:bidi="ar-SA"/>
        </w:rPr>
        <w:t>) and deep WMH (</w:t>
      </w:r>
      <w:proofErr w:type="spellStart"/>
      <w:r w:rsidRPr="0080730A">
        <w:rPr>
          <w:rFonts w:ascii="Times New Roman" w:eastAsiaTheme="minorEastAsia" w:hAnsi="Times New Roman"/>
          <w:color w:val="000000" w:themeColor="text1"/>
          <w:kern w:val="2"/>
          <w:sz w:val="24"/>
          <w:szCs w:val="24"/>
          <w:lang w:val="en-GB" w:eastAsia="zh-CN" w:bidi="ar-SA"/>
        </w:rPr>
        <w:t>dWMH</w:t>
      </w:r>
      <w:proofErr w:type="spellEnd"/>
      <w:r w:rsidRPr="0080730A">
        <w:rPr>
          <w:rFonts w:ascii="Times New Roman" w:eastAsiaTheme="minorEastAsia" w:hAnsi="Times New Roman"/>
          <w:color w:val="000000" w:themeColor="text1"/>
          <w:kern w:val="2"/>
          <w:sz w:val="24"/>
          <w:szCs w:val="24"/>
          <w:lang w:val="en-GB" w:eastAsia="zh-CN" w:bidi="ar-SA"/>
        </w:rPr>
        <w:t>) by applying a 10 mm distance threshold from the ventricles</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{"citationID":"N6AUIIap","properties":{"formattedCitation":"\\super 1\\nosupersub{}","plainCitation":"1","noteIndex":0},"citationItems":[{"id":"7Pkga8HE/xo9xgt3V","uris":["http://zotero.org/users/9311654/items/JL6PTMJS"],"itemData":{"id":2812,"type":"article-journal","abstract":"INTRODUCTION: We investigated the association between white matter hyperintensities (WMH) and regional cortical thickness, amyloid and tau deposition, and synaptic density in the WMH-connected cortex using multimodal images.\nMETHODS: We included 107 participants (59 with Alzheimer's disease [AD]; 27 with mild cognitive impairment; 21 cognitively normal controls) with amyloid beta (Aβ) positivity on amyloid positron emission tomography (PET). The cortex connected to WMH was identified using probabilistic tractography.\nRESULTS: We found that WMH connected to the cortex with more severe regional degeneration as measured by cortical thickness, Aβ and tau deposition, and synaptic vesicle glycoprotein 2 A (SV2A) density using 18F-SynVesT-1 PET. In addition, higher ratios of Aβ in the deep WMH-connected versus WMH-unconnected cortex were significantly related to lower cognitive scores. Last, the cortical thickness of WMH-connected cortex reduced more than WMH-unconnected cortex over 12 months.\nDISCUSSION: Our results suggest that WMH may be associated with AD-intrinsic processes of degeneration, in addition to vascular mechanisms.\nHIGHLIGHTS: We studied white matter hyperintensities (WMHs) and WMH-connected cortical changes. WMHs are associated with more severe regional cortical degeneration. Findings suggest WMHs may be associated with Alzheimer's disease-intrinsic processes of degeneration.","container-title":"Alzheimer's &amp; Dementia: The Journal of the Alzheimer's Association","DOI":"10.1002/alz.13845","ISSN":"1552-5279","journalAbbreviation":"Alzheimers Dement","language":"eng","note":"PMID: 38648354","source":"PubMed","title":"Linking white matter hyperintensities to regional cortical thinning, amyloid deposition, and synaptic density loss in Alzheimer's disease","author":[{"family":"Zhang","given":"Junfang"},{"family":"Chen","given":"Haijuan"},{"family":"Wang","given":"Jie"},{"family":"Huang","given":"Qi"},{"family":"Xu","given":"Xiaomeng"},{"family":"Wang","given":"Wenjing"},{"family":"Xu","given":"Wei"},{"family":"Guan","given":"Yihui"},{"family":"Liu","given":"Jun"},{"family":"Wardlaw","given":"Joanna M."},{"family":"Deng","given":"Yulei"},{"family":"Xie","given":"Fang"},{"family":"Li","given":"Binyin"}],"issued":{"date-parts":[["2024",4,22]]}}}],"schema":"https://github.com/citation-style-language/schema/raw/master/csl-citation.json"}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1</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xml:space="preserve">. Subsequently, all maps were visually inspected and manually corrected as needed. The volumes of </w:t>
      </w:r>
      <w:proofErr w:type="spellStart"/>
      <w:r w:rsidRPr="0080730A">
        <w:rPr>
          <w:rFonts w:ascii="Times New Roman" w:eastAsiaTheme="minorEastAsia" w:hAnsi="Times New Roman"/>
          <w:color w:val="000000" w:themeColor="text1"/>
          <w:kern w:val="2"/>
          <w:sz w:val="24"/>
          <w:szCs w:val="24"/>
          <w:lang w:val="en-GB" w:eastAsia="zh-CN" w:bidi="ar-SA"/>
        </w:rPr>
        <w:t>pWMH</w:t>
      </w:r>
      <w:proofErr w:type="spellEnd"/>
      <w:r w:rsidRPr="0080730A">
        <w:rPr>
          <w:rFonts w:ascii="Times New Roman" w:eastAsiaTheme="minorEastAsia" w:hAnsi="Times New Roman"/>
          <w:color w:val="000000" w:themeColor="text1"/>
          <w:kern w:val="2"/>
          <w:sz w:val="24"/>
          <w:szCs w:val="24"/>
          <w:lang w:val="en-GB" w:eastAsia="zh-CN" w:bidi="ar-SA"/>
        </w:rPr>
        <w:t xml:space="preserve"> and </w:t>
      </w:r>
      <w:proofErr w:type="spellStart"/>
      <w:r w:rsidRPr="0080730A">
        <w:rPr>
          <w:rFonts w:ascii="Times New Roman" w:eastAsiaTheme="minorEastAsia" w:hAnsi="Times New Roman"/>
          <w:color w:val="000000" w:themeColor="text1"/>
          <w:kern w:val="2"/>
          <w:sz w:val="24"/>
          <w:szCs w:val="24"/>
          <w:lang w:val="en-GB" w:eastAsia="zh-CN" w:bidi="ar-SA"/>
        </w:rPr>
        <w:t>dWMH</w:t>
      </w:r>
      <w:proofErr w:type="spellEnd"/>
      <w:r w:rsidRPr="0080730A">
        <w:rPr>
          <w:rFonts w:ascii="Times New Roman" w:eastAsiaTheme="minorEastAsia" w:hAnsi="Times New Roman"/>
          <w:color w:val="000000" w:themeColor="text1"/>
          <w:kern w:val="2"/>
          <w:sz w:val="24"/>
          <w:szCs w:val="24"/>
          <w:lang w:val="en-GB" w:eastAsia="zh-CN" w:bidi="ar-SA"/>
        </w:rPr>
        <w:t xml:space="preserve"> were expressed as ratios to the total volume of white matter.</w:t>
      </w:r>
    </w:p>
    <w:p w:rsidR="0080730A" w:rsidRPr="0080730A" w:rsidRDefault="0080730A" w:rsidP="00195F10">
      <w:pPr>
        <w:pStyle w:val="a3"/>
        <w:spacing w:before="240" w:after="120" w:line="480" w:lineRule="auto"/>
        <w:jc w:val="left"/>
        <w:rPr>
          <w:rFonts w:ascii="Times New Roman" w:hAnsi="Times New Roman"/>
          <w:b/>
          <w:bCs/>
          <w:color w:val="000000" w:themeColor="text1"/>
          <w:sz w:val="24"/>
          <w:szCs w:val="24"/>
          <w:lang w:eastAsia="zh-CN"/>
        </w:rPr>
      </w:pPr>
      <w:r w:rsidRPr="0080730A">
        <w:rPr>
          <w:rFonts w:ascii="Times New Roman" w:hAnsi="Times New Roman"/>
          <w:b/>
          <w:bCs/>
          <w:color w:val="000000" w:themeColor="text1"/>
          <w:sz w:val="24"/>
          <w:szCs w:val="24"/>
        </w:rPr>
        <w:t>Diffusion MRI analysis</w:t>
      </w:r>
    </w:p>
    <w:p w:rsidR="0080730A" w:rsidRPr="0080730A" w:rsidRDefault="0080730A" w:rsidP="00195F10">
      <w:pPr>
        <w:pStyle w:val="a3"/>
        <w:spacing w:line="480" w:lineRule="auto"/>
        <w:jc w:val="left"/>
        <w:rPr>
          <w:rFonts w:ascii="Times New Roman" w:eastAsiaTheme="minorEastAsia" w:hAnsi="Times New Roman"/>
          <w:color w:val="000000" w:themeColor="text1"/>
          <w:kern w:val="2"/>
          <w:sz w:val="24"/>
          <w:szCs w:val="24"/>
          <w:lang w:val="en-GB" w:eastAsia="zh-CN" w:bidi="ar-SA"/>
        </w:rPr>
      </w:pPr>
      <w:r w:rsidRPr="0080730A">
        <w:rPr>
          <w:rFonts w:ascii="Times New Roman" w:eastAsiaTheme="minorEastAsia" w:hAnsi="Times New Roman"/>
          <w:color w:val="000000" w:themeColor="text1"/>
          <w:kern w:val="2"/>
          <w:sz w:val="24"/>
          <w:szCs w:val="24"/>
          <w:lang w:val="en-GB" w:eastAsia="zh-CN" w:bidi="ar-SA"/>
        </w:rPr>
        <w:t>Pre-processing: The pre-processing pipelines for diffusion MRI generally followed the protocols of an image-processing pipeline developed by UK Biobank</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{"citationID":"kIw7OHWw","properties":{"formattedCitation":"\\super 6\\nosupersub{}","plainCitation":"6","noteIndex":0},"citationItems":[{"id":"7Pkga8HE/FFAGYl71","uris":["http://zotero.org/users/9311654/items/SMFZ7T3I"],"itemData":{"id":2861,"type":"article-journal","abstract":"Microstructure imaging from diffusion magnetic resonance (MR) data represents an invaluable tool to study non-invasively the morphology of tissues and to provide a biological insight into their microstructural organization. In recent years, a variety of biophysical models have been proposed to associate particular patterns observed in the measured signal with specific microstructural properties of the neuronal tissue, such as axon diameter and fiber density. Despite very appealing results showing that the estimated microstructure indices agree very well with histological examinations, existing techniques require computationally very expensive non-linear procedures to fit the models to the data which, in practice, demand the use of powerful computer clusters for large-scale applications. In this work, we present a general framework for Accelerated Microstructure Imaging via Convex Optimization (AMICO) and show how to re-formulate this class of techniques as convenient linear systems which, then, can be efficiently solved using very fast algorithms. We demonstrate this linearization of the fitting problem for two specific models, i.e. ActiveAx and NODDI, providing a very attractive alternative for parameter estimation in those techniques; however, the AMICO framework is general and flexible enough to work also for the wider space of microstructure imaging methods. Results demonstrate that AMICO represents an effective means to accelerate the fit of existing techniques drastically (up to four orders of magnitude faster) while preserving accuracy and precision in the estimated model parameters (correlation above 0.9). We believe that the availability of such ultrafast algorithms will help to accelerate the spread of microstructure imaging to larger cohorts of patients and to study a wider spectrum of neurological disorders.","container-title":"NeuroImage","DOI":"10.1016/j.neuroimage.2014.10.026","ISSN":"1095-9572","journalAbbreviation":"Neuroimage","language":"eng","note":"PMID: 25462697","page":"32-44","source":"PubMed","title":"Accelerated Microstructure Imaging via Convex Optimization (AMICO) from diffusion MRI data","volume":"105","author":[{"family":"Daducci","given":"Alessandro"},{"family":"Canales-Rodríguez","given":"Erick J."},{"family":"Zhang","given":"Hui"},{"family":"Dyrby","given":"Tim B."},{"family":"Alexander","given":"Daniel C."},{"family":"Thiran","given":"Jean-Philippe"}],"issued":{"date-parts":[["2015",1,15]]}}}],"schema":"https://github.com/citation-style-language/schema/raw/master/csl-citation.json"}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6</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The original diffusion MRI data were corrected for susceptibility-induced distortion by top-up method</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{"citationID":"NMICtG04","properties":{"formattedCitation":"\\super 7\\nosupersub{}","plainCitation":"7","noteIndex":0},"citationItems":[{"id":"7Pkga8HE/1dJpGzW1","uris":["http://zotero.org/users/9311654/items/4MUJEWJB"],"itemData":{"id":2864,"type":"article-journal","abstract":"Diffusion tensor imaging is often performed by acquiring a series of diffusion-weighted spin-echo echo-planar images with different direction diffusion gradients. A problem of echo-planar images is the geometrical distortions that obtain near junctions between tissues of differing magnetic susceptibility. This results in distorted diffusion-tensor maps. To resolve this we suggest acquiring two images for each diffusion gradient; one with bottom-up and one with top-down traversal of k-space in the phase-encode direction. This achieves the simultaneous goals of providing information on the underlying displacement field and intensity maps with adequate spatial sampling density even in distorted areas. The resulting DT maps exhibit considerably higher geometric fidelity, as assessed by comparison to an image volume acquired using a conventional 3D MR technique.","container-title":"NeuroImage","DOI":"10.1016/S1053-8119(03)00336-7","ISSN":"1053-8119","issue":"2","journalAbbreviation":"Neuroimage","language":"eng","note":"PMID: 14568458","page":"870-888","source":"PubMed","title":"How to correct susceptibility distortions in spin-echo echo-planar images: application to diffusion tensor imaging","title-short":"How to correct susceptibility distortions in spin-echo echo-planar images","volume":"20","author":[{"family":"Andersson","given":"Jesper L. R."},{"family":"Skare","given":"Stefan"},{"family":"Ashburner","given":"John"}],"issued":{"date-parts":[["2003",10]]}}}],"schema":"https://github.com/citation-style-language/schema/raw/master/csl-citation.json"}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7</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Then the data were further corrected for head motion and eddy currents using the Eddy tool in FSL. The output data were computed into diffusion tensor maps using the “DTIFIT” function of FSL.</w:t>
      </w:r>
    </w:p>
    <w:p w:rsidR="0080730A" w:rsidRPr="0080730A" w:rsidRDefault="0080730A" w:rsidP="00195F10">
      <w:pPr>
        <w:pStyle w:val="a3"/>
        <w:spacing w:line="480" w:lineRule="auto"/>
        <w:ind w:firstLineChars="177" w:firstLine="425"/>
        <w:jc w:val="left"/>
        <w:rPr>
          <w:rFonts w:ascii="Times New Roman" w:eastAsiaTheme="minorEastAsia" w:hAnsi="Times New Roman"/>
          <w:color w:val="000000" w:themeColor="text1"/>
          <w:kern w:val="2"/>
          <w:sz w:val="24"/>
          <w:szCs w:val="24"/>
          <w:lang w:val="en-GB" w:eastAsia="zh-CN" w:bidi="ar-SA"/>
        </w:rPr>
      </w:pPr>
      <w:r w:rsidRPr="0080730A">
        <w:rPr>
          <w:rFonts w:ascii="Times New Roman" w:eastAsiaTheme="minorEastAsia" w:hAnsi="Times New Roman"/>
          <w:color w:val="000000" w:themeColor="text1"/>
          <w:kern w:val="2"/>
          <w:sz w:val="24"/>
          <w:szCs w:val="24"/>
          <w:lang w:val="en-GB" w:eastAsia="zh-CN" w:bidi="ar-SA"/>
        </w:rPr>
        <w:t>Fitting diffusion tensors: The DTIFIT estimated a diffusion tensor at each voxel of the brain, and outputs a set of images including fractional anisotropy (FA) and mean diffusivity (MD), as well as voxel-wise diffusivity in the directions of the x-axis (</w:t>
      </w:r>
      <w:proofErr w:type="spellStart"/>
      <w:r w:rsidRPr="0080730A">
        <w:rPr>
          <w:rFonts w:ascii="Times New Roman" w:eastAsiaTheme="minorEastAsia" w:hAnsi="Times New Roman"/>
          <w:color w:val="000000" w:themeColor="text1"/>
          <w:kern w:val="2"/>
          <w:sz w:val="24"/>
          <w:szCs w:val="24"/>
          <w:lang w:val="en-GB" w:eastAsia="zh-CN" w:bidi="ar-SA"/>
        </w:rPr>
        <w:t>Dx</w:t>
      </w:r>
      <w:proofErr w:type="spellEnd"/>
      <w:r w:rsidRPr="0080730A">
        <w:rPr>
          <w:rFonts w:ascii="Times New Roman" w:eastAsiaTheme="minorEastAsia" w:hAnsi="Times New Roman"/>
          <w:color w:val="000000" w:themeColor="text1"/>
          <w:kern w:val="2"/>
          <w:sz w:val="24"/>
          <w:szCs w:val="24"/>
          <w:lang w:val="en-GB" w:eastAsia="zh-CN" w:bidi="ar-SA"/>
        </w:rPr>
        <w:t>), y-axis (</w:t>
      </w:r>
      <w:proofErr w:type="spellStart"/>
      <w:r w:rsidRPr="0080730A">
        <w:rPr>
          <w:rFonts w:ascii="Times New Roman" w:eastAsiaTheme="minorEastAsia" w:hAnsi="Times New Roman"/>
          <w:color w:val="000000" w:themeColor="text1"/>
          <w:kern w:val="2"/>
          <w:sz w:val="24"/>
          <w:szCs w:val="24"/>
          <w:lang w:val="en-GB" w:eastAsia="zh-CN" w:bidi="ar-SA"/>
        </w:rPr>
        <w:t>Dy</w:t>
      </w:r>
      <w:proofErr w:type="spellEnd"/>
      <w:r w:rsidRPr="0080730A">
        <w:rPr>
          <w:rFonts w:ascii="Times New Roman" w:eastAsiaTheme="minorEastAsia" w:hAnsi="Times New Roman"/>
          <w:color w:val="000000" w:themeColor="text1"/>
          <w:kern w:val="2"/>
          <w:sz w:val="24"/>
          <w:szCs w:val="24"/>
          <w:lang w:val="en-GB" w:eastAsia="zh-CN" w:bidi="ar-SA"/>
        </w:rPr>
        <w:t>), and z-axis (</w:t>
      </w:r>
      <w:proofErr w:type="spellStart"/>
      <w:r w:rsidRPr="0080730A">
        <w:rPr>
          <w:rFonts w:ascii="Times New Roman" w:eastAsiaTheme="minorEastAsia" w:hAnsi="Times New Roman"/>
          <w:color w:val="000000" w:themeColor="text1"/>
          <w:kern w:val="2"/>
          <w:sz w:val="24"/>
          <w:szCs w:val="24"/>
          <w:lang w:val="en-GB" w:eastAsia="zh-CN" w:bidi="ar-SA"/>
        </w:rPr>
        <w:t>Dz</w:t>
      </w:r>
      <w:proofErr w:type="spellEnd"/>
      <w:r w:rsidRPr="0080730A">
        <w:rPr>
          <w:rFonts w:ascii="Times New Roman" w:eastAsiaTheme="minorEastAsia" w:hAnsi="Times New Roman"/>
          <w:color w:val="000000" w:themeColor="text1"/>
          <w:kern w:val="2"/>
          <w:sz w:val="24"/>
          <w:szCs w:val="24"/>
          <w:lang w:val="en-GB" w:eastAsia="zh-CN" w:bidi="ar-SA"/>
        </w:rPr>
        <w:t>) images. We linearly aligned individual FA/MD maps with the T1-weighted image. The registration process is a combination of affine transformation</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{"citationID":"pwmznuMx","properties":{"formattedCitation":"\\super 8\\nosupersub{}","plainCitation":"8","noteIndex":0},"citationItems":[{"id":"7Pkga8HE/PMWmh780","uris":["http://zotero.org/users/9311654/items/IUJFZI55"],"itemData":{"id":2868,"type":"article-journal","abstract":"The techniques available for the interrogation and analysis of neuroimaging data have a large influence in determining the flexibility, sensitivity, and scope of neuroimaging experiments. The development of such methodologies has allowed investigators to address scientific questions that could not previously be answered and, as such, has become an important research area in its own right. In this paper, we present a review of the research carried out by the Analysis Group at the Oxford Centre for Functional MRI of the Brain (FMRIB). This research has focussed on the development of new methodologies for the analysis of both structural and functional magnetic resonance imaging data. The majority of the research laid out in this paper has been implemented as freely available software tools within FMRIB's Software Library (FSL).","container-title":"NeuroImage","DOI":"10.1016/j.neuroimage.2004.07.051","ISSN":"1053-8119","journalAbbreviation":"Neuroimage","language":"eng","note":"PMID: 15501092","page":"S208-219","source":"PubMed","title":"Advances in functional and structural MR image analysis and implementation as FSL","volume":"23 Suppl 1","author":[{"family":"Smith","given":"Stephen M."},{"family":"Jenkinson","given":"Mark"},{"family":"Woolrich","given":"Mark W."},{"family":"Beckmann","given":"Christian F."},{"family":"Behrens","given":"Timothy E. J."},{"family":"Johansen-Berg","given":"Heidi"},{"family":"Bannister","given":"Peter R."},{"family":"De Luca","given":"Marilena"},{"family":"Drobnjak","given":"Ivana"},{"family":"Flitney","given":"David E."},{"family":"Niazy","given":"Rami K."},{"family":"Saunders","given":"James"},{"family":"Vickers","given":"John"},{"family":"Zhang","given":"Yongyue"},{"family":"De Stefano","given":"Nicola"},{"family":"Brady","given":"J. Michael"},{"family":"Matthews","given":"Paul M."}],"issued":{"date-parts":[["2004"]]}}}],"schema":"https://github.com/citation-style-language/schema/raw/master/csl-citation.json"}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8</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xml:space="preserve">. Then, the CP mask in T1-weighted image could be used to extract mean FA and MD value in the CP. Visual examinations were performed to identify any co-registration bias. </w:t>
      </w:r>
    </w:p>
    <w:p w:rsidR="0080730A" w:rsidRPr="0080730A" w:rsidRDefault="0080730A" w:rsidP="00195F10">
      <w:pPr>
        <w:pStyle w:val="a3"/>
        <w:spacing w:line="480" w:lineRule="auto"/>
        <w:ind w:firstLineChars="177" w:firstLine="425"/>
        <w:jc w:val="left"/>
        <w:rPr>
          <w:rFonts w:ascii="Times New Roman" w:eastAsiaTheme="minorEastAsia" w:hAnsi="Times New Roman"/>
          <w:color w:val="000000" w:themeColor="text1"/>
          <w:kern w:val="2"/>
          <w:sz w:val="24"/>
          <w:szCs w:val="24"/>
          <w:lang w:val="en-GB" w:eastAsia="zh-CN" w:bidi="ar-SA"/>
        </w:rPr>
      </w:pPr>
      <w:r w:rsidRPr="0080730A">
        <w:rPr>
          <w:rFonts w:ascii="Times New Roman" w:eastAsiaTheme="minorEastAsia" w:hAnsi="Times New Roman"/>
          <w:color w:val="000000" w:themeColor="text1"/>
          <w:kern w:val="2"/>
          <w:sz w:val="24"/>
          <w:szCs w:val="24"/>
          <w:lang w:val="en-GB" w:eastAsia="zh-CN" w:bidi="ar-SA"/>
        </w:rPr>
        <w:t xml:space="preserve">DTI-ALPS: The FA map of each subject was registered to the FA map template in the standard MNI space, and the accuracy of the co-registration was visually </w:t>
      </w:r>
      <w:r w:rsidRPr="0080730A">
        <w:rPr>
          <w:rFonts w:ascii="Times New Roman" w:eastAsiaTheme="minorEastAsia" w:hAnsi="Times New Roman"/>
          <w:color w:val="000000" w:themeColor="text1"/>
          <w:kern w:val="2"/>
          <w:sz w:val="24"/>
          <w:szCs w:val="24"/>
          <w:lang w:val="en-GB" w:eastAsia="zh-CN" w:bidi="ar-SA"/>
        </w:rPr>
        <w:lastRenderedPageBreak/>
        <w:t xml:space="preserve">confirmed. The </w:t>
      </w:r>
      <w:proofErr w:type="spellStart"/>
      <w:r w:rsidRPr="0080730A">
        <w:rPr>
          <w:rFonts w:ascii="Times New Roman" w:eastAsiaTheme="minorEastAsia" w:hAnsi="Times New Roman"/>
          <w:color w:val="000000" w:themeColor="text1"/>
          <w:kern w:val="2"/>
          <w:sz w:val="24"/>
          <w:szCs w:val="24"/>
          <w:lang w:val="en-GB" w:eastAsia="zh-CN" w:bidi="ar-SA"/>
        </w:rPr>
        <w:t>Dx</w:t>
      </w:r>
      <w:proofErr w:type="spellEnd"/>
      <w:r w:rsidRPr="0080730A">
        <w:rPr>
          <w:rFonts w:ascii="Times New Roman" w:eastAsiaTheme="minorEastAsia" w:hAnsi="Times New Roman"/>
          <w:color w:val="000000" w:themeColor="text1"/>
          <w:kern w:val="2"/>
          <w:sz w:val="24"/>
          <w:szCs w:val="24"/>
          <w:lang w:val="en-GB" w:eastAsia="zh-CN" w:bidi="ar-SA"/>
        </w:rPr>
        <w:t xml:space="preserve">, </w:t>
      </w:r>
      <w:proofErr w:type="spellStart"/>
      <w:r w:rsidRPr="0080730A">
        <w:rPr>
          <w:rFonts w:ascii="Times New Roman" w:eastAsiaTheme="minorEastAsia" w:hAnsi="Times New Roman"/>
          <w:color w:val="000000" w:themeColor="text1"/>
          <w:kern w:val="2"/>
          <w:sz w:val="24"/>
          <w:szCs w:val="24"/>
          <w:lang w:val="en-GB" w:eastAsia="zh-CN" w:bidi="ar-SA"/>
        </w:rPr>
        <w:t>Dy</w:t>
      </w:r>
      <w:proofErr w:type="spellEnd"/>
      <w:r w:rsidRPr="0080730A">
        <w:rPr>
          <w:rFonts w:ascii="Times New Roman" w:eastAsiaTheme="minorEastAsia" w:hAnsi="Times New Roman"/>
          <w:color w:val="000000" w:themeColor="text1"/>
          <w:kern w:val="2"/>
          <w:sz w:val="24"/>
          <w:szCs w:val="24"/>
          <w:lang w:val="en-GB" w:eastAsia="zh-CN" w:bidi="ar-SA"/>
        </w:rPr>
        <w:t xml:space="preserve">, </w:t>
      </w:r>
      <w:proofErr w:type="spellStart"/>
      <w:r w:rsidRPr="0080730A">
        <w:rPr>
          <w:rFonts w:ascii="Times New Roman" w:eastAsiaTheme="minorEastAsia" w:hAnsi="Times New Roman"/>
          <w:color w:val="000000" w:themeColor="text1"/>
          <w:kern w:val="2"/>
          <w:sz w:val="24"/>
          <w:szCs w:val="24"/>
          <w:lang w:val="en-GB" w:eastAsia="zh-CN" w:bidi="ar-SA"/>
        </w:rPr>
        <w:t>Dz</w:t>
      </w:r>
      <w:proofErr w:type="spellEnd"/>
      <w:r w:rsidRPr="0080730A">
        <w:rPr>
          <w:rFonts w:ascii="Times New Roman" w:eastAsiaTheme="minorEastAsia" w:hAnsi="Times New Roman"/>
          <w:color w:val="000000" w:themeColor="text1"/>
          <w:kern w:val="2"/>
          <w:sz w:val="24"/>
          <w:szCs w:val="24"/>
          <w:lang w:val="en-GB" w:eastAsia="zh-CN" w:bidi="ar-SA"/>
        </w:rPr>
        <w:t xml:space="preserve"> maps of the subject were then warped based on the registration matrix obtained from the FA map. The ROIs corresponding to the left projection </w:t>
      </w:r>
      <w:proofErr w:type="spellStart"/>
      <w:r w:rsidRPr="0080730A">
        <w:rPr>
          <w:rFonts w:ascii="Times New Roman" w:eastAsiaTheme="minorEastAsia" w:hAnsi="Times New Roman"/>
          <w:color w:val="000000" w:themeColor="text1"/>
          <w:kern w:val="2"/>
          <w:sz w:val="24"/>
          <w:szCs w:val="24"/>
          <w:lang w:val="en-GB" w:eastAsia="zh-CN" w:bidi="ar-SA"/>
        </w:rPr>
        <w:t>fibers</w:t>
      </w:r>
      <w:proofErr w:type="spellEnd"/>
      <w:r w:rsidRPr="0080730A">
        <w:rPr>
          <w:rFonts w:ascii="Times New Roman" w:eastAsiaTheme="minorEastAsia" w:hAnsi="Times New Roman"/>
          <w:color w:val="000000" w:themeColor="text1"/>
          <w:kern w:val="2"/>
          <w:sz w:val="24"/>
          <w:szCs w:val="24"/>
          <w:lang w:val="en-GB" w:eastAsia="zh-CN" w:bidi="ar-SA"/>
        </w:rPr>
        <w:t xml:space="preserve"> (superior and posterior corona radiata) and association </w:t>
      </w:r>
      <w:proofErr w:type="spellStart"/>
      <w:r w:rsidRPr="0080730A">
        <w:rPr>
          <w:rFonts w:ascii="Times New Roman" w:eastAsiaTheme="minorEastAsia" w:hAnsi="Times New Roman"/>
          <w:color w:val="000000" w:themeColor="text1"/>
          <w:kern w:val="2"/>
          <w:sz w:val="24"/>
          <w:szCs w:val="24"/>
          <w:lang w:val="en-GB" w:eastAsia="zh-CN" w:bidi="ar-SA"/>
        </w:rPr>
        <w:t>fibers</w:t>
      </w:r>
      <w:proofErr w:type="spellEnd"/>
      <w:r w:rsidRPr="0080730A">
        <w:rPr>
          <w:rFonts w:ascii="Times New Roman" w:eastAsiaTheme="minorEastAsia" w:hAnsi="Times New Roman"/>
          <w:color w:val="000000" w:themeColor="text1"/>
          <w:kern w:val="2"/>
          <w:sz w:val="24"/>
          <w:szCs w:val="24"/>
          <w:lang w:val="en-GB" w:eastAsia="zh-CN" w:bidi="ar-SA"/>
        </w:rPr>
        <w:t xml:space="preserve"> (superior longitudinal fasciculus) were extracted using atlas labels. The range of ROIs in the craniocaudal direction was limited to where the x-axis lines were perpendicular to the lateral ventricle bodies. A mask with FA values greater than 0.2 was applied to exclude CSF voxels. Finally, the </w:t>
      </w:r>
      <w:proofErr w:type="spellStart"/>
      <w:r w:rsidRPr="0080730A">
        <w:rPr>
          <w:rFonts w:ascii="Times New Roman" w:eastAsiaTheme="minorEastAsia" w:hAnsi="Times New Roman"/>
          <w:color w:val="000000" w:themeColor="text1"/>
          <w:kern w:val="2"/>
          <w:sz w:val="24"/>
          <w:szCs w:val="24"/>
          <w:lang w:val="en-GB" w:eastAsia="zh-CN" w:bidi="ar-SA"/>
        </w:rPr>
        <w:t>Dx</w:t>
      </w:r>
      <w:proofErr w:type="spellEnd"/>
      <w:r w:rsidRPr="0080730A">
        <w:rPr>
          <w:rFonts w:ascii="Times New Roman" w:eastAsiaTheme="minorEastAsia" w:hAnsi="Times New Roman"/>
          <w:color w:val="000000" w:themeColor="text1"/>
          <w:kern w:val="2"/>
          <w:sz w:val="24"/>
          <w:szCs w:val="24"/>
          <w:lang w:val="en-GB" w:eastAsia="zh-CN" w:bidi="ar-SA"/>
        </w:rPr>
        <w:t xml:space="preserve">, </w:t>
      </w:r>
      <w:proofErr w:type="spellStart"/>
      <w:r w:rsidRPr="0080730A">
        <w:rPr>
          <w:rFonts w:ascii="Times New Roman" w:eastAsiaTheme="minorEastAsia" w:hAnsi="Times New Roman"/>
          <w:color w:val="000000" w:themeColor="text1"/>
          <w:kern w:val="2"/>
          <w:sz w:val="24"/>
          <w:szCs w:val="24"/>
          <w:lang w:val="en-GB" w:eastAsia="zh-CN" w:bidi="ar-SA"/>
        </w:rPr>
        <w:t>Dy</w:t>
      </w:r>
      <w:proofErr w:type="spellEnd"/>
      <w:r w:rsidRPr="0080730A">
        <w:rPr>
          <w:rFonts w:ascii="Times New Roman" w:eastAsiaTheme="minorEastAsia" w:hAnsi="Times New Roman"/>
          <w:color w:val="000000" w:themeColor="text1"/>
          <w:kern w:val="2"/>
          <w:sz w:val="24"/>
          <w:szCs w:val="24"/>
          <w:lang w:val="en-GB" w:eastAsia="zh-CN" w:bidi="ar-SA"/>
        </w:rPr>
        <w:t xml:space="preserve">, and </w:t>
      </w:r>
      <w:proofErr w:type="spellStart"/>
      <w:r w:rsidRPr="0080730A">
        <w:rPr>
          <w:rFonts w:ascii="Times New Roman" w:eastAsiaTheme="minorEastAsia" w:hAnsi="Times New Roman"/>
          <w:color w:val="000000" w:themeColor="text1"/>
          <w:kern w:val="2"/>
          <w:sz w:val="24"/>
          <w:szCs w:val="24"/>
          <w:lang w:val="en-GB" w:eastAsia="zh-CN" w:bidi="ar-SA"/>
        </w:rPr>
        <w:t>Dz</w:t>
      </w:r>
      <w:proofErr w:type="spellEnd"/>
      <w:r w:rsidRPr="0080730A">
        <w:rPr>
          <w:rFonts w:ascii="Times New Roman" w:eastAsiaTheme="minorEastAsia" w:hAnsi="Times New Roman"/>
          <w:color w:val="000000" w:themeColor="text1"/>
          <w:kern w:val="2"/>
          <w:sz w:val="24"/>
          <w:szCs w:val="24"/>
          <w:lang w:val="en-GB" w:eastAsia="zh-CN" w:bidi="ar-SA"/>
        </w:rPr>
        <w:t xml:space="preserve"> values in these ROIs on projection </w:t>
      </w:r>
      <w:proofErr w:type="spellStart"/>
      <w:r w:rsidRPr="0080730A">
        <w:rPr>
          <w:rFonts w:ascii="Times New Roman" w:eastAsiaTheme="minorEastAsia" w:hAnsi="Times New Roman"/>
          <w:color w:val="000000" w:themeColor="text1"/>
          <w:kern w:val="2"/>
          <w:sz w:val="24"/>
          <w:szCs w:val="24"/>
          <w:lang w:val="en-GB" w:eastAsia="zh-CN" w:bidi="ar-SA"/>
        </w:rPr>
        <w:t>fibers</w:t>
      </w:r>
      <w:proofErr w:type="spellEnd"/>
      <w:r w:rsidRPr="0080730A">
        <w:rPr>
          <w:rFonts w:ascii="Times New Roman" w:eastAsiaTheme="minorEastAsia" w:hAnsi="Times New Roman"/>
          <w:color w:val="000000" w:themeColor="text1"/>
          <w:kern w:val="2"/>
          <w:sz w:val="24"/>
          <w:szCs w:val="24"/>
          <w:lang w:val="en-GB" w:eastAsia="zh-CN" w:bidi="ar-SA"/>
        </w:rPr>
        <w:t xml:space="preserve"> and association </w:t>
      </w:r>
      <w:proofErr w:type="spellStart"/>
      <w:r w:rsidRPr="0080730A">
        <w:rPr>
          <w:rFonts w:ascii="Times New Roman" w:eastAsiaTheme="minorEastAsia" w:hAnsi="Times New Roman"/>
          <w:color w:val="000000" w:themeColor="text1"/>
          <w:kern w:val="2"/>
          <w:sz w:val="24"/>
          <w:szCs w:val="24"/>
          <w:lang w:val="en-GB" w:eastAsia="zh-CN" w:bidi="ar-SA"/>
        </w:rPr>
        <w:t>fibers</w:t>
      </w:r>
      <w:proofErr w:type="spellEnd"/>
      <w:r w:rsidRPr="0080730A">
        <w:rPr>
          <w:rFonts w:ascii="Times New Roman" w:eastAsiaTheme="minorEastAsia" w:hAnsi="Times New Roman"/>
          <w:color w:val="000000" w:themeColor="text1"/>
          <w:kern w:val="2"/>
          <w:sz w:val="24"/>
          <w:szCs w:val="24"/>
          <w:lang w:val="en-GB" w:eastAsia="zh-CN" w:bidi="ar-SA"/>
        </w:rPr>
        <w:t xml:space="preserve"> were determined as </w:t>
      </w:r>
      <w:proofErr w:type="spellStart"/>
      <w:r w:rsidRPr="0080730A">
        <w:rPr>
          <w:rFonts w:ascii="Times New Roman" w:eastAsiaTheme="minorEastAsia" w:hAnsi="Times New Roman"/>
          <w:color w:val="000000" w:themeColor="text1"/>
          <w:kern w:val="2"/>
          <w:sz w:val="24"/>
          <w:szCs w:val="24"/>
          <w:lang w:val="en-GB" w:eastAsia="zh-CN" w:bidi="ar-SA"/>
        </w:rPr>
        <w:t>Dxproj</w:t>
      </w:r>
      <w:proofErr w:type="spellEnd"/>
      <w:r w:rsidRPr="0080730A">
        <w:rPr>
          <w:rFonts w:ascii="Times New Roman" w:eastAsiaTheme="minorEastAsia" w:hAnsi="Times New Roman"/>
          <w:color w:val="000000" w:themeColor="text1"/>
          <w:kern w:val="2"/>
          <w:sz w:val="24"/>
          <w:szCs w:val="24"/>
          <w:lang w:val="en-GB" w:eastAsia="zh-CN" w:bidi="ar-SA"/>
        </w:rPr>
        <w:t xml:space="preserve">, </w:t>
      </w:r>
      <w:proofErr w:type="spellStart"/>
      <w:r w:rsidRPr="0080730A">
        <w:rPr>
          <w:rFonts w:ascii="Times New Roman" w:eastAsiaTheme="minorEastAsia" w:hAnsi="Times New Roman"/>
          <w:color w:val="000000" w:themeColor="text1"/>
          <w:kern w:val="2"/>
          <w:sz w:val="24"/>
          <w:szCs w:val="24"/>
          <w:lang w:val="en-GB" w:eastAsia="zh-CN" w:bidi="ar-SA"/>
        </w:rPr>
        <w:t>Dyproj</w:t>
      </w:r>
      <w:proofErr w:type="spellEnd"/>
      <w:r w:rsidRPr="0080730A">
        <w:rPr>
          <w:rFonts w:ascii="Times New Roman" w:eastAsiaTheme="minorEastAsia" w:hAnsi="Times New Roman"/>
          <w:color w:val="000000" w:themeColor="text1"/>
          <w:kern w:val="2"/>
          <w:sz w:val="24"/>
          <w:szCs w:val="24"/>
          <w:lang w:val="en-GB" w:eastAsia="zh-CN" w:bidi="ar-SA"/>
        </w:rPr>
        <w:t xml:space="preserve">, </w:t>
      </w:r>
      <w:proofErr w:type="spellStart"/>
      <w:r w:rsidRPr="0080730A">
        <w:rPr>
          <w:rFonts w:ascii="Times New Roman" w:eastAsiaTheme="minorEastAsia" w:hAnsi="Times New Roman"/>
          <w:color w:val="000000" w:themeColor="text1"/>
          <w:kern w:val="2"/>
          <w:sz w:val="24"/>
          <w:szCs w:val="24"/>
          <w:lang w:val="en-GB" w:eastAsia="zh-CN" w:bidi="ar-SA"/>
        </w:rPr>
        <w:t>Dzproj</w:t>
      </w:r>
      <w:proofErr w:type="spellEnd"/>
      <w:r w:rsidRPr="0080730A">
        <w:rPr>
          <w:rFonts w:ascii="Times New Roman" w:eastAsiaTheme="minorEastAsia" w:hAnsi="Times New Roman"/>
          <w:color w:val="000000" w:themeColor="text1"/>
          <w:kern w:val="2"/>
          <w:sz w:val="24"/>
          <w:szCs w:val="24"/>
          <w:lang w:val="en-GB" w:eastAsia="zh-CN" w:bidi="ar-SA"/>
        </w:rPr>
        <w:t xml:space="preserve">, </w:t>
      </w:r>
      <w:proofErr w:type="spellStart"/>
      <w:r w:rsidRPr="0080730A">
        <w:rPr>
          <w:rFonts w:ascii="Times New Roman" w:eastAsiaTheme="minorEastAsia" w:hAnsi="Times New Roman"/>
          <w:color w:val="000000" w:themeColor="text1"/>
          <w:kern w:val="2"/>
          <w:sz w:val="24"/>
          <w:szCs w:val="24"/>
          <w:lang w:val="en-GB" w:eastAsia="zh-CN" w:bidi="ar-SA"/>
        </w:rPr>
        <w:t>Dxassoc</w:t>
      </w:r>
      <w:proofErr w:type="spellEnd"/>
      <w:r w:rsidRPr="0080730A">
        <w:rPr>
          <w:rFonts w:ascii="Times New Roman" w:eastAsiaTheme="minorEastAsia" w:hAnsi="Times New Roman"/>
          <w:color w:val="000000" w:themeColor="text1"/>
          <w:kern w:val="2"/>
          <w:sz w:val="24"/>
          <w:szCs w:val="24"/>
          <w:lang w:val="en-GB" w:eastAsia="zh-CN" w:bidi="ar-SA"/>
        </w:rPr>
        <w:t xml:space="preserve">, </w:t>
      </w:r>
      <w:proofErr w:type="spellStart"/>
      <w:r w:rsidRPr="0080730A">
        <w:rPr>
          <w:rFonts w:ascii="Times New Roman" w:eastAsiaTheme="minorEastAsia" w:hAnsi="Times New Roman"/>
          <w:color w:val="000000" w:themeColor="text1"/>
          <w:kern w:val="2"/>
          <w:sz w:val="24"/>
          <w:szCs w:val="24"/>
          <w:lang w:val="en-GB" w:eastAsia="zh-CN" w:bidi="ar-SA"/>
        </w:rPr>
        <w:t>Dyassoc</w:t>
      </w:r>
      <w:proofErr w:type="spellEnd"/>
      <w:r w:rsidRPr="0080730A">
        <w:rPr>
          <w:rFonts w:ascii="Times New Roman" w:eastAsiaTheme="minorEastAsia" w:hAnsi="Times New Roman"/>
          <w:color w:val="000000" w:themeColor="text1"/>
          <w:kern w:val="2"/>
          <w:sz w:val="24"/>
          <w:szCs w:val="24"/>
          <w:lang w:val="en-GB" w:eastAsia="zh-CN" w:bidi="ar-SA"/>
        </w:rPr>
        <w:t xml:space="preserve">, </w:t>
      </w:r>
      <w:proofErr w:type="spellStart"/>
      <w:r w:rsidRPr="0080730A">
        <w:rPr>
          <w:rFonts w:ascii="Times New Roman" w:eastAsiaTheme="minorEastAsia" w:hAnsi="Times New Roman"/>
          <w:color w:val="000000" w:themeColor="text1"/>
          <w:kern w:val="2"/>
          <w:sz w:val="24"/>
          <w:szCs w:val="24"/>
          <w:lang w:val="en-GB" w:eastAsia="zh-CN" w:bidi="ar-SA"/>
        </w:rPr>
        <w:t>Dzassoc</w:t>
      </w:r>
      <w:proofErr w:type="spellEnd"/>
      <w:r w:rsidRPr="0080730A">
        <w:rPr>
          <w:rFonts w:ascii="Times New Roman" w:eastAsiaTheme="minorEastAsia" w:hAnsi="Times New Roman"/>
          <w:color w:val="000000" w:themeColor="text1"/>
          <w:kern w:val="2"/>
          <w:sz w:val="24"/>
          <w:szCs w:val="24"/>
          <w:lang w:val="en-GB" w:eastAsia="zh-CN" w:bidi="ar-SA"/>
        </w:rPr>
        <w:t>, respectively. The DTI-ALPS index was automatically computed using the following equation</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{"citationID":"WaND3iws","properties":{"formattedCitation":"\\super 9\\nosupersub{}","plainCitation":"9","noteIndex":0},"citationItems":[{"id":"7Pkga8HE/KI1QfFZW","uris":["http://zotero.org/users/9311654/items/MNLWIRGE"],"itemData":{"id":2871,"type":"article-journal","abstract":"PURPOSE: The activity of the glymphatic system is impaired in animal models of Alzheimer's disease (AD). We evaluated the activity of the human glymphatic system in cases of AD with a diffusion-based technique called diffusion tensor image analysis along the perivascular space (DTI-ALPS).\nMATERIALS AND METHODS: Diffusion tensor images were acquired to calculate diffusivities in the x, y, and z axes of the plane of the lateral ventricle body in 31 patients. We evaluated the diffusivity along the perivascular spaces as well as projection fibers and association fibers separately, to acquire an index for diffusivity along the perivascular space (ALPS-index) and correlated them with the mini mental state examinations (MMSE) score.\nRESULTS: We found a significant negative correlation between diffusivity along the projection fibers and association fibers. We also observed a significant positive correlation between diffusivity along perivascular spaces shown as ALPS-index and the MMSE score, indicating lower water diffusivity along the perivascular space in relation to AD severity.\nCONCLUSION: Activity of the glymphatic system may be evaluated with diffusion images. Lower diffusivity along the perivascular space on DTI-APLS seems to reflect impairment of the glymphatic system. This method may be useful for evaluating the activity of the glymphatic system.","container-title":"Japanese Journal of Radiology","DOI":"10.1007/s11604-017-0617-z","ISSN":"1867-108X","issue":"4","journalAbbreviation":"Jpn J Radiol","language":"eng","note":"PMID: 28197821","page":"172-178","source":"PubMed","title":"Evaluation of glymphatic system activity with the diffusion MR technique: diffusion tensor image analysis along the perivascular space (DTI-ALPS) in Alzheimer's disease cases","title-short":"Evaluation of glymphatic system activity with the diffusion MR technique","volume":"35","author":[{"family":"Taoka","given":"Toshiaki"},{"family":"Masutani","given":"Yoshitaka"},{"family":"Kawai","given":"Hisashi"},{"family":"Nakane","given":"Toshiki"},{"family":"Matsuoka","given":"Kiwamu"},{"family":"Yasuno","given":"Fumihiko"},{"family":"Kishimoto","given":"Toshifumi"},{"family":"Naganawa","given":"Shinji"}],"issued":{"date-parts":[["2017",4]]}}}],"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9</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xml:space="preserve">: </w:t>
      </w:r>
    </w:p>
    <w:p w:rsidR="0080730A" w:rsidRPr="0080730A" w:rsidRDefault="0080730A" w:rsidP="00195F10">
      <w:pPr>
        <w:pStyle w:val="a3"/>
        <w:tabs>
          <w:tab w:val="left" w:pos="2342"/>
        </w:tabs>
        <w:spacing w:line="480" w:lineRule="auto"/>
        <w:jc w:val="center"/>
        <w:rPr>
          <w:rFonts w:ascii="Times New Roman" w:eastAsiaTheme="minorEastAsia" w:hAnsi="Times New Roman"/>
          <w:color w:val="000000" w:themeColor="text1"/>
          <w:kern w:val="2"/>
          <w:sz w:val="24"/>
          <w:szCs w:val="24"/>
          <w:lang w:val="en-GB" w:eastAsia="zh-CN" w:bidi="ar-SA"/>
        </w:rPr>
      </w:pPr>
      <w:r w:rsidRPr="0080730A">
        <w:rPr>
          <w:rFonts w:ascii="Times New Roman" w:eastAsiaTheme="minorEastAsia" w:hAnsi="Times New Roman"/>
          <w:color w:val="000000" w:themeColor="text1"/>
          <w:kern w:val="2"/>
          <w:sz w:val="24"/>
          <w:szCs w:val="24"/>
          <w:lang w:val="en-GB" w:eastAsia="zh-CN" w:bidi="ar-SA"/>
        </w:rPr>
        <w:t>DTI-ALPS index= [(</w:t>
      </w:r>
      <w:proofErr w:type="spellStart"/>
      <w:r w:rsidRPr="0080730A">
        <w:rPr>
          <w:rFonts w:ascii="Times New Roman" w:eastAsiaTheme="minorEastAsia" w:hAnsi="Times New Roman"/>
          <w:color w:val="000000" w:themeColor="text1"/>
          <w:kern w:val="2"/>
          <w:sz w:val="24"/>
          <w:szCs w:val="24"/>
          <w:lang w:val="en-GB" w:eastAsia="zh-CN" w:bidi="ar-SA"/>
        </w:rPr>
        <w:t>Dxproj</w:t>
      </w:r>
      <w:proofErr w:type="spellEnd"/>
      <w:r w:rsidRPr="0080730A">
        <w:rPr>
          <w:rFonts w:ascii="Times New Roman" w:eastAsiaTheme="minorEastAsia" w:hAnsi="Times New Roman"/>
          <w:color w:val="000000" w:themeColor="text1"/>
          <w:kern w:val="2"/>
          <w:sz w:val="24"/>
          <w:szCs w:val="24"/>
          <w:lang w:val="en-GB" w:eastAsia="zh-CN" w:bidi="ar-SA"/>
        </w:rPr>
        <w:t xml:space="preserve"> + </w:t>
      </w:r>
      <w:proofErr w:type="spellStart"/>
      <w:r w:rsidRPr="0080730A">
        <w:rPr>
          <w:rFonts w:ascii="Times New Roman" w:eastAsiaTheme="minorEastAsia" w:hAnsi="Times New Roman"/>
          <w:color w:val="000000" w:themeColor="text1"/>
          <w:kern w:val="2"/>
          <w:sz w:val="24"/>
          <w:szCs w:val="24"/>
          <w:lang w:val="en-GB" w:eastAsia="zh-CN" w:bidi="ar-SA"/>
        </w:rPr>
        <w:t>Dxassoc</w:t>
      </w:r>
      <w:proofErr w:type="spellEnd"/>
      <w:r w:rsidRPr="0080730A">
        <w:rPr>
          <w:rFonts w:ascii="Times New Roman" w:eastAsiaTheme="minorEastAsia" w:hAnsi="Times New Roman"/>
          <w:color w:val="000000" w:themeColor="text1"/>
          <w:kern w:val="2"/>
          <w:sz w:val="24"/>
          <w:szCs w:val="24"/>
          <w:lang w:val="en-GB" w:eastAsia="zh-CN" w:bidi="ar-SA"/>
        </w:rPr>
        <w:t>) / (</w:t>
      </w:r>
      <w:proofErr w:type="spellStart"/>
      <w:r w:rsidRPr="0080730A">
        <w:rPr>
          <w:rFonts w:ascii="Times New Roman" w:eastAsiaTheme="minorEastAsia" w:hAnsi="Times New Roman"/>
          <w:color w:val="000000" w:themeColor="text1"/>
          <w:kern w:val="2"/>
          <w:sz w:val="24"/>
          <w:szCs w:val="24"/>
          <w:lang w:val="en-GB" w:eastAsia="zh-CN" w:bidi="ar-SA"/>
        </w:rPr>
        <w:t>Dyproj</w:t>
      </w:r>
      <w:proofErr w:type="spellEnd"/>
      <w:r w:rsidRPr="0080730A">
        <w:rPr>
          <w:rFonts w:ascii="Times New Roman" w:eastAsiaTheme="minorEastAsia" w:hAnsi="Times New Roman"/>
          <w:color w:val="000000" w:themeColor="text1"/>
          <w:kern w:val="2"/>
          <w:sz w:val="24"/>
          <w:szCs w:val="24"/>
          <w:lang w:val="en-GB" w:eastAsia="zh-CN" w:bidi="ar-SA"/>
        </w:rPr>
        <w:t xml:space="preserve"> + </w:t>
      </w:r>
      <w:proofErr w:type="spellStart"/>
      <w:r w:rsidRPr="0080730A">
        <w:rPr>
          <w:rFonts w:ascii="Times New Roman" w:eastAsiaTheme="minorEastAsia" w:hAnsi="Times New Roman"/>
          <w:color w:val="000000" w:themeColor="text1"/>
          <w:kern w:val="2"/>
          <w:sz w:val="24"/>
          <w:szCs w:val="24"/>
          <w:lang w:val="en-GB" w:eastAsia="zh-CN" w:bidi="ar-SA"/>
        </w:rPr>
        <w:t>Dzassoc</w:t>
      </w:r>
      <w:proofErr w:type="spellEnd"/>
      <w:r w:rsidRPr="0080730A">
        <w:rPr>
          <w:rFonts w:ascii="Times New Roman" w:eastAsiaTheme="minorEastAsia" w:hAnsi="Times New Roman"/>
          <w:color w:val="000000" w:themeColor="text1"/>
          <w:kern w:val="2"/>
          <w:sz w:val="24"/>
          <w:szCs w:val="24"/>
          <w:lang w:val="en-GB" w:eastAsia="zh-CN" w:bidi="ar-SA"/>
        </w:rPr>
        <w:t>)]</w:t>
      </w:r>
    </w:p>
    <w:p w:rsidR="0080730A" w:rsidRPr="0080730A" w:rsidRDefault="0080730A" w:rsidP="00195F10">
      <w:pPr>
        <w:pStyle w:val="a3"/>
        <w:tabs>
          <w:tab w:val="left" w:pos="2342"/>
        </w:tabs>
        <w:spacing w:line="480" w:lineRule="auto"/>
        <w:ind w:firstLineChars="177" w:firstLine="425"/>
        <w:jc w:val="left"/>
        <w:rPr>
          <w:rFonts w:ascii="Times New Roman" w:eastAsiaTheme="minorEastAsia" w:hAnsi="Times New Roman"/>
          <w:color w:val="000000" w:themeColor="text1"/>
          <w:kern w:val="2"/>
          <w:sz w:val="24"/>
          <w:szCs w:val="24"/>
          <w:lang w:val="en-GB" w:eastAsia="zh-CN" w:bidi="ar-SA"/>
        </w:rPr>
      </w:pPr>
      <w:r w:rsidRPr="0080730A">
        <w:rPr>
          <w:rFonts w:ascii="Times New Roman" w:eastAsiaTheme="minorEastAsia" w:hAnsi="Times New Roman"/>
          <w:color w:val="000000" w:themeColor="text1"/>
          <w:kern w:val="2"/>
          <w:sz w:val="24"/>
          <w:szCs w:val="24"/>
          <w:lang w:val="en-GB" w:eastAsia="zh-CN" w:bidi="ar-SA"/>
        </w:rPr>
        <w:t xml:space="preserve">Free-Water image of CP: The </w:t>
      </w:r>
      <w:proofErr w:type="spellStart"/>
      <w:r w:rsidRPr="0080730A">
        <w:rPr>
          <w:rFonts w:ascii="Times New Roman" w:eastAsiaTheme="minorEastAsia" w:hAnsi="Times New Roman"/>
          <w:color w:val="000000" w:themeColor="text1"/>
          <w:kern w:val="2"/>
          <w:sz w:val="24"/>
          <w:szCs w:val="24"/>
          <w:lang w:val="en-GB" w:eastAsia="zh-CN" w:bidi="ar-SA"/>
        </w:rPr>
        <w:t>FWf</w:t>
      </w:r>
      <w:proofErr w:type="spellEnd"/>
      <w:r w:rsidRPr="0080730A">
        <w:rPr>
          <w:rFonts w:ascii="Times New Roman" w:eastAsiaTheme="minorEastAsia" w:hAnsi="Times New Roman"/>
          <w:color w:val="000000" w:themeColor="text1"/>
          <w:kern w:val="2"/>
          <w:sz w:val="24"/>
          <w:szCs w:val="24"/>
          <w:lang w:val="en-GB" w:eastAsia="zh-CN" w:bidi="ar-SA"/>
        </w:rPr>
        <w:t xml:space="preserve"> can be measured quantitatively by neurite orientation dispersion and density imaging (NODDI) model derived from multi-shell diffusion MRI. NODDI models the voxel contents as neurites (thin pipes, nominally axons), the spaces between them, and freely diffusing water</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{"citationID":"6a7BdkYs","properties":{"formattedCitation":"\\super 10,11\\nosupersub{}","plainCitation":"10,11","noteIndex":0},"citationItems":[{"id":"7Pkga8HE/poeG5WC2","uris":["http://zotero.org/users/9311654/items/58EHIVMR"],"itemData":{"id":672,"type":"article-journal","abstract":"Diffusion MRI (dMRI) has proven to be a useful imaging approach for both clinical diagnosis and research investigating the microstructures of nervous tissues, and it has helped us to better understand the neurophysiological mechanisms of many diseases. Though diffusion tensor imaging (DTI) has long been the default tool to analyze dMRI data in clinical research, acquisition with stronger diffusion weightings beyond the DTI regimen is now possible with modern clinical scanners, potentially enabling even more detailed characterization of tissue microstructures. To take advantage of such data, neurite orientation dispersion and density imaging (NODDI) has been proposed as a way to relate the dMRI signal to tissue features via biophysically inspired modeling. The number of reports demonstrating the potential clinical utility of NODDI is rapidly increasing. At the same time, the pitfalls and limitations of NODDI, and general challenges in microstructure modeling, are becoming increasingly recognized by clinicians. dMRI microstructure modeling is a rapidly evolving field with great promise, where people from different scientific backgrounds, such as physics, medicine, biology, neuroscience, and statistics, are collaborating to build novel tools that contribute to improving human healthcare. Here, we review the applications of NODDI in clinical research and discuss future perspectives for investigations toward the implementation of dMRI microstructure imaging in clinical practice.","container-title":"Journal of Neuroscience Methods","DOI":"10.1016/j.jneumeth.2020.108908","ISSN":"1872-678X","journalAbbreviation":"J Neurosci Methods","language":"eng","note":"PMID: 32814118","page":"108908","source":"PubMed","title":"NODDI in clinical research","volume":"346","author":[{"family":"Kamiya","given":"Kouhei"},{"family":"Hori","given":"Masaaki"},{"family":"Aoki","given":"Shigeki"}],"issued":{"date-parts":[["2020",12,1]]}},"label":"page"},{"id":"7Pkga8HE/ovqpEVaS","uris":["http://zotero.org/users/9311654/items/QQSSSQNS"],"itemData":{"id":665,"type":"article-journal","abstract":"This paper introduces neurite orientation dispersion and density imaging (NODDI), a practical diffusion MRI technique for estimating the microstructural complexity of dendrites and axons in vivo on clinical MRI scanners. Such indices of neurites relate more directly to and provide more specific markers of brain tissue microstructure than standard indices from diffusion tensor imaging, such as fractional anisotropy (FA). Mapping these indices over the whole brain on clinical scanners presents new opportunities for understanding brain development and disorders. The proposed technique enables such mapping by combining a three-compartment tissue model with a two-shell high-angular-resolution diffusion imaging (HARDI) protocol optimized for clinical feasibility. An index of orientation dispersion is defined to characterize angular variation of neurites. We evaluate the method both in simulation and on a live human brain using a clinical 3T scanner. Results demonstrate that NODDI provides sensible neurite density and orientation dispersion estimates, thereby disentangling two key contributing factors to FA and enabling the analysis of each factor individually. We additionally show that while orientation dispersion can be estimated with just a single HARDI shell, neurite density requires at least two shells and can be estimated more accurately with the optimized two-shell protocol than with alternative two-shell protocols. The optimized protocol takes about 30 min to acquire, making it feasible for inclusion in a typical clinical setting. We further show that sampling fewer orientations in each shell can reduce the acquisition time to just 10 min with minimal impact on the accuracy of the estimates. This demonstrates the feasibility of NODDI even for the most time-sensitive clinical applications, such as neonatal and dementia imaging.","container-title":"NeuroImage","DOI":"10.1016/j.neuroimage.2012.03.072","ISSN":"1095-9572","issue":"4","journalAbbreviation":"Neuroimage","language":"eng","note":"PMID: 22484410","page":"1000-1016","source":"PubMed","title":"NODDI: practical in vivo neurite orientation dispersion and density imaging of the human brain","title-short":"NODDI","volume":"61","author":[{"family":"Zhang","given":"Hui"},{"family":"Schneider","given":"Torben"},{"family":"Wheeler-Kingshott","given":"Claudia A."},{"family":"Alexander","given":"Daniel C."}],"issued":{"date-parts":[["2012",7,16]]}},"label":"page"}],"schema":"https://github.com/citation-style-language/schema/raw/master/csl-citation.json"}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10,11</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xml:space="preserve">. NODDI estimation for </w:t>
      </w:r>
      <w:proofErr w:type="spellStart"/>
      <w:r w:rsidRPr="0080730A">
        <w:rPr>
          <w:rFonts w:ascii="Times New Roman" w:eastAsiaTheme="minorEastAsia" w:hAnsi="Times New Roman"/>
          <w:color w:val="000000" w:themeColor="text1"/>
          <w:kern w:val="2"/>
          <w:sz w:val="24"/>
          <w:szCs w:val="24"/>
          <w:lang w:val="en-GB" w:eastAsia="zh-CN" w:bidi="ar-SA"/>
        </w:rPr>
        <w:t>FWf</w:t>
      </w:r>
      <w:proofErr w:type="spellEnd"/>
      <w:r w:rsidRPr="0080730A">
        <w:rPr>
          <w:rFonts w:ascii="Times New Roman" w:eastAsiaTheme="minorEastAsia" w:hAnsi="Times New Roman"/>
          <w:color w:val="000000" w:themeColor="text1"/>
          <w:kern w:val="2"/>
          <w:sz w:val="24"/>
          <w:szCs w:val="24"/>
          <w:lang w:val="en-GB" w:eastAsia="zh-CN" w:bidi="ar-SA"/>
        </w:rPr>
        <w:t xml:space="preserve"> was done using Accelerated Microstructure Imaging via Convex Optimization</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{"citationID":"nKPeTjmN","properties":{"formattedCitation":"\\super 6\\nosupersub{}","plainCitation":"6","noteIndex":0},"citationItems":[{"id":"7Pkga8HE/FFAGYl71","uris":["http://zotero.org/users/9311654/items/SMFZ7T3I"],"itemData":{"id":2861,"type":"article-journal","abstract":"Microstructure imaging from diffusion magnetic resonance (MR) data represents an invaluable tool to study non-invasively the morphology of tissues and to provide a biological insight into their microstructural organization. In recent years, a variety of biophysical models have been proposed to associate particular patterns observed in the measured signal with specific microstructural properties of the neuronal tissue, such as axon diameter and fiber density. Despite very appealing results showing that the estimated microstructure indices agree very well with histological examinations, existing techniques require computationally very expensive non-linear procedures to fit the models to the data which, in practice, demand the use of powerful computer clusters for large-scale applications. In this work, we present a general framework for Accelerated Microstructure Imaging via Convex Optimization (AMICO) and show how to re-formulate this class of techniques as convenient linear systems which, then, can be efficiently solved using very fast algorithms. We demonstrate this linearization of the fitting problem for two specific models, i.e. ActiveAx and NODDI, providing a very attractive alternative for parameter estimation in those techniques; however, the AMICO framework is general and flexible enough to work also for the wider space of microstructure imaging methods. Results demonstrate that AMICO represents an effective means to accelerate the fit of existing techniques drastically (up to four orders of magnitude faster) while preserving accuracy and precision in the estimated model parameters (correlation above 0.9). We believe that the availability of such ultrafast algorithms will help to accelerate the spread of microstructure imaging to larger cohorts of patients and to study a wider spectrum of neurological disorders.","container-title":"NeuroImage","DOI":"10.1016/j.neuroimage.2014.10.026","ISSN":"1095-9572","journalAbbreviation":"Neuroimage","language":"eng","note":"PMID: 25462697","page":"32-44","source":"PubMed","title":"Accelerated Microstructure Imaging via Convex Optimization (AMICO) from diffusion MRI data","volume":"105","author":[{"family":"Daducci","given":"Alessandro"},{"family":"Canales-Rodríguez","given":"Erick J."},{"family":"Zhang","given":"Hui"},{"family":"Dyrby","given":"Tim B."},{"family":"Alexander","given":"Daniel C."},{"family":"Thiran","given":"Jean-Philippe"}],"issued":{"date-parts":[["2015",1,15]]}}}],"schema":"https://github.com/citation-style-language/schema/raw/master/csl-citation.json"}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6</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xml:space="preserve">.  After registered with T1-weighted image, the averaged </w:t>
      </w:r>
      <w:proofErr w:type="spellStart"/>
      <w:r w:rsidRPr="0080730A">
        <w:rPr>
          <w:rFonts w:ascii="Times New Roman" w:eastAsiaTheme="minorEastAsia" w:hAnsi="Times New Roman"/>
          <w:color w:val="000000" w:themeColor="text1"/>
          <w:kern w:val="2"/>
          <w:sz w:val="24"/>
          <w:szCs w:val="24"/>
          <w:lang w:val="en-GB" w:eastAsia="zh-CN" w:bidi="ar-SA"/>
        </w:rPr>
        <w:t>Fwf</w:t>
      </w:r>
      <w:proofErr w:type="spellEnd"/>
      <w:r w:rsidRPr="0080730A">
        <w:rPr>
          <w:rFonts w:ascii="Times New Roman" w:eastAsiaTheme="minorEastAsia" w:hAnsi="Times New Roman"/>
          <w:color w:val="000000" w:themeColor="text1"/>
          <w:kern w:val="2"/>
          <w:sz w:val="24"/>
          <w:szCs w:val="24"/>
          <w:lang w:val="en-GB" w:eastAsia="zh-CN" w:bidi="ar-SA"/>
        </w:rPr>
        <w:t xml:space="preserve"> of CP was calculated from the left and right CP ROI (Fig. 1B).</w:t>
      </w:r>
    </w:p>
    <w:p w:rsidR="0080730A" w:rsidRPr="0080730A" w:rsidRDefault="0080730A" w:rsidP="00195F10">
      <w:pPr>
        <w:pStyle w:val="a3"/>
        <w:spacing w:before="240" w:after="120" w:line="480" w:lineRule="auto"/>
        <w:jc w:val="left"/>
        <w:rPr>
          <w:rFonts w:ascii="Times New Roman" w:hAnsi="Times New Roman"/>
          <w:b/>
          <w:bCs/>
          <w:color w:val="000000" w:themeColor="text1"/>
          <w:sz w:val="24"/>
          <w:szCs w:val="24"/>
          <w:lang w:eastAsia="zh-CN"/>
        </w:rPr>
      </w:pPr>
      <w:r w:rsidRPr="0080730A">
        <w:rPr>
          <w:rFonts w:ascii="Times New Roman" w:hAnsi="Times New Roman"/>
          <w:b/>
          <w:bCs/>
          <w:color w:val="000000" w:themeColor="text1"/>
          <w:sz w:val="24"/>
          <w:szCs w:val="24"/>
        </w:rPr>
        <w:t>Cerebral blood flow in CP</w:t>
      </w:r>
    </w:p>
    <w:p w:rsidR="0080730A" w:rsidRPr="0080730A" w:rsidRDefault="0080730A" w:rsidP="00195F10">
      <w:pPr>
        <w:pStyle w:val="a3"/>
        <w:spacing w:before="240" w:after="120" w:line="480" w:lineRule="auto"/>
        <w:ind w:firstLineChars="177" w:firstLine="425"/>
        <w:jc w:val="left"/>
        <w:rPr>
          <w:rFonts w:ascii="Times New Roman" w:eastAsiaTheme="minorEastAsia" w:hAnsi="Times New Roman"/>
          <w:color w:val="000000" w:themeColor="text1"/>
          <w:kern w:val="2"/>
          <w:sz w:val="24"/>
          <w:szCs w:val="24"/>
          <w:lang w:val="en-GB" w:eastAsia="zh-CN" w:bidi="ar-SA"/>
        </w:rPr>
      </w:pPr>
      <w:r w:rsidRPr="0080730A">
        <w:rPr>
          <w:rFonts w:ascii="Times New Roman" w:eastAsiaTheme="minorEastAsia" w:hAnsi="Times New Roman"/>
          <w:color w:val="000000" w:themeColor="text1"/>
          <w:kern w:val="2"/>
          <w:sz w:val="24"/>
          <w:szCs w:val="24"/>
          <w:lang w:eastAsia="zh-CN" w:bidi="ar-SA"/>
        </w:rPr>
        <w:t xml:space="preserve">We used </w:t>
      </w:r>
      <w:r w:rsidRPr="0080730A">
        <w:rPr>
          <w:rFonts w:ascii="Times New Roman" w:eastAsiaTheme="minorEastAsia" w:hAnsi="Times New Roman"/>
          <w:color w:val="000000" w:themeColor="text1"/>
          <w:kern w:val="2"/>
          <w:sz w:val="24"/>
          <w:szCs w:val="24"/>
          <w:lang w:val="en-GB" w:eastAsia="zh-CN" w:bidi="ar-SA"/>
        </w:rPr>
        <w:t xml:space="preserve">FSL BASIL toolbox to estimate perfusion in the CP. The key steps in BASIL pipeline includes motion correction, registration, calibration using M0 image, </w:t>
      </w:r>
      <w:r w:rsidRPr="0080730A">
        <w:rPr>
          <w:rFonts w:ascii="Times New Roman" w:eastAsiaTheme="minorEastAsia" w:hAnsi="Times New Roman"/>
          <w:color w:val="000000" w:themeColor="text1"/>
          <w:kern w:val="2"/>
          <w:sz w:val="24"/>
          <w:szCs w:val="24"/>
          <w:lang w:val="en-GB" w:eastAsia="zh-CN" w:bidi="ar-SA"/>
        </w:rPr>
        <w:lastRenderedPageBreak/>
        <w:t>and Bayesian kinetic modelling to estimate perfusion maps, with spatial regularization and partial volume correction (PVC). Following these steps, the whole brain perfusion map was registered to the T1-weighted image, and the accuracy of the co-registration was visually confirmed. Subsequently, the cerebral blood flow (CBF) of the choroid plexus was extracted from the CP region of interest segmented from the T1-weighted image.</w:t>
      </w:r>
    </w:p>
    <w:p w:rsidR="0080730A" w:rsidRPr="0080730A" w:rsidRDefault="0080730A" w:rsidP="00195F10">
      <w:pPr>
        <w:pStyle w:val="a3"/>
        <w:spacing w:before="240" w:after="120" w:line="480" w:lineRule="auto"/>
        <w:jc w:val="left"/>
        <w:rPr>
          <w:rFonts w:ascii="Times New Roman" w:hAnsi="Times New Roman"/>
          <w:b/>
          <w:bCs/>
          <w:color w:val="000000" w:themeColor="text1"/>
          <w:sz w:val="24"/>
          <w:szCs w:val="24"/>
        </w:rPr>
      </w:pPr>
      <w:r w:rsidRPr="0080730A">
        <w:rPr>
          <w:rFonts w:ascii="Times New Roman" w:eastAsiaTheme="minorEastAsia" w:hAnsi="Times New Roman"/>
          <w:color w:val="000000" w:themeColor="text1"/>
          <w:kern w:val="2"/>
          <w:sz w:val="24"/>
          <w:szCs w:val="24"/>
          <w:lang w:val="en-GB" w:eastAsia="zh-CN" w:bidi="ar-SA"/>
        </w:rPr>
        <w:br w:type="column"/>
      </w:r>
      <w:r w:rsidR="007E046E">
        <w:rPr>
          <w:rFonts w:ascii="Times New Roman" w:hAnsi="Times New Roman"/>
          <w:b/>
          <w:bCs/>
          <w:color w:val="000000" w:themeColor="text1"/>
          <w:sz w:val="24"/>
          <w:szCs w:val="24"/>
        </w:rPr>
        <w:lastRenderedPageBreak/>
        <w:t xml:space="preserve">Supplementary Method </w:t>
      </w:r>
      <w:r w:rsidRPr="0080730A">
        <w:rPr>
          <w:rFonts w:ascii="Times New Roman" w:hAnsi="Times New Roman"/>
          <w:b/>
          <w:bCs/>
          <w:color w:val="000000" w:themeColor="text1"/>
          <w:sz w:val="24"/>
          <w:szCs w:val="24"/>
        </w:rPr>
        <w:t>2</w:t>
      </w:r>
      <w:r w:rsidRPr="0080730A">
        <w:rPr>
          <w:rFonts w:ascii="Times New Roman" w:hAnsi="Times New Roman" w:hint="eastAsia"/>
          <w:b/>
          <w:bCs/>
          <w:color w:val="000000" w:themeColor="text1"/>
          <w:sz w:val="24"/>
          <w:szCs w:val="24"/>
        </w:rPr>
        <w:t>.</w:t>
      </w:r>
      <w:r w:rsidRPr="0080730A">
        <w:rPr>
          <w:rFonts w:ascii="Times New Roman" w:hAnsi="Times New Roman"/>
          <w:b/>
          <w:bCs/>
          <w:color w:val="000000" w:themeColor="text1"/>
          <w:sz w:val="24"/>
          <w:szCs w:val="24"/>
        </w:rPr>
        <w:t xml:space="preserve"> Acquisition and analysis of </w:t>
      </w:r>
      <w:proofErr w:type="spellStart"/>
      <w:r w:rsidRPr="0080730A">
        <w:rPr>
          <w:rFonts w:ascii="Times New Roman" w:hAnsi="Times New Roman"/>
          <w:b/>
          <w:bCs/>
          <w:color w:val="000000" w:themeColor="text1"/>
          <w:sz w:val="24"/>
          <w:szCs w:val="24"/>
        </w:rPr>
        <w:t>of</w:t>
      </w:r>
      <w:proofErr w:type="spellEnd"/>
      <w:r w:rsidRPr="0080730A">
        <w:rPr>
          <w:rFonts w:ascii="Times New Roman" w:hAnsi="Times New Roman"/>
          <w:b/>
          <w:bCs/>
          <w:color w:val="000000" w:themeColor="text1"/>
          <w:sz w:val="24"/>
          <w:szCs w:val="24"/>
        </w:rPr>
        <w:t xml:space="preserve"> PET images</w:t>
      </w:r>
    </w:p>
    <w:p w:rsidR="0080730A" w:rsidRPr="0080730A" w:rsidRDefault="0080730A" w:rsidP="00195F10">
      <w:pPr>
        <w:spacing w:before="240" w:after="120" w:line="480" w:lineRule="auto"/>
        <w:rPr>
          <w:rFonts w:ascii="Times New Roman" w:hAnsi="Times New Roman" w:cs="Times New Roman"/>
          <w:color w:val="000000" w:themeColor="text1"/>
          <w:lang w:val="en-GB"/>
        </w:rPr>
      </w:pPr>
      <w:r w:rsidRPr="0080730A">
        <w:rPr>
          <w:rFonts w:ascii="Times New Roman" w:hAnsi="Times New Roman" w:cs="Times New Roman"/>
          <w:color w:val="000000" w:themeColor="text1"/>
        </w:rPr>
        <w:t>We utilized PET scans to evaluate the spatial accumulation of Aβ and Tau, as well as synaptic density in the study. The PET scans were conducted using a 3T whole-body PET/MR scanner (</w:t>
      </w:r>
      <w:proofErr w:type="spellStart"/>
      <w:r w:rsidRPr="0080730A">
        <w:rPr>
          <w:rFonts w:ascii="Times New Roman" w:hAnsi="Times New Roman" w:cs="Times New Roman"/>
          <w:color w:val="000000" w:themeColor="text1"/>
        </w:rPr>
        <w:t>uPMR</w:t>
      </w:r>
      <w:proofErr w:type="spellEnd"/>
      <w:r w:rsidRPr="0080730A">
        <w:rPr>
          <w:rFonts w:ascii="Times New Roman" w:hAnsi="Times New Roman" w:cs="Times New Roman"/>
          <w:color w:val="000000" w:themeColor="text1"/>
        </w:rPr>
        <w:t xml:space="preserve"> 790, United Imaging, China). Participants were administered an intravenous injection of </w:t>
      </w:r>
      <w:r w:rsidRPr="0080730A">
        <w:rPr>
          <w:rFonts w:ascii="Times New Roman" w:hAnsi="Times New Roman" w:cs="Times New Roman"/>
          <w:color w:val="000000" w:themeColor="text1"/>
          <w:vertAlign w:val="superscript"/>
        </w:rPr>
        <w:t>18</w:t>
      </w:r>
      <w:r w:rsidRPr="0080730A">
        <w:rPr>
          <w:rFonts w:ascii="Times New Roman" w:hAnsi="Times New Roman" w:cs="Times New Roman"/>
          <w:color w:val="000000" w:themeColor="text1"/>
        </w:rPr>
        <w:t xml:space="preserve">F-Florbetapir (FBP) at an average dose of 3.7 </w:t>
      </w:r>
      <w:proofErr w:type="spellStart"/>
      <w:r w:rsidRPr="0080730A">
        <w:rPr>
          <w:rFonts w:ascii="Times New Roman" w:hAnsi="Times New Roman" w:cs="Times New Roman"/>
          <w:color w:val="000000" w:themeColor="text1"/>
        </w:rPr>
        <w:t>MBq</w:t>
      </w:r>
      <w:proofErr w:type="spellEnd"/>
      <w:r w:rsidRPr="0080730A">
        <w:rPr>
          <w:rFonts w:ascii="Times New Roman" w:hAnsi="Times New Roman" w:cs="Times New Roman"/>
          <w:color w:val="000000" w:themeColor="text1"/>
        </w:rPr>
        <w:t xml:space="preserve">/kg body weight to visualize Aβ accumulation. Static FBP-PET data were acquired in </w:t>
      </w:r>
      <w:proofErr w:type="spellStart"/>
      <w:r w:rsidRPr="0080730A">
        <w:rPr>
          <w:rFonts w:ascii="Times New Roman" w:hAnsi="Times New Roman" w:cs="Times New Roman"/>
          <w:color w:val="000000" w:themeColor="text1"/>
        </w:rPr>
        <w:t>sinogram</w:t>
      </w:r>
      <w:proofErr w:type="spellEnd"/>
      <w:r w:rsidRPr="0080730A">
        <w:rPr>
          <w:rFonts w:ascii="Times New Roman" w:hAnsi="Times New Roman" w:cs="Times New Roman"/>
          <w:color w:val="000000" w:themeColor="text1"/>
        </w:rPr>
        <w:t xml:space="preserve"> mode 50 minutes after the injection. Additionally, all participants underwent a static </w:t>
      </w:r>
      <w:r w:rsidRPr="0080730A">
        <w:rPr>
          <w:rFonts w:ascii="Times New Roman" w:hAnsi="Times New Roman" w:cs="Times New Roman"/>
          <w:color w:val="000000" w:themeColor="text1"/>
          <w:vertAlign w:val="superscript"/>
        </w:rPr>
        <w:t>18</w:t>
      </w:r>
      <w:r w:rsidRPr="0080730A">
        <w:rPr>
          <w:rFonts w:ascii="Times New Roman" w:hAnsi="Times New Roman" w:cs="Times New Roman"/>
          <w:color w:val="000000" w:themeColor="text1"/>
        </w:rPr>
        <w:t xml:space="preserve">F-MK-6240 PET scan to image Tau. Furthermore, a </w:t>
      </w:r>
      <w:r w:rsidRPr="0080730A">
        <w:rPr>
          <w:rFonts w:ascii="Times New Roman" w:hAnsi="Times New Roman" w:cs="Times New Roman"/>
          <w:color w:val="000000" w:themeColor="text1"/>
          <w:vertAlign w:val="superscript"/>
        </w:rPr>
        <w:t>18</w:t>
      </w:r>
      <w:r w:rsidRPr="0080730A">
        <w:rPr>
          <w:rFonts w:ascii="Times New Roman" w:hAnsi="Times New Roman" w:cs="Times New Roman"/>
          <w:color w:val="000000" w:themeColor="text1"/>
        </w:rPr>
        <w:t>F-SynVesT-1 PET scan was performed to visualize synaptic vesicle glycoprotein 2A (SV2A) as previously described</w:t>
      </w:r>
      <w:r w:rsidRPr="0080730A">
        <w:rPr>
          <w:rFonts w:ascii="Times New Roman" w:hAnsi="Times New Roman" w:cs="Times New Roman"/>
          <w:color w:val="000000" w:themeColor="text1"/>
          <w:lang w:val="en-GB"/>
        </w:rPr>
        <w:fldChar w:fldCharType="begin"/>
      </w:r>
      <w:r w:rsidR="006C125C">
        <w:rPr>
          <w:rFonts w:ascii="Times New Roman" w:hAnsi="Times New Roman" w:cs="Times New Roman"/>
          <w:color w:val="000000" w:themeColor="text1"/>
          <w:lang w:val="en-GB"/>
        </w:rPr>
        <w:instrText xml:space="preserve"> ADDIN ZOTERO_ITEM CSL_CITATION {"citationID":"5GC2stWz","properties":{"formattedCitation":"\\super 2\\nosupersub{}","plainCitation":"2","noteIndex":0},"citationItems":[{"id":"7Pkga8HE/cnm2Wp58","uris":["http://zotero.org/users/9311654/items/XGX5ZFNH"],"itemData":{"id":2376,"type":"article-journal","abstract":"Synapse loss has been considered as a major pathological change in Alzheimer's disease (AD). It remains unclear about whether and how synapse loss relates to functional and structural connectivity dysfunction in AD. We measured synaptic vesicle glycoprotein 2 A (SV2A) binding using 18F-SynVesT-1 PET to evaluate synaptic alterations in 33 participants with AD, 31 with mild cognitive impairment (MCI), and 30 controls. We examined the correlation between synaptic density and cognitive function. Functional MRI was performed to analyze functional connectivity in lower synaptic density regions. We tracked the white matter tracts between impaired functional connectivity regions using Diffusion MRI. In AD group, lower synaptic density in bilateral cortex and hippocampus was found when compared with controls. The synaptic density changes in right insular cortex and bilateral caudal middle frontal gyrus (MFG) were correlated with cognitive decline. Among them, right MFG synaptic density was positively associated with right MFG - bilateral superior frontal gyrus (SFG) functional connectivity. AD had lower probability of tract (POT) between right MFG and SFG than controls, which was significantly associated with global cognition. These findings provide evidence supporting synapse loss contributes to functional and related structural connectivity alterations underlying cognitive impairment of AD.","container-title":"Journal of Cerebral Blood Flow and Metabolism: Official Journal of the International Society of Cerebral Blood Flow and Metabolism","DOI":"10.1177/0271678X231153730","ISSN":"1559-7016","issue":"6","journalAbbreviation":"J Cereb Blood Flow Metab","language":"eng","note":"PMID: 36718002\nPMCID: PMC10196742","page":"977-988","source":"PubMed","title":"In vivo synaptic density loss correlates with impaired functional and related structural connectivity in Alzheimer's disease","volume":"43","author":[{"family":"Zhang","given":"Junfang"},{"family":"Wang","given":"Jie"},{"family":"Xu","given":"Xiaomeng"},{"family":"You","given":"Zhiwen"},{"family":"Huang","given":"Qi"},{"family":"Huang","given":"Yiyun"},{"family":"Guo","given":"Qihao"},{"family":"Guan","given":"Yihui"},{"family":"Zhao","given":"Jun"},{"family":"Liu","given":"Jun"},{"family":"Xu","given":"Wei"},{"family":"Deng","given":"Yulei"},{"family":"Xie","given":"Fang"},{"family":"Li","given":"Binyin"}],"issued":{"date-parts":[["2023",6]]}}}],"schema":"https://github.com/citation-style-language/schema/raw/master/csl-citation.json"} </w:instrText>
      </w:r>
      <w:r w:rsidRPr="0080730A">
        <w:rPr>
          <w:rFonts w:ascii="Times New Roman" w:hAnsi="Times New Roman" w:cs="Times New Roman"/>
          <w:color w:val="000000" w:themeColor="text1"/>
          <w:lang w:val="en-GB"/>
        </w:rPr>
        <w:fldChar w:fldCharType="separate"/>
      </w:r>
      <w:r w:rsidRPr="0080730A">
        <w:rPr>
          <w:rFonts w:ascii="Times New Roman" w:hAnsi="Times New Roman" w:cs="Times New Roman"/>
          <w:color w:val="000000"/>
          <w:vertAlign w:val="superscript"/>
        </w:rPr>
        <w:t>2</w:t>
      </w:r>
      <w:r w:rsidRPr="0080730A">
        <w:rPr>
          <w:rFonts w:ascii="Times New Roman" w:hAnsi="Times New Roman" w:cs="Times New Roman"/>
          <w:color w:val="000000" w:themeColor="text1"/>
          <w:lang w:val="en-GB"/>
        </w:rPr>
        <w:fldChar w:fldCharType="end"/>
      </w:r>
      <w:r w:rsidRPr="0080730A">
        <w:rPr>
          <w:rFonts w:ascii="Times New Roman" w:hAnsi="Times New Roman" w:cs="Times New Roman"/>
          <w:color w:val="000000" w:themeColor="text1"/>
          <w:lang w:val="en-GB"/>
        </w:rPr>
        <w:t>.</w:t>
      </w:r>
      <w:r w:rsidRPr="0080730A">
        <w:rPr>
          <w:rFonts w:ascii="Times New Roman" w:hAnsi="Times New Roman" w:cs="Times New Roman"/>
          <w:noProof/>
          <w:color w:val="000000" w:themeColor="text1"/>
          <w:vertAlign w:val="superscript"/>
          <w:lang w:val="en-GB"/>
        </w:rPr>
        <w:t xml:space="preserve"> </w:t>
      </w:r>
      <w:r w:rsidRPr="0080730A">
        <w:rPr>
          <w:rFonts w:ascii="Times New Roman" w:hAnsi="Times New Roman" w:cs="Times New Roman"/>
          <w:color w:val="000000" w:themeColor="text1"/>
        </w:rPr>
        <w:t xml:space="preserve">Participants refrained from taking drugs targeting SV2A for at least 24 hours before the </w:t>
      </w:r>
      <w:r w:rsidRPr="0080730A">
        <w:rPr>
          <w:rFonts w:ascii="Times New Roman" w:hAnsi="Times New Roman" w:cs="Times New Roman"/>
          <w:color w:val="000000" w:themeColor="text1"/>
          <w:vertAlign w:val="superscript"/>
        </w:rPr>
        <w:t>18</w:t>
      </w:r>
      <w:r w:rsidRPr="0080730A">
        <w:rPr>
          <w:rFonts w:ascii="Times New Roman" w:hAnsi="Times New Roman" w:cs="Times New Roman"/>
          <w:color w:val="000000" w:themeColor="text1"/>
        </w:rPr>
        <w:t xml:space="preserve">F-SynVesT-1 PET scan. A 30-minute static PET scan was initiated at 60 minutes post-injection of 18F-SynVesT-1 (~3.7 </w:t>
      </w:r>
      <w:proofErr w:type="spellStart"/>
      <w:r w:rsidRPr="0080730A">
        <w:rPr>
          <w:rFonts w:ascii="Times New Roman" w:hAnsi="Times New Roman" w:cs="Times New Roman"/>
          <w:color w:val="000000" w:themeColor="text1"/>
        </w:rPr>
        <w:t>MBq</w:t>
      </w:r>
      <w:proofErr w:type="spellEnd"/>
      <w:r w:rsidRPr="0080730A">
        <w:rPr>
          <w:rFonts w:ascii="Times New Roman" w:hAnsi="Times New Roman" w:cs="Times New Roman"/>
          <w:color w:val="000000" w:themeColor="text1"/>
        </w:rPr>
        <w:t>/kg body weight). Each participant had the three PET scans on different days within two weeks; the scans were scheduled at least three days apart from each other.</w:t>
      </w:r>
    </w:p>
    <w:p w:rsidR="0080730A" w:rsidRPr="0080730A" w:rsidRDefault="0080730A" w:rsidP="00195F10">
      <w:pPr>
        <w:pStyle w:val="a3"/>
        <w:spacing w:before="240" w:after="120" w:line="480" w:lineRule="auto"/>
        <w:ind w:firstLineChars="177" w:firstLine="425"/>
        <w:jc w:val="left"/>
        <w:rPr>
          <w:rFonts w:ascii="Times New Roman" w:eastAsiaTheme="minorEastAsia" w:hAnsi="Times New Roman"/>
          <w:color w:val="000000" w:themeColor="text1"/>
          <w:kern w:val="2"/>
          <w:sz w:val="24"/>
          <w:szCs w:val="24"/>
          <w:lang w:val="en-GB" w:eastAsia="zh-CN" w:bidi="ar-SA"/>
        </w:rPr>
      </w:pPr>
      <w:r w:rsidRPr="0080730A">
        <w:rPr>
          <w:rFonts w:ascii="Times New Roman" w:eastAsiaTheme="minorEastAsia" w:hAnsi="Times New Roman"/>
          <w:color w:val="000000" w:themeColor="text1"/>
          <w:kern w:val="2"/>
          <w:sz w:val="24"/>
          <w:szCs w:val="24"/>
          <w:lang w:val="en-GB" w:eastAsia="zh-CN" w:bidi="ar-SA"/>
        </w:rPr>
        <w:t xml:space="preserve">An automated pipeline was utilized to derive cortical standardized uptake value ratios (SUVR) using the </w:t>
      </w:r>
      <w:proofErr w:type="spellStart"/>
      <w:r w:rsidRPr="0080730A">
        <w:rPr>
          <w:rFonts w:ascii="Times New Roman" w:eastAsiaTheme="minorEastAsia" w:hAnsi="Times New Roman"/>
          <w:color w:val="000000" w:themeColor="text1"/>
          <w:kern w:val="2"/>
          <w:sz w:val="24"/>
          <w:szCs w:val="24"/>
          <w:lang w:val="en-GB" w:eastAsia="zh-CN" w:bidi="ar-SA"/>
        </w:rPr>
        <w:t>PETSurfer</w:t>
      </w:r>
      <w:proofErr w:type="spellEnd"/>
      <w:r w:rsidRPr="0080730A">
        <w:rPr>
          <w:rFonts w:ascii="Times New Roman" w:eastAsiaTheme="minorEastAsia" w:hAnsi="Times New Roman"/>
          <w:color w:val="000000" w:themeColor="text1"/>
          <w:kern w:val="2"/>
          <w:sz w:val="24"/>
          <w:szCs w:val="24"/>
          <w:lang w:val="en-GB" w:eastAsia="zh-CN" w:bidi="ar-SA"/>
        </w:rPr>
        <w:t xml:space="preserve"> toolbox in </w:t>
      </w:r>
      <w:proofErr w:type="spellStart"/>
      <w:r w:rsidRPr="0080730A">
        <w:rPr>
          <w:rFonts w:ascii="Times New Roman" w:eastAsiaTheme="minorEastAsia" w:hAnsi="Times New Roman"/>
          <w:color w:val="000000" w:themeColor="text1"/>
          <w:kern w:val="2"/>
          <w:sz w:val="24"/>
          <w:szCs w:val="24"/>
          <w:lang w:val="en-GB" w:eastAsia="zh-CN" w:bidi="ar-SA"/>
        </w:rPr>
        <w:t>Freesurfer</w:t>
      </w:r>
      <w:proofErr w:type="spellEnd"/>
      <w:r w:rsidRPr="0080730A">
        <w:rPr>
          <w:rFonts w:ascii="Times New Roman" w:eastAsiaTheme="minorEastAsia" w:hAnsi="Times New Roman"/>
          <w:color w:val="000000" w:themeColor="text1"/>
          <w:kern w:val="2"/>
          <w:sz w:val="24"/>
          <w:szCs w:val="24"/>
          <w:lang w:val="en-GB" w:eastAsia="zh-CN" w:bidi="ar-SA"/>
        </w:rPr>
        <w:t>, with the cerebellum cortex serving as the reference region</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{"citationID":"wCpFDHnu","properties":{"formattedCitation":"\\super 12\\nosupersub{}","plainCitation":"12","noteIndex":0},"citationItems":[{"id":"7Pkga8HE/RDYenr7f","uris":["http://zotero.org/users/9311654/items/W56NBF2D"],"itemData":{"id":2877,"type":"article-journal","abstract":"Exploratory (i.e., voxelwise) spatial methods are commonly used in neuroimaging to identify areas that show an effect when a region-of-interest (ROI) analysis cannot be performed because no strong a priori anatomical hypothesis exists. However, noise at a single voxel is much higher than noise in a ROI making noise management critical to successful exploratory analysis. This work explores how preprocessing choices affect the bias and variability of voxelwise kinetic modeling analysis of brain positron emission tomography (PET) data. These choices include the use of volume- or cortical surface-based smoothing, level of smoothing, use of voxelwise partial volume correction (PVC), and PVC masking threshold. PVC was implemented using the Muller-Gartner method with the masking out of voxels with low gray matter (GM) partial volume fraction. Dynamic PET scans of an antagonist serotonin-4 receptor radioligand ([(11)C]SB207145) were collected on sixteen healthy subjects using a Siemens HRRT PET scanner. Kinetic modeling was used to compute maps of non-displaceable binding potential (BPND) after preprocessing. The results showed a complicated interaction between smoothing, PVC, and masking on BPND estimates. Volume-based smoothing resulted in large bias and intersubject variance because it smears signal across tissue types. In some cases, PVC with volume smoothing paradoxically caused the estimated BPND to be less than when no PVC was used at all. When applied in the absence of PVC, cortical surface-based smoothing resulted in dramatically less bias and the least variance of the methods tested for smoothing levels 5mm and higher. When used in combination with PVC, surface-based smoothing minimized the bias without significantly increasing the variance. Surface-based smoothing resulted in 2-4 times less intersubject variance than when volume smoothing was used. This translates into more than 4 times fewer subjects needed in a group analysis to achieve similarly powered statistical tests. Surface-based smoothing has less bias and variance because it respects cortical geometry by smoothing the PET data only along the cortical ribbon and so does not contaminate the GM signal with that of white matter and cerebrospinal fluid. The use of surface-based analysis in PET should result in substantial improvements in the reliability and detectability of effects in exploratory PET analysis, with or without PVC.","container-title":"NeuroImage","DOI":"10.1016/j.neuroimage.2013.12.021","ISSN":"1095-9572","journalAbbreviation":"Neuroimage","language":"eng","note":"PMID: 24361666\nPMCID: PMC4008670","page":"225-236","source":"PubMed","title":"Cortical surface-based analysis reduces bias and variance in kinetic modeling of brain PET data","volume":"92","author":[{"family":"Greve","given":"Douglas N."},{"family":"Svarer","given":"Claus"},{"family":"Fisher","given":"Patrick M."},{"family":"Feng","given":"Ling"},{"family":"Hansen","given":"Adam E."},{"family":"Baare","given":"William"},{"family":"Rosen","given":"Bruce"},{"family":"Fischl","given":"Bruce"},{"family":"Knudsen","given":"Gitte M."}],"issued":{"date-parts":[["2014",5,15]]}}}],"schema":"https://github.com/citation-style-language/schema/raw/master/csl-citation.json"}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12</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xml:space="preserve">. Initially, high-resolution segmentation was generated from structural T1 images to facilitate PVC techniques. Subsequently, registration of PET and anatomical images was conducted and visually validated. To mitigate partial volume effects resulting from cortical atrophy in AD, the extended </w:t>
      </w:r>
      <w:r w:rsidRPr="0080730A">
        <w:rPr>
          <w:rFonts w:ascii="Times New Roman" w:eastAsiaTheme="minorEastAsia" w:hAnsi="Times New Roman"/>
          <w:color w:val="000000" w:themeColor="text1"/>
          <w:kern w:val="2"/>
          <w:sz w:val="24"/>
          <w:szCs w:val="24"/>
          <w:lang w:val="en-GB" w:eastAsia="zh-CN" w:bidi="ar-SA"/>
        </w:rPr>
        <w:lastRenderedPageBreak/>
        <w:t>Muller–Gartner method was employed as a PVC approach</w:t>
      </w:r>
      <w:r w:rsidRPr="0080730A">
        <w:rPr>
          <w:rFonts w:ascii="Times New Roman" w:eastAsiaTheme="minorEastAsia" w:hAnsi="Times New Roman"/>
          <w:color w:val="000000" w:themeColor="text1"/>
          <w:kern w:val="2"/>
          <w:sz w:val="24"/>
          <w:szCs w:val="24"/>
          <w:lang w:val="en-GB" w:eastAsia="zh-CN" w:bidi="ar-SA"/>
        </w:rPr>
        <w:fldChar w:fldCharType="begin"/>
      </w:r>
      <w:r w:rsidR="006C125C">
        <w:rPr>
          <w:rFonts w:ascii="Times New Roman" w:eastAsiaTheme="minorEastAsia" w:hAnsi="Times New Roman"/>
          <w:color w:val="000000" w:themeColor="text1"/>
          <w:kern w:val="2"/>
          <w:sz w:val="24"/>
          <w:szCs w:val="24"/>
          <w:lang w:val="en-GB" w:eastAsia="zh-CN" w:bidi="ar-SA"/>
        </w:rPr>
        <w:instrText xml:space="preserve"> ADDIN ZOTERO_ITEM CSL_CITATION {"citationID":"RhdFZOuz","properties":{"formattedCitation":"\\super 13\\nosupersub{}","plainCitation":"13","noteIndex":0},"citationItems":[{"id":"7Pkga8HE/nSn4EHNs","uris":["http://zotero.org/users/9311654/items/SFU8E3ST"],"itemData":{"id":2880,"type":"article-journal","abstract":"A cross-sectional group study of the effects of aging on brain metabolism as measured with (18)F-FDG-PET was performed using several different partial volume correction (PVC) methods: no correction (NoPVC), Meltzer (MZ), Müller-Gärtner (MG), and the symmetric geometric transfer matrix (SGTM) using 99 subjects aged 65-87years from the Harvard Aging Brain study. Sensitivity to parameter selection was tested for MZ and MG. The various methods and parameter settings resulted in an extremely wide range of conclusions as to the effects of age on metabolism, from almost no changes to virtually all of cortical regions showing a decrease with age. Simulations showed that NoPVC had significant bias that made the age effect on metabolism appear to be much larger and more significant than it is. MZ was found to be the same as NoPVC for liberal brain masks; for conservative brain masks, MZ showed few areas correlated with age. MG and SGTM were found to be similar; however, MG was sensitive to a thresholding parameter that can result in data loss. CSF uptake was surprisingly high at about 15% of that in gray matter. The exclusion of CSF from SGTM and MG models, which is almost universally done, caused a substantial loss in the power to detect age-related changes. This diversity of results reflects the literature on the metabolism of aging and suggests that extreme care should be taken when applying PVC or interpreting results that have been corrected for partial volume effects. Using the SGTM, significant age-related changes of about 7% per decade were found in frontal and cingulate cortices as well as primary visual and insular cortices.","container-title":"NeuroImage","DOI":"10.1016/j.neuroimage.2016.02.042","ISSN":"1095-9572","journalAbbreviation":"Neuroimage","language":"eng","note":"PMID: 26915497\nPMCID: PMC4851886","page":"334-343","source":"PubMed","title":"Different partial volume correction methods lead to different conclusions: An (18)F-FDG-PET study of aging","title-short":"Different partial volume correction methods lead to different conclusions","volume":"132","author":[{"family":"Greve","given":"Douglas N."},{"family":"Salat","given":"David H."},{"family":"Bowen","given":"Spencer L."},{"family":"Izquierdo-Garcia","given":"David"},{"family":"Schultz","given":"Aaron P."},{"family":"Catana","given":"Ciprian"},{"family":"Becker","given":"J. Alex"},{"family":"Svarer","given":"Claus"},{"family":"Knudsen","given":"Gitte M."},{"family":"Sperling","given":"Reisa A."},{"family":"Johnson","given":"Keith A."}],"issued":{"date-parts":[["2016",5,15]]}}}],"schema":"https://github.com/citation-style-language/schema/raw/master/csl-citation.json"} </w:instrText>
      </w:r>
      <w:r w:rsidRPr="0080730A">
        <w:rPr>
          <w:rFonts w:ascii="Times New Roman" w:eastAsiaTheme="minorEastAsia" w:hAnsi="Times New Roman"/>
          <w:color w:val="000000" w:themeColor="text1"/>
          <w:kern w:val="2"/>
          <w:sz w:val="24"/>
          <w:szCs w:val="24"/>
          <w:lang w:val="en-GB" w:eastAsia="zh-CN" w:bidi="ar-SA"/>
        </w:rPr>
        <w:fldChar w:fldCharType="separate"/>
      </w:r>
      <w:r w:rsidRPr="0080730A">
        <w:rPr>
          <w:rFonts w:ascii="Times New Roman" w:hAnsi="Times New Roman"/>
          <w:color w:val="000000"/>
          <w:sz w:val="24"/>
          <w:szCs w:val="24"/>
          <w:vertAlign w:val="superscript"/>
        </w:rPr>
        <w:t>13</w:t>
      </w:r>
      <w:r w:rsidRPr="0080730A">
        <w:rPr>
          <w:rFonts w:ascii="Times New Roman" w:eastAsiaTheme="minorEastAsia" w:hAnsi="Times New Roman"/>
          <w:color w:val="000000" w:themeColor="text1"/>
          <w:kern w:val="2"/>
          <w:sz w:val="24"/>
          <w:szCs w:val="24"/>
          <w:lang w:val="en-GB" w:eastAsia="zh-CN" w:bidi="ar-SA"/>
        </w:rPr>
        <w:fldChar w:fldCharType="end"/>
      </w:r>
      <w:r w:rsidRPr="0080730A">
        <w:rPr>
          <w:rFonts w:ascii="Times New Roman" w:eastAsiaTheme="minorEastAsia" w:hAnsi="Times New Roman"/>
          <w:color w:val="000000" w:themeColor="text1"/>
          <w:kern w:val="2"/>
          <w:sz w:val="24"/>
          <w:szCs w:val="24"/>
          <w:lang w:val="en-GB" w:eastAsia="zh-CN" w:bidi="ar-SA"/>
        </w:rPr>
        <w:t>. Surface-based maps of Aβ, Tau, and SV2A were smoothed on a two-dimensional surface using a Gaussian kernel with a full width at half maximum (FWHM) of 5mm. These biomarker maps were then utilized for vertex-wise analysis and mean cortical SUVRs were extracted for spatial correlation analyses.</w:t>
      </w:r>
    </w:p>
    <w:p w:rsidR="0080730A" w:rsidRPr="0080730A" w:rsidRDefault="0080730A" w:rsidP="00195F10">
      <w:pPr>
        <w:pStyle w:val="a3"/>
        <w:spacing w:before="240" w:after="120" w:line="480" w:lineRule="auto"/>
        <w:jc w:val="left"/>
        <w:rPr>
          <w:rFonts w:ascii="Times New Roman" w:hAnsi="Times New Roman"/>
          <w:b/>
          <w:bCs/>
          <w:color w:val="000000" w:themeColor="text1"/>
          <w:sz w:val="24"/>
          <w:szCs w:val="24"/>
        </w:rPr>
      </w:pPr>
      <w:r w:rsidRPr="0080730A">
        <w:rPr>
          <w:rFonts w:ascii="Times New Roman" w:eastAsiaTheme="minorEastAsia" w:hAnsi="Times New Roman"/>
          <w:color w:val="000000" w:themeColor="text1"/>
          <w:kern w:val="2"/>
          <w:sz w:val="24"/>
          <w:szCs w:val="24"/>
          <w:lang w:val="en-GB" w:eastAsia="zh-CN" w:bidi="ar-SA"/>
        </w:rPr>
        <w:br w:type="column"/>
      </w:r>
      <w:r w:rsidR="007E046E">
        <w:rPr>
          <w:rFonts w:ascii="Times New Roman" w:hAnsi="Times New Roman"/>
          <w:b/>
          <w:bCs/>
          <w:color w:val="000000" w:themeColor="text1"/>
          <w:sz w:val="24"/>
          <w:szCs w:val="24"/>
        </w:rPr>
        <w:lastRenderedPageBreak/>
        <w:t xml:space="preserve">Supplementary Method </w:t>
      </w:r>
      <w:r w:rsidRPr="0080730A">
        <w:rPr>
          <w:rFonts w:ascii="Times New Roman" w:hAnsi="Times New Roman"/>
          <w:b/>
          <w:bCs/>
          <w:color w:val="000000" w:themeColor="text1"/>
          <w:sz w:val="24"/>
          <w:szCs w:val="24"/>
        </w:rPr>
        <w:t>3. Peripheral blood biomarkers</w:t>
      </w:r>
    </w:p>
    <w:p w:rsidR="0080730A" w:rsidRPr="0080730A" w:rsidRDefault="0080730A" w:rsidP="00195F10">
      <w:pPr>
        <w:pStyle w:val="a3"/>
        <w:spacing w:before="240" w:after="120" w:line="480" w:lineRule="auto"/>
        <w:jc w:val="left"/>
        <w:rPr>
          <w:rFonts w:ascii="Times New Roman" w:eastAsiaTheme="minorEastAsia" w:hAnsi="Times New Roman"/>
          <w:color w:val="000000" w:themeColor="text1"/>
          <w:kern w:val="2"/>
          <w:sz w:val="24"/>
          <w:szCs w:val="24"/>
          <w:lang w:val="en-GB" w:eastAsia="zh-CN" w:bidi="ar-SA"/>
        </w:rPr>
      </w:pPr>
      <w:r w:rsidRPr="0080730A">
        <w:rPr>
          <w:rFonts w:ascii="Times New Roman" w:eastAsiaTheme="minorEastAsia" w:hAnsi="Times New Roman"/>
          <w:color w:val="000000" w:themeColor="text1"/>
          <w:kern w:val="2"/>
          <w:sz w:val="24"/>
          <w:szCs w:val="24"/>
          <w:lang w:val="en-GB" w:eastAsia="zh-CN" w:bidi="ar-SA"/>
        </w:rPr>
        <w:t>We collected a 20mL venous blood sample from participants at the visits. Samples were centrifuged to isolate serum and plasma before being stored at -80</w:t>
      </w:r>
      <w:r w:rsidRPr="0080730A">
        <w:rPr>
          <w:rFonts w:ascii="Cambria Math" w:eastAsiaTheme="minorEastAsia" w:hAnsi="Cambria Math" w:cs="Cambria Math"/>
          <w:color w:val="000000" w:themeColor="text1"/>
          <w:kern w:val="2"/>
          <w:sz w:val="24"/>
          <w:szCs w:val="24"/>
          <w:lang w:val="en-GB" w:eastAsia="zh-CN" w:bidi="ar-SA"/>
        </w:rPr>
        <w:t>℃</w:t>
      </w:r>
      <w:r w:rsidRPr="0080730A">
        <w:rPr>
          <w:rFonts w:ascii="Times New Roman" w:eastAsiaTheme="minorEastAsia" w:hAnsi="Times New Roman"/>
          <w:color w:val="000000" w:themeColor="text1"/>
          <w:kern w:val="2"/>
          <w:sz w:val="24"/>
          <w:szCs w:val="24"/>
          <w:lang w:val="en-GB" w:eastAsia="zh-CN" w:bidi="ar-SA"/>
        </w:rPr>
        <w:t>. Protein concentrations in ethylenediaminetetraacetic acid (EDTA) plasma were assessed using the ultra-sensitive single-molecule array (</w:t>
      </w:r>
      <w:proofErr w:type="spellStart"/>
      <w:r w:rsidRPr="0080730A">
        <w:rPr>
          <w:rFonts w:ascii="Times New Roman" w:eastAsiaTheme="minorEastAsia" w:hAnsi="Times New Roman"/>
          <w:color w:val="000000" w:themeColor="text1"/>
          <w:kern w:val="2"/>
          <w:sz w:val="24"/>
          <w:szCs w:val="24"/>
          <w:lang w:val="en-GB" w:eastAsia="zh-CN" w:bidi="ar-SA"/>
        </w:rPr>
        <w:t>Simoa</w:t>
      </w:r>
      <w:proofErr w:type="spellEnd"/>
      <w:r w:rsidRPr="0080730A">
        <w:rPr>
          <w:rFonts w:ascii="Times New Roman" w:eastAsiaTheme="minorEastAsia" w:hAnsi="Times New Roman"/>
          <w:color w:val="000000" w:themeColor="text1"/>
          <w:kern w:val="2"/>
          <w:sz w:val="24"/>
          <w:szCs w:val="24"/>
          <w:lang w:val="en-GB" w:eastAsia="zh-CN" w:bidi="ar-SA"/>
        </w:rPr>
        <w:t xml:space="preserve">) platform. Specifically, GFAP and NFL levels were quantified utilizing the Neurology 4-Plex E Advantage kit (QTX-103670, </w:t>
      </w:r>
      <w:proofErr w:type="spellStart"/>
      <w:r w:rsidRPr="0080730A">
        <w:rPr>
          <w:rFonts w:ascii="Times New Roman" w:eastAsiaTheme="minorEastAsia" w:hAnsi="Times New Roman"/>
          <w:color w:val="000000" w:themeColor="text1"/>
          <w:kern w:val="2"/>
          <w:sz w:val="24"/>
          <w:szCs w:val="24"/>
          <w:lang w:val="en-GB" w:eastAsia="zh-CN" w:bidi="ar-SA"/>
        </w:rPr>
        <w:t>Quanterix</w:t>
      </w:r>
      <w:proofErr w:type="spellEnd"/>
      <w:r w:rsidRPr="0080730A">
        <w:rPr>
          <w:rFonts w:ascii="Times New Roman" w:eastAsiaTheme="minorEastAsia" w:hAnsi="Times New Roman"/>
          <w:color w:val="000000" w:themeColor="text1"/>
          <w:kern w:val="2"/>
          <w:sz w:val="24"/>
          <w:szCs w:val="24"/>
          <w:lang w:val="en-GB" w:eastAsia="zh-CN" w:bidi="ar-SA"/>
        </w:rPr>
        <w:t xml:space="preserve">, Billerica, Massachusetts, United States). Serum concentrations of NRGN and TNFα were determined using the Luminex 200 system (Luminex, Austin, TX, USA) with the Human </w:t>
      </w:r>
      <w:proofErr w:type="spellStart"/>
      <w:r w:rsidRPr="0080730A">
        <w:rPr>
          <w:rFonts w:ascii="Times New Roman" w:eastAsiaTheme="minorEastAsia" w:hAnsi="Times New Roman"/>
          <w:color w:val="000000" w:themeColor="text1"/>
          <w:kern w:val="2"/>
          <w:sz w:val="24"/>
          <w:szCs w:val="24"/>
          <w:lang w:val="en-GB" w:eastAsia="zh-CN" w:bidi="ar-SA"/>
        </w:rPr>
        <w:t>ProcartaPlex</w:t>
      </w:r>
      <w:proofErr w:type="spellEnd"/>
      <w:r w:rsidRPr="0080730A">
        <w:rPr>
          <w:rFonts w:ascii="Times New Roman" w:eastAsiaTheme="minorEastAsia" w:hAnsi="Times New Roman"/>
          <w:color w:val="000000" w:themeColor="text1"/>
          <w:kern w:val="2"/>
          <w:sz w:val="24"/>
          <w:szCs w:val="24"/>
          <w:lang w:val="en-GB" w:eastAsia="zh-CN" w:bidi="ar-SA"/>
        </w:rPr>
        <w:t xml:space="preserve"> Mix &amp; Match 3-plex kit (PPX-03-MXMFYR9, </w:t>
      </w:r>
      <w:proofErr w:type="spellStart"/>
      <w:r w:rsidRPr="0080730A">
        <w:rPr>
          <w:rFonts w:ascii="Times New Roman" w:eastAsiaTheme="minorEastAsia" w:hAnsi="Times New Roman"/>
          <w:color w:val="000000" w:themeColor="text1"/>
          <w:kern w:val="2"/>
          <w:sz w:val="24"/>
          <w:szCs w:val="24"/>
          <w:lang w:val="en-GB" w:eastAsia="zh-CN" w:bidi="ar-SA"/>
        </w:rPr>
        <w:t>Thermo</w:t>
      </w:r>
      <w:proofErr w:type="spellEnd"/>
      <w:r w:rsidRPr="0080730A">
        <w:rPr>
          <w:rFonts w:ascii="Times New Roman" w:eastAsiaTheme="minorEastAsia" w:hAnsi="Times New Roman"/>
          <w:color w:val="000000" w:themeColor="text1"/>
          <w:kern w:val="2"/>
          <w:sz w:val="24"/>
          <w:szCs w:val="24"/>
          <w:lang w:val="en-GB" w:eastAsia="zh-CN" w:bidi="ar-SA"/>
        </w:rPr>
        <w:t xml:space="preserve"> Fisher Scientific).</w:t>
      </w:r>
    </w:p>
    <w:p w:rsidR="007E046E" w:rsidRPr="006C125C" w:rsidRDefault="007E046E" w:rsidP="007E046E">
      <w:pPr>
        <w:pStyle w:val="a3"/>
        <w:spacing w:before="240" w:after="120" w:line="480" w:lineRule="auto"/>
        <w:jc w:val="left"/>
        <w:rPr>
          <w:rFonts w:ascii="Times New Roman" w:hAnsi="Times New Roman"/>
          <w:b/>
          <w:bCs/>
          <w:color w:val="000000" w:themeColor="text1"/>
          <w:sz w:val="24"/>
          <w:szCs w:val="24"/>
        </w:rPr>
      </w:pPr>
    </w:p>
    <w:p w:rsidR="006C125C" w:rsidRPr="00195F10" w:rsidRDefault="007E046E" w:rsidP="00195F10">
      <w:pPr>
        <w:pStyle w:val="a3"/>
        <w:tabs>
          <w:tab w:val="left" w:pos="3098"/>
        </w:tabs>
        <w:spacing w:before="240" w:after="120" w:line="480" w:lineRule="auto"/>
        <w:jc w:val="left"/>
        <w:rPr>
          <w:rFonts w:ascii="Times New Roman" w:hAnsi="Times New Roman"/>
          <w:b/>
          <w:bCs/>
          <w:color w:val="000000" w:themeColor="text1"/>
          <w:sz w:val="24"/>
          <w:szCs w:val="24"/>
        </w:rPr>
      </w:pPr>
      <w:r>
        <w:rPr>
          <w:rFonts w:ascii="Times New Roman" w:hAnsi="Times New Roman"/>
          <w:b/>
          <w:bCs/>
          <w:color w:val="000000" w:themeColor="text1"/>
          <w:sz w:val="24"/>
          <w:szCs w:val="24"/>
        </w:rPr>
        <w:br w:type="column"/>
      </w:r>
      <w:r w:rsidR="006C125C" w:rsidRPr="006C125C">
        <w:rPr>
          <w:rFonts w:ascii="Times New Roman" w:hAnsi="Times New Roman" w:hint="eastAsia"/>
          <w:b/>
          <w:bCs/>
          <w:color w:val="000000" w:themeColor="text1"/>
          <w:sz w:val="24"/>
          <w:szCs w:val="24"/>
        </w:rPr>
        <w:lastRenderedPageBreak/>
        <w:t>R</w:t>
      </w:r>
      <w:r w:rsidR="006C125C" w:rsidRPr="006C125C">
        <w:rPr>
          <w:rFonts w:ascii="Times New Roman" w:hAnsi="Times New Roman"/>
          <w:b/>
          <w:bCs/>
          <w:color w:val="000000" w:themeColor="text1"/>
          <w:sz w:val="24"/>
          <w:szCs w:val="24"/>
        </w:rPr>
        <w:t>eferences for supplementary materials</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olor w:val="000000" w:themeColor="text1"/>
          <w:lang w:eastAsia="zh-CN"/>
        </w:rPr>
        <w:fldChar w:fldCharType="begin"/>
      </w:r>
      <w:r w:rsidRPr="006C125C">
        <w:rPr>
          <w:rFonts w:ascii="Times New Roman" w:hAnsi="Times New Roman"/>
          <w:color w:val="000000" w:themeColor="text1"/>
          <w:lang w:eastAsia="zh-CN"/>
        </w:rPr>
        <w:instrText xml:space="preserve"> ADDIN ZOTERO_BIBL {"uncited":[],"omitted":[],"custom":[]} CSL_BIBLIOGRAPHY </w:instrText>
      </w:r>
      <w:r w:rsidRPr="006C125C">
        <w:rPr>
          <w:rFonts w:ascii="Times New Roman" w:hAnsi="Times New Roman"/>
          <w:color w:val="000000" w:themeColor="text1"/>
          <w:lang w:eastAsia="zh-CN"/>
        </w:rPr>
        <w:fldChar w:fldCharType="separate"/>
      </w:r>
      <w:r w:rsidRPr="006C125C">
        <w:rPr>
          <w:rFonts w:ascii="Times New Roman" w:hAnsi="Times New Roman" w:cs="Times New Roman"/>
          <w:color w:val="000000"/>
        </w:rPr>
        <w:t>1.</w:t>
      </w:r>
      <w:r w:rsidRPr="006C125C">
        <w:rPr>
          <w:rFonts w:ascii="Times New Roman" w:hAnsi="Times New Roman" w:cs="Times New Roman"/>
          <w:color w:val="000000"/>
        </w:rPr>
        <w:tab/>
        <w:t xml:space="preserve">Zhang J, Chen H, Wang J, et al. Linking white matter hyperintensities to regional cortical thinning, amyloid deposition, and synaptic density loss in Alzheimer’s disease. </w:t>
      </w:r>
      <w:r w:rsidRPr="006C125C">
        <w:rPr>
          <w:rFonts w:ascii="Times New Roman" w:hAnsi="Times New Roman" w:cs="Times New Roman"/>
          <w:i/>
          <w:iCs/>
          <w:color w:val="000000"/>
        </w:rPr>
        <w:t>Alzheimers Dement</w:t>
      </w:r>
      <w:r w:rsidRPr="006C125C">
        <w:rPr>
          <w:rFonts w:ascii="Times New Roman" w:hAnsi="Times New Roman" w:cs="Times New Roman"/>
          <w:color w:val="000000"/>
        </w:rPr>
        <w:t>. Published online April 22, 2024. doi:10.1002/alz.13845</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2.</w:t>
      </w:r>
      <w:r w:rsidRPr="006C125C">
        <w:rPr>
          <w:rFonts w:ascii="Times New Roman" w:hAnsi="Times New Roman" w:cs="Times New Roman"/>
          <w:color w:val="000000"/>
        </w:rPr>
        <w:tab/>
        <w:t xml:space="preserve">Zhang J, Wang J, Xu X, et al. In vivo synaptic density loss correlates with impaired functional and related structural connectivity in Alzheimer’s disease. </w:t>
      </w:r>
      <w:r w:rsidRPr="006C125C">
        <w:rPr>
          <w:rFonts w:ascii="Times New Roman" w:hAnsi="Times New Roman" w:cs="Times New Roman"/>
          <w:i/>
          <w:iCs/>
          <w:color w:val="000000"/>
        </w:rPr>
        <w:t>J Cereb Blood Flow Metab</w:t>
      </w:r>
      <w:r w:rsidRPr="006C125C">
        <w:rPr>
          <w:rFonts w:ascii="Times New Roman" w:hAnsi="Times New Roman" w:cs="Times New Roman"/>
          <w:color w:val="000000"/>
        </w:rPr>
        <w:t>. 2023;43(6):977-988. doi:10.1177/0271678X231153730</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3.</w:t>
      </w:r>
      <w:r w:rsidRPr="006C125C">
        <w:rPr>
          <w:rFonts w:ascii="Times New Roman" w:hAnsi="Times New Roman" w:cs="Times New Roman"/>
          <w:color w:val="000000"/>
        </w:rPr>
        <w:tab/>
        <w:t xml:space="preserve">Li B, Jang I, Riphagen J, et al. Identifying individuals with Alzheimer’s disease-like brains based on structural imaging in the Human Connectome Project Aging cohort. </w:t>
      </w:r>
      <w:r w:rsidRPr="006C125C">
        <w:rPr>
          <w:rFonts w:ascii="Times New Roman" w:hAnsi="Times New Roman" w:cs="Times New Roman"/>
          <w:i/>
          <w:iCs/>
          <w:color w:val="000000"/>
        </w:rPr>
        <w:t>Hum Brain Mapp</w:t>
      </w:r>
      <w:r w:rsidRPr="006C125C">
        <w:rPr>
          <w:rFonts w:ascii="Times New Roman" w:hAnsi="Times New Roman" w:cs="Times New Roman"/>
          <w:color w:val="000000"/>
        </w:rPr>
        <w:t>. 2021;42(17):5535-5546. doi:10.1002/hbm.25626</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4.</w:t>
      </w:r>
      <w:r w:rsidRPr="006C125C">
        <w:rPr>
          <w:rFonts w:ascii="Times New Roman" w:hAnsi="Times New Roman" w:cs="Times New Roman"/>
          <w:color w:val="000000"/>
        </w:rPr>
        <w:tab/>
        <w:t xml:space="preserve">Li B, Zhang M, Riphagen J, et al. Prediction of clinical and biomarker conformed Alzheimer’s disease and mild cognitive impairment from multi-feature brain structural MRI using age-correction from a large independent lifespan sample. </w:t>
      </w:r>
      <w:r w:rsidRPr="006C125C">
        <w:rPr>
          <w:rFonts w:ascii="Times New Roman" w:hAnsi="Times New Roman" w:cs="Times New Roman"/>
          <w:i/>
          <w:iCs/>
          <w:color w:val="000000"/>
        </w:rPr>
        <w:t>Neuroimage Clin</w:t>
      </w:r>
      <w:r w:rsidRPr="006C125C">
        <w:rPr>
          <w:rFonts w:ascii="Times New Roman" w:hAnsi="Times New Roman" w:cs="Times New Roman"/>
          <w:color w:val="000000"/>
        </w:rPr>
        <w:t>. 2020;28:102387. doi:10.1016/j.nicl.2020.102387</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5.</w:t>
      </w:r>
      <w:r w:rsidRPr="006C125C">
        <w:rPr>
          <w:rFonts w:ascii="Times New Roman" w:hAnsi="Times New Roman" w:cs="Times New Roman"/>
          <w:color w:val="000000"/>
        </w:rPr>
        <w:tab/>
        <w:t xml:space="preserve">Duering M, Biessels GJ, Brodtmann A, et al. Neuroimaging standards for research into small vessel disease-advances since 2013. </w:t>
      </w:r>
      <w:r w:rsidRPr="006C125C">
        <w:rPr>
          <w:rFonts w:ascii="Times New Roman" w:hAnsi="Times New Roman" w:cs="Times New Roman"/>
          <w:i/>
          <w:iCs/>
          <w:color w:val="000000"/>
        </w:rPr>
        <w:t>Lancet Neurol</w:t>
      </w:r>
      <w:r w:rsidRPr="006C125C">
        <w:rPr>
          <w:rFonts w:ascii="Times New Roman" w:hAnsi="Times New Roman" w:cs="Times New Roman"/>
          <w:color w:val="000000"/>
        </w:rPr>
        <w:t>. Published online May 23, 2023:S1474-4422(23)00131-X. doi:10.1016/S1474-4422(23)00131-X</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6.</w:t>
      </w:r>
      <w:r w:rsidRPr="006C125C">
        <w:rPr>
          <w:rFonts w:ascii="Times New Roman" w:hAnsi="Times New Roman" w:cs="Times New Roman"/>
          <w:color w:val="000000"/>
        </w:rPr>
        <w:tab/>
        <w:t xml:space="preserve">Daducci A, Canales-Rodríguez EJ, Zhang H, Dyrby TB, Alexander DC, Thiran JP. Accelerated Microstructure Imaging via Convex Optimization (AMICO) from diffusion MRI data. </w:t>
      </w:r>
      <w:r w:rsidRPr="006C125C">
        <w:rPr>
          <w:rFonts w:ascii="Times New Roman" w:hAnsi="Times New Roman" w:cs="Times New Roman"/>
          <w:i/>
          <w:iCs/>
          <w:color w:val="000000"/>
        </w:rPr>
        <w:t>Neuroimage</w:t>
      </w:r>
      <w:r w:rsidRPr="006C125C">
        <w:rPr>
          <w:rFonts w:ascii="Times New Roman" w:hAnsi="Times New Roman" w:cs="Times New Roman"/>
          <w:color w:val="000000"/>
        </w:rPr>
        <w:t>. 2015;105:32-44. doi:10.1016/j.neuroimage.2014.10.026</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lastRenderedPageBreak/>
        <w:t>7.</w:t>
      </w:r>
      <w:r w:rsidRPr="006C125C">
        <w:rPr>
          <w:rFonts w:ascii="Times New Roman" w:hAnsi="Times New Roman" w:cs="Times New Roman"/>
          <w:color w:val="000000"/>
        </w:rPr>
        <w:tab/>
        <w:t xml:space="preserve">Andersson JLR, Skare S, Ashburner J. How to correct susceptibility distortions in spin-echo echo-planar images: application to diffusion tensor imaging. </w:t>
      </w:r>
      <w:r w:rsidRPr="006C125C">
        <w:rPr>
          <w:rFonts w:ascii="Times New Roman" w:hAnsi="Times New Roman" w:cs="Times New Roman"/>
          <w:i/>
          <w:iCs/>
          <w:color w:val="000000"/>
        </w:rPr>
        <w:t>Neuroimage</w:t>
      </w:r>
      <w:r w:rsidRPr="006C125C">
        <w:rPr>
          <w:rFonts w:ascii="Times New Roman" w:hAnsi="Times New Roman" w:cs="Times New Roman"/>
          <w:color w:val="000000"/>
        </w:rPr>
        <w:t>. 2003;20(2):870-888. doi:10.1016/S1053-8119(03)00336-7</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8.</w:t>
      </w:r>
      <w:r w:rsidRPr="006C125C">
        <w:rPr>
          <w:rFonts w:ascii="Times New Roman" w:hAnsi="Times New Roman" w:cs="Times New Roman"/>
          <w:color w:val="000000"/>
        </w:rPr>
        <w:tab/>
        <w:t xml:space="preserve">Smith SM, Jenkinson M, Woolrich MW, et al. Advances in functional and structural MR image analysis and implementation as FSL. </w:t>
      </w:r>
      <w:r w:rsidRPr="006C125C">
        <w:rPr>
          <w:rFonts w:ascii="Times New Roman" w:hAnsi="Times New Roman" w:cs="Times New Roman"/>
          <w:i/>
          <w:iCs/>
          <w:color w:val="000000"/>
        </w:rPr>
        <w:t>Neuroimage</w:t>
      </w:r>
      <w:r w:rsidRPr="006C125C">
        <w:rPr>
          <w:rFonts w:ascii="Times New Roman" w:hAnsi="Times New Roman" w:cs="Times New Roman"/>
          <w:color w:val="000000"/>
        </w:rPr>
        <w:t>. 2004;23 Suppl 1:S208-219. doi:10.1016/j.neuroimage.2004.07.051</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9.</w:t>
      </w:r>
      <w:r w:rsidRPr="006C125C">
        <w:rPr>
          <w:rFonts w:ascii="Times New Roman" w:hAnsi="Times New Roman" w:cs="Times New Roman"/>
          <w:color w:val="000000"/>
        </w:rPr>
        <w:tab/>
        <w:t xml:space="preserve">Taoka T, Masutani Y, Kawai H, et al. Evaluation of glymphatic system activity with the diffusion MR technique: diffusion tensor image analysis along the perivascular space (DTI-ALPS) in Alzheimer’s disease cases. </w:t>
      </w:r>
      <w:r w:rsidRPr="006C125C">
        <w:rPr>
          <w:rFonts w:ascii="Times New Roman" w:hAnsi="Times New Roman" w:cs="Times New Roman"/>
          <w:i/>
          <w:iCs/>
          <w:color w:val="000000"/>
        </w:rPr>
        <w:t>Jpn J Radiol</w:t>
      </w:r>
      <w:r w:rsidRPr="006C125C">
        <w:rPr>
          <w:rFonts w:ascii="Times New Roman" w:hAnsi="Times New Roman" w:cs="Times New Roman"/>
          <w:color w:val="000000"/>
        </w:rPr>
        <w:t>. 2017;35(4):172-178. doi:10.1007/s11604-017-0617-z</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10.</w:t>
      </w:r>
      <w:r w:rsidRPr="006C125C">
        <w:rPr>
          <w:rFonts w:ascii="Times New Roman" w:hAnsi="Times New Roman" w:cs="Times New Roman"/>
          <w:color w:val="000000"/>
        </w:rPr>
        <w:tab/>
        <w:t xml:space="preserve">Kamiya K, Hori M, Aoki S. NODDI in clinical research. </w:t>
      </w:r>
      <w:r w:rsidRPr="006C125C">
        <w:rPr>
          <w:rFonts w:ascii="Times New Roman" w:hAnsi="Times New Roman" w:cs="Times New Roman"/>
          <w:i/>
          <w:iCs/>
          <w:color w:val="000000"/>
        </w:rPr>
        <w:t>J Neurosci Methods</w:t>
      </w:r>
      <w:r w:rsidRPr="006C125C">
        <w:rPr>
          <w:rFonts w:ascii="Times New Roman" w:hAnsi="Times New Roman" w:cs="Times New Roman"/>
          <w:color w:val="000000"/>
        </w:rPr>
        <w:t>. 2020;346:108908. doi:10.1016/j.jneumeth.2020.108908</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11.</w:t>
      </w:r>
      <w:r w:rsidRPr="006C125C">
        <w:rPr>
          <w:rFonts w:ascii="Times New Roman" w:hAnsi="Times New Roman" w:cs="Times New Roman"/>
          <w:color w:val="000000"/>
        </w:rPr>
        <w:tab/>
        <w:t xml:space="preserve">Zhang H, Schneider T, Wheeler-Kingshott CA, Alexander DC. NODDI: practical in vivo neurite orientation dispersion and density imaging of the human brain. </w:t>
      </w:r>
      <w:r w:rsidRPr="006C125C">
        <w:rPr>
          <w:rFonts w:ascii="Times New Roman" w:hAnsi="Times New Roman" w:cs="Times New Roman"/>
          <w:i/>
          <w:iCs/>
          <w:color w:val="000000"/>
        </w:rPr>
        <w:t>Neuroimage</w:t>
      </w:r>
      <w:r w:rsidRPr="006C125C">
        <w:rPr>
          <w:rFonts w:ascii="Times New Roman" w:hAnsi="Times New Roman" w:cs="Times New Roman"/>
          <w:color w:val="000000"/>
        </w:rPr>
        <w:t>. 2012;61(4):1000-1016. doi:10.1016/j.neuroimage.2012.03.072</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12.</w:t>
      </w:r>
      <w:r w:rsidRPr="006C125C">
        <w:rPr>
          <w:rFonts w:ascii="Times New Roman" w:hAnsi="Times New Roman" w:cs="Times New Roman"/>
          <w:color w:val="000000"/>
        </w:rPr>
        <w:tab/>
        <w:t xml:space="preserve">Greve DN, Svarer C, Fisher PM, et al. Cortical surface-based analysis reduces bias and variance in kinetic modeling of brain PET data. </w:t>
      </w:r>
      <w:r w:rsidRPr="006C125C">
        <w:rPr>
          <w:rFonts w:ascii="Times New Roman" w:hAnsi="Times New Roman" w:cs="Times New Roman"/>
          <w:i/>
          <w:iCs/>
          <w:color w:val="000000"/>
        </w:rPr>
        <w:t>Neuroimage</w:t>
      </w:r>
      <w:r w:rsidRPr="006C125C">
        <w:rPr>
          <w:rFonts w:ascii="Times New Roman" w:hAnsi="Times New Roman" w:cs="Times New Roman"/>
          <w:color w:val="000000"/>
        </w:rPr>
        <w:t>. 2014;92:225-236. doi:10.1016/j.neuroimage.2013.12.021</w:t>
      </w:r>
    </w:p>
    <w:p w:rsidR="006C125C" w:rsidRPr="006C125C" w:rsidRDefault="006C125C" w:rsidP="00195F10">
      <w:pPr>
        <w:autoSpaceDE w:val="0"/>
        <w:autoSpaceDN w:val="0"/>
        <w:adjustRightInd w:val="0"/>
        <w:spacing w:line="480" w:lineRule="auto"/>
        <w:rPr>
          <w:rFonts w:ascii="Times New Roman" w:hAnsi="Times New Roman" w:cs="Times New Roman"/>
          <w:color w:val="000000"/>
        </w:rPr>
      </w:pPr>
      <w:r w:rsidRPr="006C125C">
        <w:rPr>
          <w:rFonts w:ascii="Times New Roman" w:hAnsi="Times New Roman" w:cs="Times New Roman"/>
          <w:color w:val="000000"/>
        </w:rPr>
        <w:t>13.</w:t>
      </w:r>
      <w:r w:rsidRPr="006C125C">
        <w:rPr>
          <w:rFonts w:ascii="Times New Roman" w:hAnsi="Times New Roman" w:cs="Times New Roman"/>
          <w:color w:val="000000"/>
        </w:rPr>
        <w:tab/>
        <w:t xml:space="preserve">Greve DN, Salat DH, Bowen SL, et al. Different partial volume correction methods lead to different conclusions: An (18)F-FDG-PET study of aging. </w:t>
      </w:r>
      <w:r w:rsidRPr="006C125C">
        <w:rPr>
          <w:rFonts w:ascii="Times New Roman" w:hAnsi="Times New Roman" w:cs="Times New Roman"/>
          <w:i/>
          <w:iCs/>
          <w:color w:val="000000"/>
        </w:rPr>
        <w:t>Neuroimage</w:t>
      </w:r>
      <w:r w:rsidRPr="006C125C">
        <w:rPr>
          <w:rFonts w:ascii="Times New Roman" w:hAnsi="Times New Roman" w:cs="Times New Roman"/>
          <w:color w:val="000000"/>
        </w:rPr>
        <w:t>. 2016;132:334-343. doi:10.1016/j.neuroimage.2016.02.042</w:t>
      </w:r>
    </w:p>
    <w:p w:rsidR="003E500C" w:rsidRPr="00D014CB" w:rsidRDefault="006C125C" w:rsidP="00195F10">
      <w:pPr>
        <w:spacing w:line="480" w:lineRule="auto"/>
        <w:jc w:val="both"/>
        <w:rPr>
          <w:rFonts w:ascii="Times New Roman" w:hAnsi="Times New Roman"/>
          <w:color w:val="000000" w:themeColor="text1"/>
          <w:sz w:val="16"/>
          <w:szCs w:val="16"/>
          <w:lang w:eastAsia="zh-CN"/>
        </w:rPr>
      </w:pPr>
      <w:r w:rsidRPr="006C125C">
        <w:rPr>
          <w:rFonts w:ascii="Times New Roman" w:hAnsi="Times New Roman"/>
          <w:color w:val="000000" w:themeColor="text1"/>
          <w:lang w:eastAsia="zh-CN"/>
        </w:rPr>
        <w:fldChar w:fldCharType="end"/>
      </w:r>
    </w:p>
    <w:sectPr w:rsidR="003E500C" w:rsidRPr="00D014CB" w:rsidSect="0028771E">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55C4" w:rsidRDefault="001155C4" w:rsidP="00342DE2">
      <w:r>
        <w:separator/>
      </w:r>
    </w:p>
  </w:endnote>
  <w:endnote w:type="continuationSeparator" w:id="0">
    <w:p w:rsidR="001155C4" w:rsidRDefault="001155C4" w:rsidP="0034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55C4" w:rsidRDefault="001155C4" w:rsidP="00342DE2">
      <w:r>
        <w:separator/>
      </w:r>
    </w:p>
  </w:footnote>
  <w:footnote w:type="continuationSeparator" w:id="0">
    <w:p w:rsidR="001155C4" w:rsidRDefault="001155C4" w:rsidP="00342D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0F0"/>
    <w:rsid w:val="00005742"/>
    <w:rsid w:val="00011959"/>
    <w:rsid w:val="00016BD8"/>
    <w:rsid w:val="00026A8F"/>
    <w:rsid w:val="00026B11"/>
    <w:rsid w:val="0003158D"/>
    <w:rsid w:val="000601A9"/>
    <w:rsid w:val="00064E39"/>
    <w:rsid w:val="000672F1"/>
    <w:rsid w:val="00080B76"/>
    <w:rsid w:val="00084079"/>
    <w:rsid w:val="000932B1"/>
    <w:rsid w:val="000A09CE"/>
    <w:rsid w:val="000B627F"/>
    <w:rsid w:val="000D0B7C"/>
    <w:rsid w:val="000E02E3"/>
    <w:rsid w:val="000E6782"/>
    <w:rsid w:val="000E6A94"/>
    <w:rsid w:val="00104DF7"/>
    <w:rsid w:val="00105368"/>
    <w:rsid w:val="001155C4"/>
    <w:rsid w:val="00116138"/>
    <w:rsid w:val="00120970"/>
    <w:rsid w:val="00125B4D"/>
    <w:rsid w:val="00142277"/>
    <w:rsid w:val="00157F39"/>
    <w:rsid w:val="00162BCC"/>
    <w:rsid w:val="00164504"/>
    <w:rsid w:val="00167C6E"/>
    <w:rsid w:val="00176FBE"/>
    <w:rsid w:val="001772F8"/>
    <w:rsid w:val="00180440"/>
    <w:rsid w:val="001846AD"/>
    <w:rsid w:val="00195F10"/>
    <w:rsid w:val="001A12D8"/>
    <w:rsid w:val="001A301C"/>
    <w:rsid w:val="001B7D3C"/>
    <w:rsid w:val="00201CCC"/>
    <w:rsid w:val="00204218"/>
    <w:rsid w:val="00207E0A"/>
    <w:rsid w:val="00207EDB"/>
    <w:rsid w:val="002141A1"/>
    <w:rsid w:val="00220B96"/>
    <w:rsid w:val="002311F8"/>
    <w:rsid w:val="0024388F"/>
    <w:rsid w:val="0027305A"/>
    <w:rsid w:val="0028771E"/>
    <w:rsid w:val="002A7B37"/>
    <w:rsid w:val="002B25A5"/>
    <w:rsid w:val="002B3C40"/>
    <w:rsid w:val="002C292D"/>
    <w:rsid w:val="002C77E5"/>
    <w:rsid w:val="002D4649"/>
    <w:rsid w:val="002F2CE4"/>
    <w:rsid w:val="002F78DD"/>
    <w:rsid w:val="00300913"/>
    <w:rsid w:val="00303819"/>
    <w:rsid w:val="00323B01"/>
    <w:rsid w:val="00342DE2"/>
    <w:rsid w:val="00342FC7"/>
    <w:rsid w:val="00350241"/>
    <w:rsid w:val="003520B8"/>
    <w:rsid w:val="00354147"/>
    <w:rsid w:val="003647DD"/>
    <w:rsid w:val="0037680B"/>
    <w:rsid w:val="003975E5"/>
    <w:rsid w:val="003C1E9D"/>
    <w:rsid w:val="003D468D"/>
    <w:rsid w:val="003E500C"/>
    <w:rsid w:val="003F29CF"/>
    <w:rsid w:val="003F7337"/>
    <w:rsid w:val="00401F70"/>
    <w:rsid w:val="00412BD1"/>
    <w:rsid w:val="00434C86"/>
    <w:rsid w:val="00446F68"/>
    <w:rsid w:val="00454FC1"/>
    <w:rsid w:val="00463A5C"/>
    <w:rsid w:val="004650B5"/>
    <w:rsid w:val="00481285"/>
    <w:rsid w:val="00485AB2"/>
    <w:rsid w:val="004A3B4B"/>
    <w:rsid w:val="004A4DB3"/>
    <w:rsid w:val="004A50EE"/>
    <w:rsid w:val="004A6510"/>
    <w:rsid w:val="004E192A"/>
    <w:rsid w:val="00501FF9"/>
    <w:rsid w:val="00532E62"/>
    <w:rsid w:val="00557A8F"/>
    <w:rsid w:val="0056122A"/>
    <w:rsid w:val="0057314D"/>
    <w:rsid w:val="00587A56"/>
    <w:rsid w:val="005923A2"/>
    <w:rsid w:val="005A246D"/>
    <w:rsid w:val="005A54EE"/>
    <w:rsid w:val="005B6D1D"/>
    <w:rsid w:val="005C251A"/>
    <w:rsid w:val="005C2D9C"/>
    <w:rsid w:val="005C5C8F"/>
    <w:rsid w:val="005D25A3"/>
    <w:rsid w:val="005D6179"/>
    <w:rsid w:val="005F2C85"/>
    <w:rsid w:val="006042FD"/>
    <w:rsid w:val="00612D4D"/>
    <w:rsid w:val="0061500E"/>
    <w:rsid w:val="0063101B"/>
    <w:rsid w:val="00632162"/>
    <w:rsid w:val="00634CA7"/>
    <w:rsid w:val="0064130C"/>
    <w:rsid w:val="00647F7B"/>
    <w:rsid w:val="006544A3"/>
    <w:rsid w:val="00660B8B"/>
    <w:rsid w:val="00671DD7"/>
    <w:rsid w:val="00672645"/>
    <w:rsid w:val="00687533"/>
    <w:rsid w:val="006903D3"/>
    <w:rsid w:val="006A1B97"/>
    <w:rsid w:val="006A5E83"/>
    <w:rsid w:val="006C125C"/>
    <w:rsid w:val="006C7BE5"/>
    <w:rsid w:val="006C7D0B"/>
    <w:rsid w:val="006D72EA"/>
    <w:rsid w:val="006F4117"/>
    <w:rsid w:val="007127C2"/>
    <w:rsid w:val="00713DB8"/>
    <w:rsid w:val="007223FE"/>
    <w:rsid w:val="00723227"/>
    <w:rsid w:val="00723F34"/>
    <w:rsid w:val="00736E66"/>
    <w:rsid w:val="00743601"/>
    <w:rsid w:val="007666AD"/>
    <w:rsid w:val="00775D8E"/>
    <w:rsid w:val="0077633A"/>
    <w:rsid w:val="007769E7"/>
    <w:rsid w:val="00785FDF"/>
    <w:rsid w:val="007A260C"/>
    <w:rsid w:val="007A4704"/>
    <w:rsid w:val="007B3611"/>
    <w:rsid w:val="007B5397"/>
    <w:rsid w:val="007C12A2"/>
    <w:rsid w:val="007C3578"/>
    <w:rsid w:val="007D71F3"/>
    <w:rsid w:val="007E046E"/>
    <w:rsid w:val="007E5357"/>
    <w:rsid w:val="007E6D89"/>
    <w:rsid w:val="007E7F06"/>
    <w:rsid w:val="007F5268"/>
    <w:rsid w:val="007F7447"/>
    <w:rsid w:val="0080730A"/>
    <w:rsid w:val="00814842"/>
    <w:rsid w:val="00841055"/>
    <w:rsid w:val="008427A3"/>
    <w:rsid w:val="00851811"/>
    <w:rsid w:val="0086599F"/>
    <w:rsid w:val="00867F18"/>
    <w:rsid w:val="008704D8"/>
    <w:rsid w:val="008713BB"/>
    <w:rsid w:val="00877715"/>
    <w:rsid w:val="00881A69"/>
    <w:rsid w:val="00882FAE"/>
    <w:rsid w:val="008830AB"/>
    <w:rsid w:val="00896585"/>
    <w:rsid w:val="008A0C45"/>
    <w:rsid w:val="008B1E52"/>
    <w:rsid w:val="008B7012"/>
    <w:rsid w:val="008C5B9D"/>
    <w:rsid w:val="008D0D7A"/>
    <w:rsid w:val="008D3C06"/>
    <w:rsid w:val="008D3D64"/>
    <w:rsid w:val="008D6D96"/>
    <w:rsid w:val="008E00F0"/>
    <w:rsid w:val="008E0137"/>
    <w:rsid w:val="008E3A37"/>
    <w:rsid w:val="008F5CA4"/>
    <w:rsid w:val="008F649D"/>
    <w:rsid w:val="009039A2"/>
    <w:rsid w:val="0090729D"/>
    <w:rsid w:val="009347DD"/>
    <w:rsid w:val="00944B28"/>
    <w:rsid w:val="0096301B"/>
    <w:rsid w:val="009B069B"/>
    <w:rsid w:val="009D13F6"/>
    <w:rsid w:val="009D4601"/>
    <w:rsid w:val="009D6728"/>
    <w:rsid w:val="009F6317"/>
    <w:rsid w:val="00A132FB"/>
    <w:rsid w:val="00A1561D"/>
    <w:rsid w:val="00A21C3E"/>
    <w:rsid w:val="00A329E3"/>
    <w:rsid w:val="00A43FA8"/>
    <w:rsid w:val="00A44647"/>
    <w:rsid w:val="00A54BEE"/>
    <w:rsid w:val="00A62D60"/>
    <w:rsid w:val="00A821E8"/>
    <w:rsid w:val="00A823DA"/>
    <w:rsid w:val="00A919A6"/>
    <w:rsid w:val="00AA7CE7"/>
    <w:rsid w:val="00AC138A"/>
    <w:rsid w:val="00AC2361"/>
    <w:rsid w:val="00AC380F"/>
    <w:rsid w:val="00AF2AC6"/>
    <w:rsid w:val="00B04054"/>
    <w:rsid w:val="00B30E2F"/>
    <w:rsid w:val="00B541EF"/>
    <w:rsid w:val="00B73A9C"/>
    <w:rsid w:val="00B73D9F"/>
    <w:rsid w:val="00B7470E"/>
    <w:rsid w:val="00B74B04"/>
    <w:rsid w:val="00B84722"/>
    <w:rsid w:val="00B874A5"/>
    <w:rsid w:val="00B9503E"/>
    <w:rsid w:val="00BE181D"/>
    <w:rsid w:val="00BE280A"/>
    <w:rsid w:val="00BF1162"/>
    <w:rsid w:val="00BF1221"/>
    <w:rsid w:val="00C01557"/>
    <w:rsid w:val="00C13BAD"/>
    <w:rsid w:val="00C2096C"/>
    <w:rsid w:val="00C222DB"/>
    <w:rsid w:val="00C35A02"/>
    <w:rsid w:val="00C37F5B"/>
    <w:rsid w:val="00C40054"/>
    <w:rsid w:val="00C4132B"/>
    <w:rsid w:val="00C43F48"/>
    <w:rsid w:val="00C534E9"/>
    <w:rsid w:val="00C754E3"/>
    <w:rsid w:val="00C83233"/>
    <w:rsid w:val="00CA18AE"/>
    <w:rsid w:val="00CB5E7C"/>
    <w:rsid w:val="00CC2C27"/>
    <w:rsid w:val="00CC6B57"/>
    <w:rsid w:val="00CD68D7"/>
    <w:rsid w:val="00CF7E6D"/>
    <w:rsid w:val="00D0007B"/>
    <w:rsid w:val="00D014CB"/>
    <w:rsid w:val="00D32F57"/>
    <w:rsid w:val="00D33F0D"/>
    <w:rsid w:val="00D34EBD"/>
    <w:rsid w:val="00D35953"/>
    <w:rsid w:val="00D43E2D"/>
    <w:rsid w:val="00D46D73"/>
    <w:rsid w:val="00D530B9"/>
    <w:rsid w:val="00D5403F"/>
    <w:rsid w:val="00D651ED"/>
    <w:rsid w:val="00D82A62"/>
    <w:rsid w:val="00DB4B78"/>
    <w:rsid w:val="00DC3BEC"/>
    <w:rsid w:val="00DD14ED"/>
    <w:rsid w:val="00DD1881"/>
    <w:rsid w:val="00DD4BDB"/>
    <w:rsid w:val="00E11419"/>
    <w:rsid w:val="00E222C3"/>
    <w:rsid w:val="00E30C5C"/>
    <w:rsid w:val="00E32BE4"/>
    <w:rsid w:val="00E32F20"/>
    <w:rsid w:val="00E8498B"/>
    <w:rsid w:val="00EA7776"/>
    <w:rsid w:val="00EB3BFA"/>
    <w:rsid w:val="00EC5E38"/>
    <w:rsid w:val="00EC6E30"/>
    <w:rsid w:val="00ED4C14"/>
    <w:rsid w:val="00EE2119"/>
    <w:rsid w:val="00EF0723"/>
    <w:rsid w:val="00EF2F85"/>
    <w:rsid w:val="00F068A8"/>
    <w:rsid w:val="00F100F3"/>
    <w:rsid w:val="00F138BC"/>
    <w:rsid w:val="00F219CC"/>
    <w:rsid w:val="00F226B0"/>
    <w:rsid w:val="00F27AD7"/>
    <w:rsid w:val="00F33F95"/>
    <w:rsid w:val="00F36965"/>
    <w:rsid w:val="00F521C5"/>
    <w:rsid w:val="00F70ADB"/>
    <w:rsid w:val="00F83A0A"/>
    <w:rsid w:val="00F9383D"/>
    <w:rsid w:val="00FC0520"/>
    <w:rsid w:val="00FC45E3"/>
    <w:rsid w:val="00FC67F6"/>
    <w:rsid w:val="00FD37D4"/>
    <w:rsid w:val="00FD50D0"/>
    <w:rsid w:val="00FE19B3"/>
    <w:rsid w:val="00FE2E3D"/>
    <w:rsid w:val="00FE37B0"/>
    <w:rsid w:val="00FF11D4"/>
    <w:rsid w:val="00FF3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61DDD"/>
  <w15:chartTrackingRefBased/>
  <w15:docId w15:val="{685B98AB-4159-EF4A-8BF7-A8612B655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E00F0"/>
    <w:rPr>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link w:val="a4"/>
    <w:uiPriority w:val="1"/>
    <w:qFormat/>
    <w:rsid w:val="008E00F0"/>
    <w:pPr>
      <w:jc w:val="both"/>
    </w:pPr>
    <w:rPr>
      <w:rFonts w:ascii="Calibri" w:eastAsia="Times New Roman" w:hAnsi="Calibri" w:cs="Times New Roman"/>
      <w:sz w:val="20"/>
      <w:szCs w:val="20"/>
      <w:lang w:bidi="en-US"/>
    </w:rPr>
  </w:style>
  <w:style w:type="character" w:customStyle="1" w:styleId="a4">
    <w:name w:val="无间隔 字符"/>
    <w:basedOn w:val="a0"/>
    <w:link w:val="a3"/>
    <w:uiPriority w:val="1"/>
    <w:rsid w:val="008E00F0"/>
    <w:rPr>
      <w:rFonts w:ascii="Calibri" w:eastAsia="Times New Roman" w:hAnsi="Calibri" w:cs="Times New Roman"/>
      <w:kern w:val="0"/>
      <w:sz w:val="20"/>
      <w:szCs w:val="20"/>
      <w:lang w:eastAsia="en-US" w:bidi="en-US"/>
    </w:rPr>
  </w:style>
  <w:style w:type="paragraph" w:customStyle="1" w:styleId="1">
    <w:name w:val="书目1"/>
    <w:basedOn w:val="a"/>
    <w:link w:val="Bibliography"/>
    <w:rsid w:val="008E00F0"/>
    <w:pPr>
      <w:tabs>
        <w:tab w:val="left" w:pos="380"/>
      </w:tabs>
      <w:spacing w:after="240"/>
      <w:ind w:left="384" w:hanging="384"/>
    </w:pPr>
  </w:style>
  <w:style w:type="character" w:customStyle="1" w:styleId="Bibliography">
    <w:name w:val="Bibliography 字符"/>
    <w:basedOn w:val="a0"/>
    <w:link w:val="1"/>
    <w:rsid w:val="008E00F0"/>
    <w:rPr>
      <w:kern w:val="0"/>
      <w:sz w:val="24"/>
      <w:lang w:eastAsia="en-US"/>
    </w:rPr>
  </w:style>
  <w:style w:type="paragraph" w:styleId="a5">
    <w:name w:val="header"/>
    <w:basedOn w:val="a"/>
    <w:link w:val="a6"/>
    <w:uiPriority w:val="99"/>
    <w:unhideWhenUsed/>
    <w:rsid w:val="00342DE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42DE2"/>
    <w:rPr>
      <w:kern w:val="0"/>
      <w:sz w:val="18"/>
      <w:szCs w:val="18"/>
      <w:lang w:eastAsia="en-US"/>
    </w:rPr>
  </w:style>
  <w:style w:type="paragraph" w:styleId="a7">
    <w:name w:val="footer"/>
    <w:basedOn w:val="a"/>
    <w:link w:val="a8"/>
    <w:uiPriority w:val="99"/>
    <w:unhideWhenUsed/>
    <w:rsid w:val="00342DE2"/>
    <w:pPr>
      <w:tabs>
        <w:tab w:val="center" w:pos="4153"/>
        <w:tab w:val="right" w:pos="8306"/>
      </w:tabs>
      <w:snapToGrid w:val="0"/>
    </w:pPr>
    <w:rPr>
      <w:sz w:val="18"/>
      <w:szCs w:val="18"/>
    </w:rPr>
  </w:style>
  <w:style w:type="character" w:customStyle="1" w:styleId="a8">
    <w:name w:val="页脚 字符"/>
    <w:basedOn w:val="a0"/>
    <w:link w:val="a7"/>
    <w:uiPriority w:val="99"/>
    <w:rsid w:val="00342DE2"/>
    <w:rPr>
      <w:kern w:val="0"/>
      <w:sz w:val="18"/>
      <w:szCs w:val="18"/>
      <w:lang w:eastAsia="en-US"/>
    </w:rPr>
  </w:style>
  <w:style w:type="character" w:customStyle="1" w:styleId="a9">
    <w:name w:val="批注文字 字符"/>
    <w:basedOn w:val="a0"/>
    <w:link w:val="aa"/>
    <w:uiPriority w:val="99"/>
    <w:semiHidden/>
    <w:rsid w:val="005C2D9C"/>
    <w:rPr>
      <w:sz w:val="20"/>
      <w:szCs w:val="20"/>
      <w14:ligatures w14:val="standardContextual"/>
    </w:rPr>
  </w:style>
  <w:style w:type="paragraph" w:styleId="aa">
    <w:name w:val="annotation text"/>
    <w:basedOn w:val="a"/>
    <w:link w:val="a9"/>
    <w:uiPriority w:val="99"/>
    <w:semiHidden/>
    <w:unhideWhenUsed/>
    <w:rsid w:val="005C2D9C"/>
    <w:rPr>
      <w:kern w:val="2"/>
      <w:sz w:val="20"/>
      <w:szCs w:val="20"/>
      <w:lang w:eastAsia="zh-CN"/>
      <w14:ligatures w14:val="standardContextual"/>
    </w:rPr>
  </w:style>
  <w:style w:type="character" w:customStyle="1" w:styleId="ab">
    <w:name w:val="批注主题 字符"/>
    <w:basedOn w:val="a9"/>
    <w:link w:val="ac"/>
    <w:uiPriority w:val="99"/>
    <w:semiHidden/>
    <w:rsid w:val="005C2D9C"/>
    <w:rPr>
      <w:b/>
      <w:bCs/>
      <w:sz w:val="20"/>
      <w:szCs w:val="20"/>
      <w14:ligatures w14:val="standardContextual"/>
    </w:rPr>
  </w:style>
  <w:style w:type="paragraph" w:styleId="ac">
    <w:name w:val="annotation subject"/>
    <w:basedOn w:val="aa"/>
    <w:next w:val="aa"/>
    <w:link w:val="ab"/>
    <w:uiPriority w:val="99"/>
    <w:semiHidden/>
    <w:unhideWhenUsed/>
    <w:rsid w:val="005C2D9C"/>
    <w:rPr>
      <w:b/>
      <w:bCs/>
    </w:rPr>
  </w:style>
  <w:style w:type="paragraph" w:styleId="ad">
    <w:name w:val="Normal (Web)"/>
    <w:basedOn w:val="a"/>
    <w:uiPriority w:val="99"/>
    <w:unhideWhenUsed/>
    <w:rsid w:val="00EF0723"/>
    <w:pPr>
      <w:spacing w:before="100" w:beforeAutospacing="1" w:after="100" w:afterAutospacing="1"/>
    </w:pPr>
    <w:rPr>
      <w:rFonts w:ascii="宋体" w:eastAsia="宋体" w:hAnsi="宋体" w:cs="宋体"/>
      <w:lang w:eastAsia="zh-CN"/>
    </w:rPr>
  </w:style>
  <w:style w:type="table" w:styleId="ae">
    <w:name w:val="Table Grid"/>
    <w:basedOn w:val="a1"/>
    <w:uiPriority w:val="39"/>
    <w:rsid w:val="00EF07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4829905">
      <w:bodyDiv w:val="1"/>
      <w:marLeft w:val="0"/>
      <w:marRight w:val="0"/>
      <w:marTop w:val="0"/>
      <w:marBottom w:val="0"/>
      <w:divBdr>
        <w:top w:val="none" w:sz="0" w:space="0" w:color="auto"/>
        <w:left w:val="none" w:sz="0" w:space="0" w:color="auto"/>
        <w:bottom w:val="none" w:sz="0" w:space="0" w:color="auto"/>
        <w:right w:val="none" w:sz="0" w:space="0" w:color="auto"/>
      </w:divBdr>
      <w:divsChild>
        <w:div w:id="712311176">
          <w:marLeft w:val="0"/>
          <w:marRight w:val="0"/>
          <w:marTop w:val="0"/>
          <w:marBottom w:val="0"/>
          <w:divBdr>
            <w:top w:val="none" w:sz="0" w:space="0" w:color="auto"/>
            <w:left w:val="none" w:sz="0" w:space="0" w:color="auto"/>
            <w:bottom w:val="none" w:sz="0" w:space="0" w:color="auto"/>
            <w:right w:val="none" w:sz="0" w:space="0" w:color="auto"/>
          </w:divBdr>
          <w:divsChild>
            <w:div w:id="142122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836103">
      <w:bodyDiv w:val="1"/>
      <w:marLeft w:val="0"/>
      <w:marRight w:val="0"/>
      <w:marTop w:val="0"/>
      <w:marBottom w:val="0"/>
      <w:divBdr>
        <w:top w:val="none" w:sz="0" w:space="0" w:color="auto"/>
        <w:left w:val="none" w:sz="0" w:space="0" w:color="auto"/>
        <w:bottom w:val="none" w:sz="0" w:space="0" w:color="auto"/>
        <w:right w:val="none" w:sz="0" w:space="0" w:color="auto"/>
      </w:divBdr>
    </w:div>
    <w:div w:id="1825926447">
      <w:bodyDiv w:val="1"/>
      <w:marLeft w:val="0"/>
      <w:marRight w:val="0"/>
      <w:marTop w:val="0"/>
      <w:marBottom w:val="0"/>
      <w:divBdr>
        <w:top w:val="none" w:sz="0" w:space="0" w:color="auto"/>
        <w:left w:val="none" w:sz="0" w:space="0" w:color="auto"/>
        <w:bottom w:val="none" w:sz="0" w:space="0" w:color="auto"/>
        <w:right w:val="none" w:sz="0" w:space="0" w:color="auto"/>
      </w:divBdr>
      <w:divsChild>
        <w:div w:id="1688411027">
          <w:marLeft w:val="0"/>
          <w:marRight w:val="0"/>
          <w:marTop w:val="0"/>
          <w:marBottom w:val="0"/>
          <w:divBdr>
            <w:top w:val="none" w:sz="0" w:space="0" w:color="auto"/>
            <w:left w:val="none" w:sz="0" w:space="0" w:color="auto"/>
            <w:bottom w:val="none" w:sz="0" w:space="0" w:color="auto"/>
            <w:right w:val="none" w:sz="0" w:space="0" w:color="auto"/>
          </w:divBdr>
          <w:divsChild>
            <w:div w:id="226651980">
              <w:marLeft w:val="0"/>
              <w:marRight w:val="0"/>
              <w:marTop w:val="0"/>
              <w:marBottom w:val="0"/>
              <w:divBdr>
                <w:top w:val="none" w:sz="0" w:space="0" w:color="auto"/>
                <w:left w:val="none" w:sz="0" w:space="0" w:color="auto"/>
                <w:bottom w:val="none" w:sz="0" w:space="0" w:color="auto"/>
                <w:right w:val="none" w:sz="0" w:space="0" w:color="auto"/>
              </w:divBdr>
              <w:divsChild>
                <w:div w:id="47094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532965">
      <w:bodyDiv w:val="1"/>
      <w:marLeft w:val="0"/>
      <w:marRight w:val="0"/>
      <w:marTop w:val="0"/>
      <w:marBottom w:val="0"/>
      <w:divBdr>
        <w:top w:val="none" w:sz="0" w:space="0" w:color="auto"/>
        <w:left w:val="none" w:sz="0" w:space="0" w:color="auto"/>
        <w:bottom w:val="none" w:sz="0" w:space="0" w:color="auto"/>
        <w:right w:val="none" w:sz="0" w:space="0" w:color="auto"/>
      </w:divBdr>
      <w:divsChild>
        <w:div w:id="777992529">
          <w:marLeft w:val="0"/>
          <w:marRight w:val="0"/>
          <w:marTop w:val="0"/>
          <w:marBottom w:val="0"/>
          <w:divBdr>
            <w:top w:val="none" w:sz="0" w:space="0" w:color="auto"/>
            <w:left w:val="none" w:sz="0" w:space="0" w:color="auto"/>
            <w:bottom w:val="none" w:sz="0" w:space="0" w:color="auto"/>
            <w:right w:val="none" w:sz="0" w:space="0" w:color="auto"/>
          </w:divBdr>
          <w:divsChild>
            <w:div w:id="53801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10</Pages>
  <Words>8589</Words>
  <Characters>48962</Characters>
  <Application>Microsoft Office Word</Application>
  <DocSecurity>0</DocSecurity>
  <Lines>408</Lines>
  <Paragraphs>114</Paragraphs>
  <ScaleCrop>false</ScaleCrop>
  <Company/>
  <LinksUpToDate>false</LinksUpToDate>
  <CharactersWithSpaces>57437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Xiaomeng Xu</dc:creator>
  <cp:keywords/>
  <dc:description/>
  <cp:lastModifiedBy>Xiaomeng Xu</cp:lastModifiedBy>
  <cp:revision>38</cp:revision>
  <dcterms:created xsi:type="dcterms:W3CDTF">2024-06-21T14:22:00Z</dcterms:created>
  <dcterms:modified xsi:type="dcterms:W3CDTF">2024-10-22T12:17:00Z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id="7Pkga8HE"/&gt;&lt;style id="http://www.zotero.org/styles/brain" hasBibliography="1" bibliographyStyleHasBeenSet="1"/&gt;&lt;prefs&gt;&lt;pref name="fieldType" value="Field"/&gt;&lt;/prefs&gt;&lt;/data&gt;</vt:lpwstr>
  </property>
</Properties>
</file>