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B9E794" w14:textId="3F5864AB" w:rsidR="00C51002" w:rsidRDefault="00C51002" w:rsidP="00E662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790949A" wp14:editId="668176FB">
            <wp:extent cx="5274310" cy="1959610"/>
            <wp:effectExtent l="0" t="0" r="2540" b="2540"/>
            <wp:docPr id="20753749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9D723" w14:textId="040D2C0D" w:rsidR="00C51002" w:rsidRPr="00E66275" w:rsidRDefault="00C51002" w:rsidP="00C5100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66275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E662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Comparison in transcriptional profile between tissues. </w:t>
      </w:r>
      <w:r w:rsidR="005B682D">
        <w:rPr>
          <w:rFonts w:ascii="Times New Roman" w:hAnsi="Times New Roman" w:cs="Times New Roman" w:hint="eastAsia"/>
          <w:sz w:val="24"/>
          <w:szCs w:val="24"/>
        </w:rPr>
        <w:t xml:space="preserve">(a) PCoA scatter plot presenting the similarity (Bray-Curtis distance) in transcriptome between samples. </w:t>
      </w:r>
      <w:r w:rsidR="0015740C">
        <w:rPr>
          <w:rFonts w:ascii="Times New Roman" w:hAnsi="Times New Roman" w:cs="Times New Roman" w:hint="eastAsia"/>
          <w:sz w:val="24"/>
          <w:szCs w:val="24"/>
        </w:rPr>
        <w:t xml:space="preserve">The first </w:t>
      </w:r>
      <w:r w:rsidR="0015740C">
        <w:rPr>
          <w:rFonts w:ascii="Times New Roman" w:hAnsi="Times New Roman" w:cs="Times New Roman"/>
          <w:sz w:val="24"/>
          <w:szCs w:val="24"/>
        </w:rPr>
        <w:t>coordinate</w:t>
      </w:r>
      <w:r w:rsidR="0015740C">
        <w:rPr>
          <w:rFonts w:ascii="Times New Roman" w:hAnsi="Times New Roman" w:cs="Times New Roman" w:hint="eastAsia"/>
          <w:sz w:val="24"/>
          <w:szCs w:val="24"/>
        </w:rPr>
        <w:t xml:space="preserve"> mainly represents the variations between tissues, while the second coordinate mainly represents </w:t>
      </w:r>
      <w:r w:rsidR="001E5C00">
        <w:rPr>
          <w:rFonts w:ascii="Times New Roman" w:hAnsi="Times New Roman" w:cs="Times New Roman" w:hint="eastAsia"/>
          <w:sz w:val="24"/>
          <w:szCs w:val="24"/>
        </w:rPr>
        <w:t xml:space="preserve">the variations caused by thermal acclimation. (b) Bar plots presenting the dissimilarity (Bray-Curtis distance, mean </w:t>
      </w:r>
      <w:r w:rsidR="001E5C00" w:rsidRPr="001E5C00">
        <w:rPr>
          <w:rFonts w:ascii="Times New Roman" w:eastAsia="等线" w:hAnsi="Times New Roman" w:cs="Times New Roman"/>
          <w:sz w:val="24"/>
          <w:szCs w:val="24"/>
        </w:rPr>
        <w:t>±</w:t>
      </w:r>
      <w:r w:rsidR="001E5C00">
        <w:rPr>
          <w:rFonts w:ascii="Times New Roman" w:hAnsi="Times New Roman" w:cs="Times New Roman" w:hint="eastAsia"/>
          <w:sz w:val="24"/>
          <w:szCs w:val="24"/>
        </w:rPr>
        <w:t xml:space="preserve"> se) in transcriptional profiles between gut and liver at each acclimation temperature.</w:t>
      </w:r>
      <w:r w:rsidR="00A52A54">
        <w:rPr>
          <w:rFonts w:ascii="Times New Roman" w:hAnsi="Times New Roman" w:cs="Times New Roman" w:hint="eastAsia"/>
          <w:sz w:val="24"/>
          <w:szCs w:val="24"/>
        </w:rPr>
        <w:t xml:space="preserve"> Thermal acclimation did not change the dissimilarity in transcriptional profiles between organs.</w:t>
      </w:r>
    </w:p>
    <w:p w14:paraId="5D403542" w14:textId="77777777" w:rsidR="00C51002" w:rsidRPr="00C51002" w:rsidRDefault="00C51002" w:rsidP="00E662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69A922C" w14:textId="34F60590" w:rsidR="00CD437D" w:rsidRPr="00E66275" w:rsidRDefault="00E66275" w:rsidP="00E662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627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CE9962" wp14:editId="14227251">
            <wp:extent cx="5274310" cy="2248535"/>
            <wp:effectExtent l="0" t="0" r="2540" b="0"/>
            <wp:docPr id="8491881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4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4A5DE" w14:textId="5E524A85" w:rsidR="00E66275" w:rsidRPr="00E66275" w:rsidRDefault="00E66275" w:rsidP="00E6627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66275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C51002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E662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66275">
        <w:rPr>
          <w:rFonts w:ascii="Times New Roman" w:hAnsi="Times New Roman" w:cs="Times New Roman" w:hint="eastAsia"/>
          <w:sz w:val="24"/>
          <w:szCs w:val="24"/>
        </w:rPr>
        <w:t xml:space="preserve">Network </w:t>
      </w:r>
      <w:r>
        <w:rPr>
          <w:rFonts w:ascii="Times New Roman" w:hAnsi="Times New Roman" w:cs="Times New Roman" w:hint="eastAsia"/>
          <w:sz w:val="24"/>
          <w:szCs w:val="24"/>
        </w:rPr>
        <w:t>presenting the upregulated DEGs (gene cluster 1 and 4) and KEGG pathways</w:t>
      </w:r>
      <w:r w:rsidR="00EF2210">
        <w:rPr>
          <w:rFonts w:ascii="Times New Roman" w:hAnsi="Times New Roman" w:cs="Times New Roman" w:hint="eastAsia"/>
          <w:sz w:val="24"/>
          <w:szCs w:val="24"/>
        </w:rPr>
        <w:t>.</w:t>
      </w:r>
    </w:p>
    <w:p w14:paraId="146C64AB" w14:textId="77777777" w:rsidR="00E66275" w:rsidRPr="00E66275" w:rsidRDefault="00E66275" w:rsidP="00E662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48C9C07" w14:textId="46571FBC" w:rsidR="00E66275" w:rsidRDefault="00E66275" w:rsidP="00E662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627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000395B" wp14:editId="3C7FF68E">
            <wp:extent cx="5274310" cy="6033135"/>
            <wp:effectExtent l="0" t="0" r="2540" b="5715"/>
            <wp:docPr id="123275317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03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3D49E" w14:textId="5CF74384" w:rsidR="00702758" w:rsidRPr="00E66275" w:rsidRDefault="00702758" w:rsidP="0070275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66275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C51002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E662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2758">
        <w:rPr>
          <w:rFonts w:ascii="Times New Roman" w:hAnsi="Times New Roman" w:cs="Times New Roman" w:hint="eastAsia"/>
          <w:sz w:val="24"/>
          <w:szCs w:val="24"/>
        </w:rPr>
        <w:t xml:space="preserve">KEGG enrichment analyses based on </w:t>
      </w:r>
      <w:r w:rsidRPr="00702758">
        <w:rPr>
          <w:rFonts w:ascii="Times New Roman" w:hAnsi="Times New Roman" w:cs="Times New Roman"/>
          <w:sz w:val="24"/>
          <w:szCs w:val="24"/>
        </w:rPr>
        <w:t>downregulated</w:t>
      </w:r>
      <w:r w:rsidRPr="00702758">
        <w:rPr>
          <w:rFonts w:ascii="Times New Roman" w:hAnsi="Times New Roman" w:cs="Times New Roman" w:hint="eastAsia"/>
          <w:sz w:val="24"/>
          <w:szCs w:val="24"/>
        </w:rPr>
        <w:t xml:space="preserve"> DEGs</w:t>
      </w:r>
      <w:r>
        <w:rPr>
          <w:rFonts w:ascii="Times New Roman" w:hAnsi="Times New Roman" w:cs="Times New Roman" w:hint="eastAsia"/>
          <w:sz w:val="24"/>
          <w:szCs w:val="24"/>
        </w:rPr>
        <w:t xml:space="preserve"> (gene cluster 3)</w:t>
      </w:r>
      <w:r w:rsidRPr="00702758">
        <w:rPr>
          <w:rFonts w:ascii="Times New Roman" w:hAnsi="Times New Roman" w:cs="Times New Roman" w:hint="eastAsia"/>
          <w:sz w:val="24"/>
          <w:szCs w:val="24"/>
        </w:rPr>
        <w:t xml:space="preserve"> under heat stress. </w:t>
      </w:r>
      <w:r>
        <w:rPr>
          <w:rFonts w:ascii="Times New Roman" w:hAnsi="Times New Roman" w:cs="Times New Roman" w:hint="eastAsia"/>
          <w:sz w:val="24"/>
          <w:szCs w:val="24"/>
        </w:rPr>
        <w:t>(a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 w:hint="eastAsia"/>
          <w:sz w:val="24"/>
          <w:szCs w:val="24"/>
        </w:rPr>
        <w:t xml:space="preserve">b) Point plots presenting the KEGG pathways enriched by </w:t>
      </w:r>
      <w:r w:rsidRPr="00702758">
        <w:rPr>
          <w:rFonts w:ascii="Times New Roman" w:hAnsi="Times New Roman" w:cs="Times New Roman"/>
          <w:sz w:val="24"/>
          <w:szCs w:val="24"/>
        </w:rPr>
        <w:t>downregulated</w:t>
      </w:r>
      <w:r w:rsidRPr="00702758">
        <w:rPr>
          <w:rFonts w:ascii="Times New Roman" w:hAnsi="Times New Roman" w:cs="Times New Roman" w:hint="eastAsia"/>
          <w:sz w:val="24"/>
          <w:szCs w:val="24"/>
        </w:rPr>
        <w:t xml:space="preserve"> DEGs</w:t>
      </w:r>
      <w:r>
        <w:rPr>
          <w:rFonts w:ascii="Times New Roman" w:hAnsi="Times New Roman" w:cs="Times New Roman" w:hint="eastAsia"/>
          <w:sz w:val="24"/>
          <w:szCs w:val="24"/>
        </w:rPr>
        <w:t>. (a) Pathways shared by gut and liver; (b) Pathways specifically enriched by one organ. (c)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E66275">
        <w:rPr>
          <w:rFonts w:ascii="Times New Roman" w:hAnsi="Times New Roman" w:cs="Times New Roman" w:hint="eastAsia"/>
          <w:sz w:val="24"/>
          <w:szCs w:val="24"/>
        </w:rPr>
        <w:t xml:space="preserve">Network </w:t>
      </w:r>
      <w:r>
        <w:rPr>
          <w:rFonts w:ascii="Times New Roman" w:hAnsi="Times New Roman" w:cs="Times New Roman" w:hint="eastAsia"/>
          <w:sz w:val="24"/>
          <w:szCs w:val="24"/>
        </w:rPr>
        <w:t>presenting the downregulated DEGs and KEGG pathways.</w:t>
      </w:r>
    </w:p>
    <w:p w14:paraId="41412060" w14:textId="77777777" w:rsidR="00702758" w:rsidRDefault="00702758" w:rsidP="00E662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FB7B804" w14:textId="77777777" w:rsidR="001A6FDB" w:rsidRDefault="001A6FDB" w:rsidP="00E662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B8F82AF" w14:textId="77777777" w:rsidR="001A6FDB" w:rsidRDefault="001A6FDB" w:rsidP="00E662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8B97957" w14:textId="77777777" w:rsidR="001A6FDB" w:rsidRDefault="001A6FDB" w:rsidP="00E662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4EB1B9C" w14:textId="5D7CDE46" w:rsidR="001A6FDB" w:rsidRDefault="003F155B" w:rsidP="00E662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49406FB" wp14:editId="7B6F80E5">
            <wp:extent cx="5274310" cy="4608195"/>
            <wp:effectExtent l="0" t="0" r="2540" b="1905"/>
            <wp:docPr id="141233930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0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B137C" w14:textId="17560AFD" w:rsidR="003F155B" w:rsidRDefault="003F155B" w:rsidP="00E662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6275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901BE4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E662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01BE4">
        <w:rPr>
          <w:rFonts w:ascii="Times New Roman" w:hAnsi="Times New Roman" w:cs="Times New Roman" w:hint="eastAsia"/>
          <w:sz w:val="24"/>
          <w:szCs w:val="24"/>
        </w:rPr>
        <w:t xml:space="preserve">DEGs involved in </w:t>
      </w:r>
      <w:r w:rsidR="00901BE4">
        <w:rPr>
          <w:rFonts w:ascii="Times New Roman" w:hAnsi="Times New Roman" w:cs="Times New Roman"/>
          <w:sz w:val="24"/>
          <w:szCs w:val="24"/>
        </w:rPr>
        <w:t>glycol</w:t>
      </w:r>
      <w:r w:rsidR="00901BE4">
        <w:rPr>
          <w:rFonts w:ascii="Times New Roman" w:hAnsi="Times New Roman" w:cs="Times New Roman" w:hint="eastAsia"/>
          <w:sz w:val="24"/>
          <w:szCs w:val="24"/>
        </w:rPr>
        <w:t>-metabolism. Organ and purple a</w:t>
      </w:r>
      <w:r w:rsidR="00901BE4" w:rsidRPr="00901BE4">
        <w:rPr>
          <w:rFonts w:ascii="Times New Roman" w:hAnsi="Times New Roman" w:cs="Times New Roman" w:hint="eastAsia"/>
          <w:sz w:val="24"/>
          <w:szCs w:val="24"/>
        </w:rPr>
        <w:t>sterisk</w:t>
      </w:r>
      <w:r w:rsidR="00901BE4">
        <w:rPr>
          <w:rFonts w:ascii="Times New Roman" w:hAnsi="Times New Roman" w:cs="Times New Roman" w:hint="eastAsia"/>
          <w:sz w:val="24"/>
          <w:szCs w:val="24"/>
        </w:rPr>
        <w:t>s denote significant variations with acclimation temperature in gut (G) and liver (L), respectively (adjusted p &lt; 0.01, one-way ANOVA and BH correction).</w:t>
      </w:r>
    </w:p>
    <w:p w14:paraId="74B02C39" w14:textId="77777777" w:rsidR="00A30CAE" w:rsidRDefault="00A30CAE" w:rsidP="00E662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4B84823" w14:textId="77777777" w:rsidR="00A30CAE" w:rsidRDefault="00A30CAE" w:rsidP="00E662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684168" w14:textId="79F4CB20" w:rsidR="00A30CAE" w:rsidRDefault="00A30CAE" w:rsidP="00E662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D00693B" wp14:editId="05E1FF95">
            <wp:extent cx="5274310" cy="4451350"/>
            <wp:effectExtent l="0" t="0" r="2540" b="6350"/>
            <wp:docPr id="25055438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397C8" w14:textId="259F1C93" w:rsidR="00184A2B" w:rsidRDefault="00184A2B" w:rsidP="00184A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6275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E662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DEGs involved in </w:t>
      </w:r>
      <w:r w:rsidR="00007A76">
        <w:rPr>
          <w:rFonts w:ascii="Times New Roman" w:hAnsi="Times New Roman" w:cs="Times New Roman" w:hint="eastAsia"/>
          <w:sz w:val="24"/>
          <w:szCs w:val="24"/>
        </w:rPr>
        <w:t>TCA cycle</w:t>
      </w:r>
      <w:r>
        <w:rPr>
          <w:rFonts w:ascii="Times New Roman" w:hAnsi="Times New Roman" w:cs="Times New Roman" w:hint="eastAsia"/>
          <w:sz w:val="24"/>
          <w:szCs w:val="24"/>
        </w:rPr>
        <w:t>. Organ and purple a</w:t>
      </w:r>
      <w:r w:rsidRPr="00901BE4">
        <w:rPr>
          <w:rFonts w:ascii="Times New Roman" w:hAnsi="Times New Roman" w:cs="Times New Roman" w:hint="eastAsia"/>
          <w:sz w:val="24"/>
          <w:szCs w:val="24"/>
        </w:rPr>
        <w:t>sterisk</w:t>
      </w:r>
      <w:r>
        <w:rPr>
          <w:rFonts w:ascii="Times New Roman" w:hAnsi="Times New Roman" w:cs="Times New Roman" w:hint="eastAsia"/>
          <w:sz w:val="24"/>
          <w:szCs w:val="24"/>
        </w:rPr>
        <w:t>s denote significant variations with acclimation temperature in gut (G) and liver (L), respectively (adjusted p &lt; 0.01, one-way ANOVA and BH correction).</w:t>
      </w:r>
    </w:p>
    <w:p w14:paraId="5069CCC8" w14:textId="77777777" w:rsidR="00A30CAE" w:rsidRDefault="00A30CAE" w:rsidP="00E662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B8A5D98" w14:textId="77777777" w:rsidR="003A307B" w:rsidRDefault="003A307B" w:rsidP="00E662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38FBF8D" w14:textId="09D9A86A" w:rsidR="003A307B" w:rsidRDefault="00321DE0" w:rsidP="00E662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F1AB664" wp14:editId="4D7F289A">
            <wp:extent cx="5274310" cy="5951220"/>
            <wp:effectExtent l="0" t="0" r="2540" b="0"/>
            <wp:docPr id="15169443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5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0A835" w14:textId="53F47999" w:rsidR="003A307B" w:rsidRPr="003A307B" w:rsidRDefault="003A307B" w:rsidP="00E662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6275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E662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DEGs involved in oxidative phosphorylation (OPP). Organ and purple a</w:t>
      </w:r>
      <w:r w:rsidRPr="00901BE4">
        <w:rPr>
          <w:rFonts w:ascii="Times New Roman" w:hAnsi="Times New Roman" w:cs="Times New Roman" w:hint="eastAsia"/>
          <w:sz w:val="24"/>
          <w:szCs w:val="24"/>
        </w:rPr>
        <w:t>sterisk</w:t>
      </w:r>
      <w:r>
        <w:rPr>
          <w:rFonts w:ascii="Times New Roman" w:hAnsi="Times New Roman" w:cs="Times New Roman" w:hint="eastAsia"/>
          <w:sz w:val="24"/>
          <w:szCs w:val="24"/>
        </w:rPr>
        <w:t>s denote significant variations with acclimation temperature in gut (G) and liver (L), respectively (adjusted p &lt; 0.01, one-way ANOVA and BH correction).</w:t>
      </w:r>
    </w:p>
    <w:sectPr w:rsidR="003A307B" w:rsidRPr="003A30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2B6A70" w14:textId="77777777" w:rsidR="0016134A" w:rsidRDefault="0016134A" w:rsidP="00C51002">
      <w:pPr>
        <w:rPr>
          <w:rFonts w:hint="eastAsia"/>
        </w:rPr>
      </w:pPr>
      <w:r>
        <w:separator/>
      </w:r>
    </w:p>
  </w:endnote>
  <w:endnote w:type="continuationSeparator" w:id="0">
    <w:p w14:paraId="19A2EAC0" w14:textId="77777777" w:rsidR="0016134A" w:rsidRDefault="0016134A" w:rsidP="00C5100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06F235" w14:textId="77777777" w:rsidR="0016134A" w:rsidRDefault="0016134A" w:rsidP="00C51002">
      <w:pPr>
        <w:rPr>
          <w:rFonts w:hint="eastAsia"/>
        </w:rPr>
      </w:pPr>
      <w:r>
        <w:separator/>
      </w:r>
    </w:p>
  </w:footnote>
  <w:footnote w:type="continuationSeparator" w:id="0">
    <w:p w14:paraId="7C7FA6AD" w14:textId="77777777" w:rsidR="0016134A" w:rsidRDefault="0016134A" w:rsidP="00C5100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37D"/>
    <w:rsid w:val="00007A76"/>
    <w:rsid w:val="00142033"/>
    <w:rsid w:val="0015740C"/>
    <w:rsid w:val="0016134A"/>
    <w:rsid w:val="00184A2B"/>
    <w:rsid w:val="001A04ED"/>
    <w:rsid w:val="001A6FDB"/>
    <w:rsid w:val="001E5C00"/>
    <w:rsid w:val="001F3B6C"/>
    <w:rsid w:val="00321DE0"/>
    <w:rsid w:val="003943AA"/>
    <w:rsid w:val="003A307B"/>
    <w:rsid w:val="003F155B"/>
    <w:rsid w:val="005B682D"/>
    <w:rsid w:val="005C2DA1"/>
    <w:rsid w:val="00702758"/>
    <w:rsid w:val="008F7AC5"/>
    <w:rsid w:val="00901BE4"/>
    <w:rsid w:val="00A30CAE"/>
    <w:rsid w:val="00A52A54"/>
    <w:rsid w:val="00A76123"/>
    <w:rsid w:val="00AF1918"/>
    <w:rsid w:val="00AF2CAF"/>
    <w:rsid w:val="00BD4AC9"/>
    <w:rsid w:val="00C51002"/>
    <w:rsid w:val="00CD437D"/>
    <w:rsid w:val="00DC5B2C"/>
    <w:rsid w:val="00E55D84"/>
    <w:rsid w:val="00E66275"/>
    <w:rsid w:val="00EF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89C48F"/>
  <w15:chartTrackingRefBased/>
  <w15:docId w15:val="{73256E26-A880-4BC1-8E99-9BCA4AFA4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0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5100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510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5100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 tang</dc:creator>
  <cp:keywords/>
  <dc:description/>
  <cp:lastModifiedBy>can tang</cp:lastModifiedBy>
  <cp:revision>39</cp:revision>
  <dcterms:created xsi:type="dcterms:W3CDTF">2024-09-03T02:26:00Z</dcterms:created>
  <dcterms:modified xsi:type="dcterms:W3CDTF">2024-09-05T04:46:00Z</dcterms:modified>
</cp:coreProperties>
</file>