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3320" w:rsidRPr="00D400E8" w:rsidRDefault="00DF7F26">
      <w:pPr>
        <w:pStyle w:val="P68B1DB1-a01"/>
        <w:spacing w:line="360" w:lineRule="auto"/>
        <w:rPr>
          <w:snapToGrid w:val="0"/>
        </w:rPr>
      </w:pPr>
      <w:bookmarkStart w:id="0" w:name="_Toc87319570"/>
      <w:r w:rsidRPr="00D400E8">
        <w:t xml:space="preserve">                                                       </w:t>
      </w:r>
    </w:p>
    <w:p w:rsidR="00743320" w:rsidRPr="000715C6" w:rsidRDefault="00DF7F26">
      <w:pPr>
        <w:pStyle w:val="P68B1DB1-a02"/>
        <w:spacing w:line="360" w:lineRule="auto"/>
        <w:jc w:val="center"/>
        <w:rPr>
          <w:rFonts w:ascii="Times New Roman" w:hAnsi="Times New Roman" w:hint="default"/>
          <w:sz w:val="32"/>
        </w:rPr>
      </w:pPr>
      <w:r w:rsidRPr="000715C6">
        <w:rPr>
          <w:rFonts w:ascii="Times New Roman" w:hAnsi="Times New Roman"/>
          <w:sz w:val="32"/>
        </w:rPr>
        <w:t xml:space="preserve">An </w:t>
      </w:r>
      <w:r w:rsidR="000715C6" w:rsidRPr="000715C6">
        <w:rPr>
          <w:rFonts w:ascii="Times New Roman" w:hAnsi="Times New Roman" w:hint="default"/>
          <w:sz w:val="32"/>
        </w:rPr>
        <w:t xml:space="preserve">Open, Single-Arm, Multicenter and Exploratory Clinical Study of </w:t>
      </w:r>
      <w:r w:rsidRPr="000715C6">
        <w:rPr>
          <w:rFonts w:ascii="Times New Roman" w:hAnsi="Times New Roman"/>
          <w:sz w:val="32"/>
        </w:rPr>
        <w:t xml:space="preserve">Anlotinib </w:t>
      </w:r>
      <w:r w:rsidR="000715C6" w:rsidRPr="000715C6">
        <w:rPr>
          <w:rFonts w:ascii="Times New Roman" w:hAnsi="Times New Roman" w:hint="default"/>
          <w:sz w:val="32"/>
        </w:rPr>
        <w:t xml:space="preserve">Combined with </w:t>
      </w:r>
      <w:r w:rsidRPr="000715C6">
        <w:rPr>
          <w:rFonts w:ascii="Times New Roman" w:hAnsi="Times New Roman"/>
          <w:sz w:val="32"/>
        </w:rPr>
        <w:t>EGFR</w:t>
      </w:r>
      <w:r w:rsidR="000715C6" w:rsidRPr="000715C6">
        <w:rPr>
          <w:rFonts w:ascii="Times New Roman" w:hAnsi="Times New Roman" w:hint="default"/>
          <w:sz w:val="32"/>
        </w:rPr>
        <w:t xml:space="preserve">-TKIs in the Treatment of Locally Advanced/Advanced </w:t>
      </w:r>
      <w:r w:rsidRPr="000715C6">
        <w:rPr>
          <w:rFonts w:ascii="Times New Roman" w:hAnsi="Times New Roman"/>
          <w:sz w:val="32"/>
        </w:rPr>
        <w:t xml:space="preserve">NSCLC </w:t>
      </w:r>
      <w:r w:rsidR="000715C6" w:rsidRPr="000715C6">
        <w:rPr>
          <w:rFonts w:ascii="Times New Roman" w:hAnsi="Times New Roman" w:hint="default"/>
          <w:sz w:val="32"/>
        </w:rPr>
        <w:t xml:space="preserve">with Acquired Resistance to </w:t>
      </w:r>
      <w:r w:rsidRPr="000715C6">
        <w:rPr>
          <w:rFonts w:ascii="Times New Roman" w:hAnsi="Times New Roman"/>
          <w:sz w:val="32"/>
        </w:rPr>
        <w:t>EGFR</w:t>
      </w:r>
      <w:r w:rsidR="000715C6" w:rsidRPr="000715C6">
        <w:rPr>
          <w:rFonts w:ascii="Times New Roman" w:hAnsi="Times New Roman" w:hint="default"/>
          <w:sz w:val="32"/>
        </w:rPr>
        <w:t xml:space="preserve">-TKIs </w:t>
      </w:r>
    </w:p>
    <w:p w:rsidR="00743320" w:rsidRPr="00775168" w:rsidRDefault="00743320">
      <w:pPr>
        <w:jc w:val="center"/>
        <w:rPr>
          <w:b/>
          <w:sz w:val="36"/>
        </w:rPr>
      </w:pPr>
    </w:p>
    <w:p w:rsidR="00743320" w:rsidRPr="00775168" w:rsidRDefault="00DF7F26">
      <w:pPr>
        <w:pStyle w:val="P68B1DB1-a03"/>
        <w:jc w:val="center"/>
        <w:rPr>
          <w:rFonts w:hAnsi="Times New Roman" w:hint="default"/>
        </w:rPr>
      </w:pPr>
      <w:r w:rsidRPr="00775168">
        <w:rPr>
          <w:rFonts w:hAnsi="Times New Roman"/>
        </w:rPr>
        <w:t xml:space="preserve">Study </w:t>
      </w:r>
      <w:r w:rsidR="00826D98">
        <w:rPr>
          <w:rFonts w:hAnsi="Times New Roman" w:hint="default"/>
        </w:rPr>
        <w:t>P</w:t>
      </w:r>
      <w:r w:rsidRPr="00775168">
        <w:rPr>
          <w:rFonts w:hAnsi="Times New Roman"/>
        </w:rPr>
        <w:t xml:space="preserve">rotocol </w:t>
      </w:r>
    </w:p>
    <w:p w:rsidR="00743320" w:rsidRPr="00775168" w:rsidRDefault="00743320">
      <w:pPr>
        <w:autoSpaceDE w:val="0"/>
        <w:autoSpaceDN w:val="0"/>
        <w:adjustRightInd w:val="0"/>
        <w:snapToGrid w:val="0"/>
        <w:spacing w:beforeLines="50" w:before="156"/>
        <w:jc w:val="left"/>
        <w:textAlignment w:val="bottom"/>
        <w:rPr>
          <w:sz w:val="36"/>
        </w:rPr>
      </w:pPr>
    </w:p>
    <w:p w:rsidR="00743320" w:rsidRPr="00775168" w:rsidRDefault="00DF7F26">
      <w:pPr>
        <w:pStyle w:val="P68B1DB1-a04"/>
        <w:autoSpaceDE w:val="0"/>
        <w:autoSpaceDN w:val="0"/>
        <w:adjustRightInd w:val="0"/>
        <w:snapToGrid w:val="0"/>
        <w:spacing w:beforeLines="50" w:before="156"/>
        <w:ind w:firstLine="2552"/>
        <w:jc w:val="left"/>
        <w:textAlignment w:val="bottom"/>
        <w:rPr>
          <w:rFonts w:ascii="Times New Roman" w:hAnsi="Times New Roman" w:hint="default"/>
        </w:rPr>
      </w:pPr>
      <w:r w:rsidRPr="00775168">
        <w:rPr>
          <w:rFonts w:ascii="Times New Roman" w:hAnsi="Times New Roman"/>
        </w:rPr>
        <w:t xml:space="preserve">Version number: 5.3 </w:t>
      </w:r>
    </w:p>
    <w:p w:rsidR="00743320" w:rsidRPr="00775168" w:rsidRDefault="00DF7F26">
      <w:pPr>
        <w:pStyle w:val="P68B1DB1-a04"/>
        <w:autoSpaceDE w:val="0"/>
        <w:autoSpaceDN w:val="0"/>
        <w:adjustRightInd w:val="0"/>
        <w:snapToGrid w:val="0"/>
        <w:spacing w:beforeLines="50" w:before="156"/>
        <w:ind w:firstLine="2552"/>
        <w:jc w:val="left"/>
        <w:textAlignment w:val="bottom"/>
        <w:rPr>
          <w:rFonts w:ascii="Times New Roman" w:hAnsi="Times New Roman" w:hint="default"/>
        </w:rPr>
      </w:pPr>
      <w:r w:rsidRPr="00775168">
        <w:rPr>
          <w:rFonts w:ascii="Times New Roman" w:hAnsi="Times New Roman"/>
        </w:rPr>
        <w:t xml:space="preserve">Version Date: </w:t>
      </w:r>
      <w:r w:rsidR="00826D98" w:rsidRPr="00826D98">
        <w:rPr>
          <w:rFonts w:ascii="Times New Roman" w:hAnsi="Times New Roman"/>
        </w:rPr>
        <w:t>August</w:t>
      </w:r>
      <w:r w:rsidR="00826D98" w:rsidRPr="00826D98">
        <w:rPr>
          <w:rFonts w:ascii="Times New Roman" w:hAnsi="Times New Roman" w:hint="default"/>
        </w:rPr>
        <w:t xml:space="preserve"> 25,</w:t>
      </w:r>
      <w:r w:rsidR="00826D98" w:rsidRPr="00826D98">
        <w:rPr>
          <w:rFonts w:ascii="Times New Roman" w:hAnsi="Times New Roman"/>
        </w:rPr>
        <w:t xml:space="preserve"> 2021</w:t>
      </w:r>
    </w:p>
    <w:p w:rsidR="00743320" w:rsidRPr="00775168" w:rsidRDefault="00743320">
      <w:pPr>
        <w:autoSpaceDE w:val="0"/>
        <w:autoSpaceDN w:val="0"/>
        <w:adjustRightInd w:val="0"/>
        <w:snapToGrid w:val="0"/>
        <w:spacing w:beforeLines="50" w:before="156"/>
        <w:ind w:firstLine="2552"/>
        <w:jc w:val="left"/>
        <w:textAlignment w:val="bottom"/>
        <w:rPr>
          <w:sz w:val="24"/>
        </w:rPr>
      </w:pPr>
    </w:p>
    <w:p w:rsidR="00743320" w:rsidRPr="00775168" w:rsidRDefault="00743320">
      <w:pPr>
        <w:autoSpaceDE w:val="0"/>
        <w:autoSpaceDN w:val="0"/>
        <w:adjustRightInd w:val="0"/>
        <w:snapToGrid w:val="0"/>
        <w:ind w:left="3240" w:hanging="3240"/>
        <w:textAlignment w:val="bottom"/>
        <w:rPr>
          <w:kern w:val="0"/>
          <w:sz w:val="28"/>
        </w:rPr>
      </w:pPr>
    </w:p>
    <w:p w:rsidR="00743320" w:rsidRPr="00775168" w:rsidRDefault="00DF7F26">
      <w:pPr>
        <w:pStyle w:val="P68B1DB1-a05"/>
        <w:autoSpaceDE w:val="0"/>
        <w:autoSpaceDN w:val="0"/>
        <w:adjustRightInd w:val="0"/>
        <w:snapToGrid w:val="0"/>
        <w:ind w:left="3240" w:hanging="3240"/>
        <w:textAlignment w:val="bottom"/>
      </w:pPr>
      <w:r w:rsidRPr="00775168">
        <w:t xml:space="preserve"> </w:t>
      </w:r>
    </w:p>
    <w:p w:rsidR="00743320" w:rsidRPr="00775168" w:rsidRDefault="00743320">
      <w:pPr>
        <w:autoSpaceDE w:val="0"/>
        <w:autoSpaceDN w:val="0"/>
        <w:adjustRightInd w:val="0"/>
        <w:snapToGrid w:val="0"/>
        <w:ind w:left="3240" w:hanging="3240"/>
        <w:textAlignment w:val="bottom"/>
        <w:rPr>
          <w:sz w:val="28"/>
        </w:rPr>
      </w:pPr>
    </w:p>
    <w:p w:rsidR="00743320" w:rsidRPr="00775168" w:rsidRDefault="00743320">
      <w:pPr>
        <w:autoSpaceDE w:val="0"/>
        <w:autoSpaceDN w:val="0"/>
        <w:adjustRightInd w:val="0"/>
        <w:snapToGrid w:val="0"/>
        <w:ind w:left="3240" w:hanging="3240"/>
        <w:textAlignment w:val="bottom"/>
        <w:rPr>
          <w:sz w:val="28"/>
        </w:rPr>
      </w:pPr>
    </w:p>
    <w:p w:rsidR="00743320" w:rsidRDefault="00743320">
      <w:pPr>
        <w:autoSpaceDE w:val="0"/>
        <w:autoSpaceDN w:val="0"/>
        <w:adjustRightInd w:val="0"/>
        <w:snapToGrid w:val="0"/>
        <w:ind w:left="3240" w:hanging="3240"/>
        <w:textAlignment w:val="bottom"/>
        <w:rPr>
          <w:sz w:val="28"/>
        </w:rPr>
      </w:pPr>
    </w:p>
    <w:p w:rsidR="00826D98" w:rsidRPr="00775168" w:rsidRDefault="00826D98">
      <w:pPr>
        <w:autoSpaceDE w:val="0"/>
        <w:autoSpaceDN w:val="0"/>
        <w:adjustRightInd w:val="0"/>
        <w:snapToGrid w:val="0"/>
        <w:ind w:left="3240" w:hanging="3240"/>
        <w:textAlignment w:val="bottom"/>
        <w:rPr>
          <w:sz w:val="28"/>
        </w:rPr>
      </w:pPr>
    </w:p>
    <w:p w:rsidR="00743320" w:rsidRPr="00775168" w:rsidRDefault="00743320">
      <w:pPr>
        <w:autoSpaceDE w:val="0"/>
        <w:autoSpaceDN w:val="0"/>
        <w:adjustRightInd w:val="0"/>
        <w:snapToGrid w:val="0"/>
        <w:ind w:left="3240" w:hanging="3240"/>
        <w:textAlignment w:val="bottom"/>
        <w:rPr>
          <w:sz w:val="28"/>
        </w:rPr>
      </w:pPr>
    </w:p>
    <w:p w:rsidR="00826D98" w:rsidRPr="00775168" w:rsidRDefault="00826D98">
      <w:pPr>
        <w:autoSpaceDE w:val="0"/>
        <w:autoSpaceDN w:val="0"/>
        <w:adjustRightInd w:val="0"/>
        <w:snapToGrid w:val="0"/>
        <w:ind w:left="3240" w:hanging="3240"/>
        <w:textAlignment w:val="bottom"/>
        <w:rPr>
          <w:sz w:val="28"/>
        </w:rPr>
      </w:pPr>
    </w:p>
    <w:p w:rsidR="00743320" w:rsidRPr="00775168" w:rsidRDefault="00743320">
      <w:pPr>
        <w:autoSpaceDE w:val="0"/>
        <w:autoSpaceDN w:val="0"/>
        <w:adjustRightInd w:val="0"/>
        <w:snapToGrid w:val="0"/>
        <w:ind w:left="3240" w:hanging="3240"/>
        <w:textAlignment w:val="bottom"/>
        <w:rPr>
          <w:sz w:val="28"/>
        </w:rPr>
      </w:pPr>
    </w:p>
    <w:p w:rsidR="00743320" w:rsidRPr="00775168" w:rsidRDefault="00743320">
      <w:pPr>
        <w:autoSpaceDE w:val="0"/>
        <w:autoSpaceDN w:val="0"/>
        <w:adjustRightInd w:val="0"/>
        <w:snapToGrid w:val="0"/>
        <w:textAlignment w:val="bottom"/>
        <w:rPr>
          <w:sz w:val="28"/>
        </w:rPr>
      </w:pPr>
    </w:p>
    <w:p w:rsidR="00743320" w:rsidRPr="00775168" w:rsidRDefault="00DF7F26">
      <w:pPr>
        <w:pStyle w:val="P68B1DB1-a05"/>
        <w:autoSpaceDE w:val="0"/>
        <w:autoSpaceDN w:val="0"/>
        <w:adjustRightInd w:val="0"/>
        <w:snapToGrid w:val="0"/>
        <w:spacing w:line="276" w:lineRule="auto"/>
        <w:ind w:left="3240" w:hanging="3240"/>
        <w:jc w:val="center"/>
        <w:textAlignment w:val="bottom"/>
      </w:pPr>
      <w:r w:rsidRPr="00775168">
        <w:rPr>
          <w:rFonts w:hint="eastAsia"/>
        </w:rPr>
        <w:t xml:space="preserve">Principal investigator of clinical study: Professor Yilong Wu </w:t>
      </w:r>
    </w:p>
    <w:p w:rsidR="00743320" w:rsidRPr="00775168" w:rsidRDefault="00DF7F26">
      <w:pPr>
        <w:pStyle w:val="P68B1DB1-a06"/>
        <w:tabs>
          <w:tab w:val="left" w:pos="2961"/>
        </w:tabs>
        <w:autoSpaceDE w:val="0"/>
        <w:autoSpaceDN w:val="0"/>
        <w:adjustRightInd w:val="0"/>
        <w:snapToGrid w:val="0"/>
        <w:spacing w:line="276" w:lineRule="auto"/>
        <w:ind w:left="3240" w:hanging="3240"/>
        <w:jc w:val="center"/>
        <w:textAlignment w:val="bottom"/>
        <w:rPr>
          <w:rFonts w:hAnsi="Times New Roman" w:hint="default"/>
        </w:rPr>
      </w:pPr>
      <w:r w:rsidRPr="00775168">
        <w:rPr>
          <w:rFonts w:hAnsi="Times New Roman"/>
        </w:rPr>
        <w:t xml:space="preserve">Leading </w:t>
      </w:r>
      <w:r w:rsidR="00826D98">
        <w:rPr>
          <w:rFonts w:hAnsi="Times New Roman" w:hint="default"/>
        </w:rPr>
        <w:t>S</w:t>
      </w:r>
      <w:r w:rsidRPr="00775168">
        <w:rPr>
          <w:rFonts w:hAnsi="Times New Roman"/>
        </w:rPr>
        <w:t xml:space="preserve">ite: </w:t>
      </w:r>
      <w:r w:rsidR="00826D98" w:rsidRPr="00826D98">
        <w:rPr>
          <w:rFonts w:hAnsi="Times New Roman"/>
        </w:rPr>
        <w:t>Guangdong Provincial People</w:t>
      </w:r>
      <w:r w:rsidR="00826D98" w:rsidRPr="00826D98">
        <w:rPr>
          <w:rFonts w:hAnsi="Times New Roman"/>
        </w:rPr>
        <w:t>’</w:t>
      </w:r>
      <w:r w:rsidR="00826D98" w:rsidRPr="00826D98">
        <w:rPr>
          <w:rFonts w:hAnsi="Times New Roman"/>
        </w:rPr>
        <w:t>s Hospital</w:t>
      </w:r>
      <w:r w:rsidRPr="00775168">
        <w:rPr>
          <w:rFonts w:hAnsi="Times New Roman"/>
        </w:rPr>
        <w:t xml:space="preserve"> </w:t>
      </w:r>
    </w:p>
    <w:p w:rsidR="00743320" w:rsidRPr="00775168" w:rsidRDefault="00DF7F26">
      <w:pPr>
        <w:pStyle w:val="P68B1DB1-a07"/>
        <w:tabs>
          <w:tab w:val="left" w:pos="2961"/>
        </w:tabs>
        <w:autoSpaceDE w:val="0"/>
        <w:autoSpaceDN w:val="0"/>
        <w:adjustRightInd w:val="0"/>
        <w:snapToGrid w:val="0"/>
        <w:spacing w:line="276" w:lineRule="auto"/>
        <w:jc w:val="center"/>
        <w:textAlignment w:val="bottom"/>
        <w:rPr>
          <w:rFonts w:hAnsi="Times New Roman" w:hint="default"/>
        </w:rPr>
      </w:pPr>
      <w:r w:rsidRPr="00775168">
        <w:rPr>
          <w:rFonts w:hAnsi="Times New Roman"/>
        </w:rPr>
        <w:t xml:space="preserve">Statistical </w:t>
      </w:r>
      <w:r w:rsidR="00826D98">
        <w:rPr>
          <w:rFonts w:hAnsi="Times New Roman" w:hint="default"/>
        </w:rPr>
        <w:t>I</w:t>
      </w:r>
      <w:r w:rsidRPr="00775168">
        <w:rPr>
          <w:rFonts w:hAnsi="Times New Roman"/>
        </w:rPr>
        <w:t xml:space="preserve">nstitution: </w:t>
      </w:r>
      <w:bookmarkStart w:id="1" w:name="_Toc215899722"/>
      <w:bookmarkStart w:id="2" w:name="_Toc208817832"/>
      <w:r w:rsidRPr="00775168">
        <w:rPr>
          <w:rFonts w:hAnsi="Times New Roman"/>
        </w:rPr>
        <w:t xml:space="preserve">Chia Tai Tianqing Pharmaceutical Group Co., Ltd. </w:t>
      </w:r>
    </w:p>
    <w:p w:rsidR="00743320" w:rsidRPr="00775168" w:rsidRDefault="00DF7F26">
      <w:pPr>
        <w:pStyle w:val="P68B1DB1-a07"/>
        <w:autoSpaceDE w:val="0"/>
        <w:autoSpaceDN w:val="0"/>
        <w:adjustRightInd w:val="0"/>
        <w:snapToGrid w:val="0"/>
        <w:spacing w:line="276" w:lineRule="auto"/>
        <w:ind w:left="3240" w:hanging="3240"/>
        <w:jc w:val="center"/>
        <w:textAlignment w:val="bottom"/>
        <w:rPr>
          <w:rFonts w:hAnsi="Times New Roman" w:hint="default"/>
          <w:b/>
          <w:sz w:val="32"/>
        </w:rPr>
      </w:pPr>
      <w:r w:rsidRPr="00775168">
        <w:rPr>
          <w:rFonts w:hAnsi="Times New Roman"/>
        </w:rPr>
        <w:t xml:space="preserve">Co-organizer: Chia Tai Tianqing Pharmaceutical Group Co., Ltd. </w:t>
      </w:r>
    </w:p>
    <w:p w:rsidR="00743320" w:rsidRPr="00775168" w:rsidRDefault="00743320">
      <w:pPr>
        <w:pBdr>
          <w:bottom w:val="single" w:sz="6" w:space="1" w:color="auto"/>
        </w:pBdr>
        <w:autoSpaceDE w:val="0"/>
        <w:autoSpaceDN w:val="0"/>
        <w:adjustRightInd w:val="0"/>
        <w:snapToGrid w:val="0"/>
        <w:spacing w:line="276" w:lineRule="auto"/>
        <w:ind w:left="3240" w:hanging="3240"/>
        <w:jc w:val="center"/>
        <w:textAlignment w:val="bottom"/>
        <w:rPr>
          <w:b/>
          <w:sz w:val="32"/>
        </w:rPr>
      </w:pPr>
    </w:p>
    <w:p w:rsidR="00743320" w:rsidRPr="00775168" w:rsidRDefault="00743320">
      <w:pPr>
        <w:pBdr>
          <w:bottom w:val="single" w:sz="6" w:space="1" w:color="auto"/>
        </w:pBdr>
        <w:autoSpaceDE w:val="0"/>
        <w:autoSpaceDN w:val="0"/>
        <w:adjustRightInd w:val="0"/>
        <w:snapToGrid w:val="0"/>
        <w:spacing w:line="276" w:lineRule="auto"/>
        <w:ind w:left="3240" w:hanging="3240"/>
        <w:jc w:val="center"/>
        <w:textAlignment w:val="bottom"/>
        <w:rPr>
          <w:b/>
          <w:sz w:val="32"/>
        </w:rPr>
      </w:pPr>
    </w:p>
    <w:p w:rsidR="00743320" w:rsidRPr="00775168" w:rsidRDefault="00DF7F26">
      <w:pPr>
        <w:pStyle w:val="P68B1DB1-a08"/>
        <w:spacing w:before="98"/>
        <w:ind w:left="499" w:right="369" w:firstLine="312"/>
        <w:rPr>
          <w:rFonts w:hint="default"/>
        </w:rPr>
      </w:pPr>
      <w:r w:rsidRPr="00775168">
        <w:t xml:space="preserve">This document contains important confidential business information that is the property of CHIA TAI TIANQING Pharmaceutical GROUP CO., LTD and should not be disclosed unless such disclosure is required by current laws or regulations. In any event, all persons to whom this information is received will be informed of this confidentiality requirement and should not disclose this information further. This disclosure restriction also applies to all future documents supplied and annotated as confidential. </w:t>
      </w:r>
    </w:p>
    <w:p w:rsidR="00743320" w:rsidRPr="00775168" w:rsidRDefault="00DF7F26">
      <w:pPr>
        <w:pStyle w:val="P68B1DB1-a09"/>
        <w:spacing w:line="641" w:lineRule="exact"/>
        <w:jc w:val="center"/>
        <w:rPr>
          <w:rFonts w:hint="default"/>
        </w:rPr>
      </w:pPr>
      <w:r w:rsidRPr="00775168">
        <w:lastRenderedPageBreak/>
        <w:t xml:space="preserve">Protocol Version Update Log </w:t>
      </w:r>
    </w:p>
    <w:p w:rsidR="00743320" w:rsidRPr="00775168" w:rsidRDefault="00743320">
      <w:pPr>
        <w:pStyle w:val="a6"/>
        <w:spacing w:before="17"/>
        <w:ind w:left="840"/>
        <w:rPr>
          <w:rFonts w:ascii="Times New Roman" w:hAnsi="Times New Roman" w:cs="Times New Roman"/>
          <w:sz w:val="19"/>
        </w:rPr>
      </w:pPr>
    </w:p>
    <w:tbl>
      <w:tblPr>
        <w:tblW w:w="6892" w:type="dxa"/>
        <w:jc w:val="center"/>
        <w:tblLayout w:type="fixed"/>
        <w:tblCellMar>
          <w:left w:w="0" w:type="dxa"/>
          <w:right w:w="0" w:type="dxa"/>
        </w:tblCellMar>
        <w:tblLook w:val="04A0" w:firstRow="1" w:lastRow="0" w:firstColumn="1" w:lastColumn="0" w:noHBand="0" w:noVBand="1"/>
      </w:tblPr>
      <w:tblGrid>
        <w:gridCol w:w="1726"/>
        <w:gridCol w:w="5166"/>
      </w:tblGrid>
      <w:tr w:rsidR="00743320" w:rsidRPr="00775168">
        <w:trPr>
          <w:trHeight w:val="550"/>
          <w:jc w:val="center"/>
        </w:trPr>
        <w:tc>
          <w:tcPr>
            <w:tcW w:w="1726" w:type="dxa"/>
            <w:tcBorders>
              <w:top w:val="single" w:sz="12" w:space="0" w:color="000000"/>
              <w:bottom w:val="single" w:sz="12" w:space="0" w:color="000000"/>
            </w:tcBorders>
          </w:tcPr>
          <w:p w:rsidR="00743320" w:rsidRPr="00775168" w:rsidRDefault="00DF7F26">
            <w:pPr>
              <w:pStyle w:val="P68B1DB1-TableParagraph10"/>
              <w:spacing w:line="462" w:lineRule="exact"/>
              <w:ind w:left="283"/>
              <w:rPr>
                <w:rFonts w:ascii="Times New Roman" w:hAnsi="Times New Roman" w:cs="Times New Roman" w:hint="default"/>
              </w:rPr>
            </w:pPr>
            <w:r w:rsidRPr="00775168">
              <w:rPr>
                <w:rFonts w:ascii="Times New Roman" w:hAnsi="Times New Roman"/>
              </w:rPr>
              <w:t xml:space="preserve">Version No. </w:t>
            </w:r>
          </w:p>
        </w:tc>
        <w:tc>
          <w:tcPr>
            <w:tcW w:w="5166" w:type="dxa"/>
            <w:tcBorders>
              <w:top w:val="single" w:sz="12" w:space="0" w:color="000000"/>
              <w:bottom w:val="single" w:sz="12" w:space="0" w:color="000000"/>
            </w:tcBorders>
          </w:tcPr>
          <w:p w:rsidR="00743320" w:rsidRPr="00775168" w:rsidRDefault="00DF7F26">
            <w:pPr>
              <w:pStyle w:val="P68B1DB1-TableParagraph10"/>
              <w:spacing w:line="462" w:lineRule="exact"/>
              <w:ind w:left="612"/>
              <w:rPr>
                <w:rFonts w:ascii="Times New Roman" w:hAnsi="Times New Roman" w:cs="Times New Roman" w:hint="default"/>
              </w:rPr>
            </w:pPr>
            <w:r w:rsidRPr="00775168">
              <w:rPr>
                <w:rFonts w:ascii="Times New Roman" w:hAnsi="Times New Roman"/>
              </w:rPr>
              <w:t xml:space="preserve">Version Date </w:t>
            </w:r>
          </w:p>
        </w:tc>
      </w:tr>
      <w:tr w:rsidR="00743320" w:rsidRPr="00775168">
        <w:trPr>
          <w:trHeight w:val="728"/>
          <w:jc w:val="center"/>
        </w:trPr>
        <w:tc>
          <w:tcPr>
            <w:tcW w:w="1726" w:type="dxa"/>
            <w:tcBorders>
              <w:top w:val="single" w:sz="12" w:space="0" w:color="000000"/>
              <w:bottom w:val="single" w:sz="8" w:space="0" w:color="000000"/>
            </w:tcBorders>
          </w:tcPr>
          <w:p w:rsidR="00743320" w:rsidRPr="00775168" w:rsidRDefault="00DF7F26">
            <w:pPr>
              <w:pStyle w:val="P68B1DB1-TableParagraph11"/>
              <w:spacing w:before="117"/>
              <w:ind w:left="283"/>
              <w:rPr>
                <w:rFonts w:hAnsi="Times New Roman"/>
              </w:rPr>
            </w:pPr>
            <w:r w:rsidRPr="00775168">
              <w:rPr>
                <w:rFonts w:hAnsi="Times New Roman"/>
              </w:rPr>
              <w:t xml:space="preserve">1.0 </w:t>
            </w:r>
          </w:p>
        </w:tc>
        <w:tc>
          <w:tcPr>
            <w:tcW w:w="5166" w:type="dxa"/>
            <w:tcBorders>
              <w:top w:val="single" w:sz="12" w:space="0" w:color="000000"/>
              <w:bottom w:val="single" w:sz="8" w:space="0" w:color="000000"/>
            </w:tcBorders>
          </w:tcPr>
          <w:p w:rsidR="00743320" w:rsidRPr="00775168" w:rsidRDefault="00DF7F26">
            <w:pPr>
              <w:pStyle w:val="P68B1DB1-TableParagraph12"/>
              <w:spacing w:line="551" w:lineRule="exact"/>
              <w:ind w:left="600"/>
              <w:rPr>
                <w:rFonts w:hAnsi="Times New Roman" w:cs="Times New Roman" w:hint="default"/>
              </w:rPr>
            </w:pPr>
            <w:r w:rsidRPr="00775168">
              <w:rPr>
                <w:rFonts w:hAnsi="Times New Roman"/>
              </w:rPr>
              <w:t xml:space="preserve">November 20, 2017 </w:t>
            </w:r>
          </w:p>
        </w:tc>
      </w:tr>
      <w:tr w:rsidR="00743320" w:rsidRPr="00775168">
        <w:trPr>
          <w:trHeight w:val="707"/>
          <w:jc w:val="center"/>
        </w:trPr>
        <w:tc>
          <w:tcPr>
            <w:tcW w:w="1726" w:type="dxa"/>
            <w:tcBorders>
              <w:top w:val="single" w:sz="8" w:space="0" w:color="000000"/>
              <w:bottom w:val="single" w:sz="8" w:space="0" w:color="000000"/>
            </w:tcBorders>
          </w:tcPr>
          <w:p w:rsidR="00743320" w:rsidRPr="00775168" w:rsidRDefault="00DF7F26">
            <w:pPr>
              <w:pStyle w:val="P68B1DB1-TableParagraph11"/>
              <w:spacing w:before="105"/>
              <w:ind w:left="283"/>
              <w:rPr>
                <w:rFonts w:hAnsi="Times New Roman"/>
              </w:rPr>
            </w:pPr>
            <w:r w:rsidRPr="00775168">
              <w:rPr>
                <w:rFonts w:hAnsi="Times New Roman"/>
              </w:rPr>
              <w:t xml:space="preserve">2.0 </w:t>
            </w:r>
          </w:p>
        </w:tc>
        <w:tc>
          <w:tcPr>
            <w:tcW w:w="5166" w:type="dxa"/>
            <w:tcBorders>
              <w:top w:val="single" w:sz="8" w:space="0" w:color="000000"/>
              <w:bottom w:val="single" w:sz="8" w:space="0" w:color="000000"/>
            </w:tcBorders>
          </w:tcPr>
          <w:p w:rsidR="00743320" w:rsidRPr="00775168" w:rsidRDefault="00DF7F26">
            <w:pPr>
              <w:pStyle w:val="P68B1DB1-TableParagraph12"/>
              <w:spacing w:line="539" w:lineRule="exact"/>
              <w:ind w:left="600"/>
              <w:rPr>
                <w:rFonts w:hAnsi="Times New Roman" w:cs="Times New Roman" w:hint="default"/>
              </w:rPr>
            </w:pPr>
            <w:r w:rsidRPr="00775168">
              <w:rPr>
                <w:rFonts w:hAnsi="Times New Roman"/>
              </w:rPr>
              <w:t xml:space="preserve">March 21, 2018 </w:t>
            </w: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DF7F26">
            <w:pPr>
              <w:pStyle w:val="P68B1DB1-TableParagraph11"/>
              <w:spacing w:before="98"/>
              <w:ind w:left="283"/>
              <w:rPr>
                <w:rFonts w:hAnsi="Times New Roman"/>
              </w:rPr>
            </w:pPr>
            <w:r w:rsidRPr="00775168">
              <w:rPr>
                <w:rFonts w:hAnsi="Times New Roman"/>
              </w:rPr>
              <w:t xml:space="preserve">3.0 </w:t>
            </w:r>
          </w:p>
        </w:tc>
        <w:tc>
          <w:tcPr>
            <w:tcW w:w="5166" w:type="dxa"/>
            <w:tcBorders>
              <w:top w:val="single" w:sz="8" w:space="0" w:color="000000"/>
              <w:bottom w:val="single" w:sz="8" w:space="0" w:color="000000"/>
            </w:tcBorders>
          </w:tcPr>
          <w:p w:rsidR="00743320" w:rsidRPr="00775168" w:rsidRDefault="00DF7F26">
            <w:pPr>
              <w:pStyle w:val="P68B1DB1-TableParagraph12"/>
              <w:spacing w:line="532" w:lineRule="exact"/>
              <w:ind w:left="600"/>
              <w:rPr>
                <w:rFonts w:hAnsi="Times New Roman" w:cs="Times New Roman" w:hint="default"/>
              </w:rPr>
            </w:pPr>
            <w:r w:rsidRPr="00775168">
              <w:rPr>
                <w:rFonts w:hAnsi="Times New Roman"/>
              </w:rPr>
              <w:t xml:space="preserve">May 21, 2018 </w:t>
            </w: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DF7F26">
            <w:pPr>
              <w:pStyle w:val="P68B1DB1-TableParagraph13"/>
              <w:spacing w:before="98"/>
              <w:ind w:left="283"/>
              <w:rPr>
                <w:rFonts w:hAnsi="Times New Roman" w:hint="default"/>
              </w:rPr>
            </w:pPr>
            <w:r w:rsidRPr="00775168">
              <w:rPr>
                <w:rFonts w:hAnsi="Times New Roman"/>
              </w:rPr>
              <w:t xml:space="preserve">4.0 </w:t>
            </w:r>
          </w:p>
        </w:tc>
        <w:tc>
          <w:tcPr>
            <w:tcW w:w="5166" w:type="dxa"/>
            <w:tcBorders>
              <w:top w:val="single" w:sz="8" w:space="0" w:color="000000"/>
              <w:bottom w:val="single" w:sz="8" w:space="0" w:color="000000"/>
            </w:tcBorders>
          </w:tcPr>
          <w:p w:rsidR="00743320" w:rsidRPr="00775168" w:rsidRDefault="00DF7F26">
            <w:pPr>
              <w:pStyle w:val="P68B1DB1-TableParagraph12"/>
              <w:spacing w:line="532" w:lineRule="exact"/>
              <w:ind w:left="600"/>
              <w:rPr>
                <w:rFonts w:hAnsi="Times New Roman" w:cs="Times New Roman" w:hint="default"/>
              </w:rPr>
            </w:pPr>
            <w:r w:rsidRPr="00775168">
              <w:rPr>
                <w:rFonts w:hAnsi="Times New Roman"/>
              </w:rPr>
              <w:t xml:space="preserve">November </w:t>
            </w:r>
            <w:r w:rsidR="00826D98">
              <w:rPr>
                <w:rFonts w:hAnsi="Times New Roman" w:hint="default"/>
              </w:rPr>
              <w:t xml:space="preserve">15, </w:t>
            </w:r>
            <w:r w:rsidRPr="00775168">
              <w:rPr>
                <w:rFonts w:hAnsi="Times New Roman"/>
              </w:rPr>
              <w:t xml:space="preserve">2018 </w:t>
            </w: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DF7F26">
            <w:pPr>
              <w:pStyle w:val="P68B1DB1-TableParagraph13"/>
              <w:spacing w:before="98"/>
              <w:ind w:left="283"/>
              <w:rPr>
                <w:rFonts w:hAnsi="Times New Roman" w:hint="default"/>
              </w:rPr>
            </w:pPr>
            <w:r w:rsidRPr="00775168">
              <w:rPr>
                <w:rFonts w:hAnsi="Times New Roman"/>
              </w:rPr>
              <w:t xml:space="preserve">5.0 </w:t>
            </w:r>
          </w:p>
        </w:tc>
        <w:tc>
          <w:tcPr>
            <w:tcW w:w="5166" w:type="dxa"/>
            <w:tcBorders>
              <w:top w:val="single" w:sz="8" w:space="0" w:color="000000"/>
              <w:bottom w:val="single" w:sz="8" w:space="0" w:color="000000"/>
            </w:tcBorders>
          </w:tcPr>
          <w:p w:rsidR="00743320" w:rsidRPr="00775168" w:rsidRDefault="00DF7F26">
            <w:pPr>
              <w:pStyle w:val="P68B1DB1-TableParagraph13"/>
              <w:spacing w:line="532" w:lineRule="exact"/>
              <w:ind w:left="600"/>
              <w:rPr>
                <w:rFonts w:hAnsi="Times New Roman" w:hint="default"/>
              </w:rPr>
            </w:pPr>
            <w:r w:rsidRPr="00775168">
              <w:rPr>
                <w:rFonts w:hAnsi="Times New Roman"/>
              </w:rPr>
              <w:t xml:space="preserve">February 27, 2019 </w:t>
            </w: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DF7F26">
            <w:pPr>
              <w:pStyle w:val="P68B1DB1-TableParagraph13"/>
              <w:spacing w:before="98"/>
              <w:ind w:left="283"/>
              <w:rPr>
                <w:rFonts w:hAnsi="Times New Roman" w:hint="default"/>
              </w:rPr>
            </w:pPr>
            <w:r w:rsidRPr="00775168">
              <w:rPr>
                <w:rFonts w:hAnsi="Times New Roman"/>
              </w:rPr>
              <w:t xml:space="preserve">5.1 </w:t>
            </w:r>
          </w:p>
        </w:tc>
        <w:tc>
          <w:tcPr>
            <w:tcW w:w="5166" w:type="dxa"/>
            <w:tcBorders>
              <w:top w:val="single" w:sz="8" w:space="0" w:color="000000"/>
              <w:bottom w:val="single" w:sz="8" w:space="0" w:color="000000"/>
            </w:tcBorders>
          </w:tcPr>
          <w:p w:rsidR="00743320" w:rsidRPr="00775168" w:rsidRDefault="00DF7F26">
            <w:pPr>
              <w:pStyle w:val="P68B1DB1-TableParagraph13"/>
              <w:spacing w:line="532" w:lineRule="exact"/>
              <w:ind w:left="600"/>
              <w:rPr>
                <w:rFonts w:hAnsi="Times New Roman" w:hint="default"/>
              </w:rPr>
            </w:pPr>
            <w:r w:rsidRPr="00775168">
              <w:rPr>
                <w:rFonts w:hAnsi="Times New Roman"/>
              </w:rPr>
              <w:t xml:space="preserve">July 2, 2019 </w:t>
            </w: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DF7F26">
            <w:pPr>
              <w:pStyle w:val="P68B1DB1-TableParagraph13"/>
              <w:spacing w:before="98"/>
              <w:ind w:left="283"/>
              <w:rPr>
                <w:rFonts w:hAnsi="Times New Roman" w:hint="default"/>
              </w:rPr>
            </w:pPr>
            <w:r w:rsidRPr="00775168">
              <w:rPr>
                <w:rFonts w:hAnsi="Times New Roman"/>
              </w:rPr>
              <w:t xml:space="preserve">5.2 </w:t>
            </w:r>
          </w:p>
        </w:tc>
        <w:tc>
          <w:tcPr>
            <w:tcW w:w="5166" w:type="dxa"/>
            <w:tcBorders>
              <w:top w:val="single" w:sz="8" w:space="0" w:color="000000"/>
              <w:bottom w:val="single" w:sz="8" w:space="0" w:color="000000"/>
            </w:tcBorders>
          </w:tcPr>
          <w:p w:rsidR="00743320" w:rsidRPr="00775168" w:rsidRDefault="00DF7F26">
            <w:pPr>
              <w:pStyle w:val="P68B1DB1-TableParagraph13"/>
              <w:spacing w:line="532" w:lineRule="exact"/>
              <w:ind w:left="600"/>
              <w:rPr>
                <w:rFonts w:hAnsi="Times New Roman" w:hint="default"/>
              </w:rPr>
            </w:pPr>
            <w:r w:rsidRPr="00775168">
              <w:rPr>
                <w:rFonts w:hAnsi="Times New Roman"/>
              </w:rPr>
              <w:t xml:space="preserve">June 10, 2020 </w:t>
            </w: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DF7F26">
            <w:pPr>
              <w:pStyle w:val="P68B1DB1-TableParagraph13"/>
              <w:spacing w:before="98"/>
              <w:ind w:left="283"/>
              <w:rPr>
                <w:rFonts w:hAnsi="Times New Roman" w:hint="default"/>
              </w:rPr>
            </w:pPr>
            <w:r w:rsidRPr="00775168">
              <w:rPr>
                <w:rFonts w:hAnsi="Times New Roman"/>
              </w:rPr>
              <w:t xml:space="preserve">5.3 </w:t>
            </w:r>
          </w:p>
        </w:tc>
        <w:tc>
          <w:tcPr>
            <w:tcW w:w="5166" w:type="dxa"/>
            <w:tcBorders>
              <w:top w:val="single" w:sz="8" w:space="0" w:color="000000"/>
              <w:bottom w:val="single" w:sz="8" w:space="0" w:color="000000"/>
            </w:tcBorders>
          </w:tcPr>
          <w:p w:rsidR="00743320" w:rsidRPr="00775168" w:rsidRDefault="00DF7F26">
            <w:pPr>
              <w:pStyle w:val="P68B1DB1-TableParagraph13"/>
              <w:spacing w:line="532" w:lineRule="exact"/>
              <w:ind w:left="600"/>
              <w:rPr>
                <w:rFonts w:hAnsi="Times New Roman" w:hint="default"/>
              </w:rPr>
            </w:pPr>
            <w:r w:rsidRPr="00775168">
              <w:rPr>
                <w:rFonts w:hAnsi="Times New Roman"/>
              </w:rPr>
              <w:t>August</w:t>
            </w:r>
            <w:r w:rsidR="00826D98">
              <w:rPr>
                <w:rFonts w:hAnsi="Times New Roman" w:hint="default"/>
              </w:rPr>
              <w:t xml:space="preserve"> 25,</w:t>
            </w:r>
            <w:r w:rsidRPr="00775168">
              <w:rPr>
                <w:rFonts w:hAnsi="Times New Roman"/>
              </w:rPr>
              <w:t xml:space="preserve"> 2021 </w:t>
            </w: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743320">
            <w:pPr>
              <w:pStyle w:val="TableParagraph"/>
              <w:spacing w:before="98"/>
              <w:ind w:left="283"/>
              <w:rPr>
                <w:rFonts w:ascii="Times New Roman" w:hAnsi="Times New Roman" w:cs="Times New Roman"/>
                <w:sz w:val="24"/>
              </w:rPr>
            </w:pPr>
          </w:p>
        </w:tc>
        <w:tc>
          <w:tcPr>
            <w:tcW w:w="5166" w:type="dxa"/>
            <w:tcBorders>
              <w:top w:val="single" w:sz="8" w:space="0" w:color="000000"/>
              <w:bottom w:val="single" w:sz="8" w:space="0" w:color="000000"/>
            </w:tcBorders>
          </w:tcPr>
          <w:p w:rsidR="00743320" w:rsidRPr="00775168" w:rsidRDefault="00743320">
            <w:pPr>
              <w:pStyle w:val="TableParagraph"/>
              <w:spacing w:line="532" w:lineRule="exact"/>
              <w:ind w:left="600"/>
              <w:rPr>
                <w:rFonts w:ascii="Times New Roman" w:hAnsi="Times New Roman" w:cs="Times New Roman"/>
                <w:sz w:val="24"/>
              </w:rPr>
            </w:pP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743320">
            <w:pPr>
              <w:pStyle w:val="TableParagraph"/>
              <w:spacing w:before="98"/>
              <w:ind w:left="283"/>
              <w:rPr>
                <w:rFonts w:ascii="Times New Roman" w:hAnsi="Times New Roman" w:cs="Times New Roman"/>
                <w:sz w:val="24"/>
              </w:rPr>
            </w:pPr>
          </w:p>
        </w:tc>
        <w:tc>
          <w:tcPr>
            <w:tcW w:w="5166" w:type="dxa"/>
            <w:tcBorders>
              <w:top w:val="single" w:sz="8" w:space="0" w:color="000000"/>
              <w:bottom w:val="single" w:sz="8" w:space="0" w:color="000000"/>
            </w:tcBorders>
          </w:tcPr>
          <w:p w:rsidR="00743320" w:rsidRPr="00775168" w:rsidRDefault="00743320">
            <w:pPr>
              <w:pStyle w:val="TableParagraph"/>
              <w:spacing w:line="532" w:lineRule="exact"/>
              <w:ind w:left="600"/>
              <w:rPr>
                <w:rFonts w:ascii="Times New Roman" w:hAnsi="Times New Roman" w:cs="Times New Roman"/>
                <w:sz w:val="24"/>
              </w:rPr>
            </w:pP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743320">
            <w:pPr>
              <w:pStyle w:val="TableParagraph"/>
              <w:spacing w:before="98"/>
              <w:ind w:left="283"/>
              <w:rPr>
                <w:rFonts w:ascii="Times New Roman" w:hAnsi="Times New Roman" w:cs="Times New Roman"/>
                <w:sz w:val="24"/>
              </w:rPr>
            </w:pPr>
          </w:p>
        </w:tc>
        <w:tc>
          <w:tcPr>
            <w:tcW w:w="5166" w:type="dxa"/>
            <w:tcBorders>
              <w:top w:val="single" w:sz="8" w:space="0" w:color="000000"/>
              <w:bottom w:val="single" w:sz="8" w:space="0" w:color="000000"/>
            </w:tcBorders>
          </w:tcPr>
          <w:p w:rsidR="00743320" w:rsidRPr="00775168" w:rsidRDefault="00743320">
            <w:pPr>
              <w:pStyle w:val="TableParagraph"/>
              <w:spacing w:line="532" w:lineRule="exact"/>
              <w:ind w:left="600"/>
              <w:rPr>
                <w:rFonts w:ascii="Times New Roman" w:hAnsi="Times New Roman" w:cs="Times New Roman"/>
                <w:sz w:val="24"/>
              </w:rPr>
            </w:pP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743320">
            <w:pPr>
              <w:pStyle w:val="TableParagraph"/>
              <w:spacing w:before="98"/>
              <w:ind w:left="283"/>
              <w:rPr>
                <w:rFonts w:ascii="Times New Roman" w:hAnsi="Times New Roman" w:cs="Times New Roman"/>
                <w:sz w:val="24"/>
              </w:rPr>
            </w:pPr>
          </w:p>
        </w:tc>
        <w:tc>
          <w:tcPr>
            <w:tcW w:w="5166" w:type="dxa"/>
            <w:tcBorders>
              <w:top w:val="single" w:sz="8" w:space="0" w:color="000000"/>
              <w:bottom w:val="single" w:sz="8" w:space="0" w:color="000000"/>
            </w:tcBorders>
          </w:tcPr>
          <w:p w:rsidR="00743320" w:rsidRPr="00775168" w:rsidRDefault="00743320">
            <w:pPr>
              <w:pStyle w:val="TableParagraph"/>
              <w:spacing w:line="532" w:lineRule="exact"/>
              <w:ind w:left="600"/>
              <w:rPr>
                <w:rFonts w:ascii="Times New Roman" w:hAnsi="Times New Roman" w:cs="Times New Roman"/>
                <w:sz w:val="24"/>
              </w:rPr>
            </w:pPr>
          </w:p>
        </w:tc>
      </w:tr>
      <w:tr w:rsidR="00743320" w:rsidRPr="00775168">
        <w:trPr>
          <w:trHeight w:val="690"/>
          <w:jc w:val="center"/>
        </w:trPr>
        <w:tc>
          <w:tcPr>
            <w:tcW w:w="1726" w:type="dxa"/>
            <w:tcBorders>
              <w:top w:val="single" w:sz="8" w:space="0" w:color="000000"/>
              <w:bottom w:val="single" w:sz="8" w:space="0" w:color="000000"/>
            </w:tcBorders>
          </w:tcPr>
          <w:p w:rsidR="00743320" w:rsidRPr="00775168" w:rsidRDefault="00743320">
            <w:pPr>
              <w:pStyle w:val="TableParagraph"/>
              <w:spacing w:before="98"/>
              <w:ind w:left="283"/>
              <w:rPr>
                <w:rFonts w:ascii="Times New Roman" w:hAnsi="Times New Roman" w:cs="Times New Roman"/>
                <w:sz w:val="24"/>
              </w:rPr>
            </w:pPr>
          </w:p>
        </w:tc>
        <w:tc>
          <w:tcPr>
            <w:tcW w:w="5166" w:type="dxa"/>
            <w:tcBorders>
              <w:top w:val="single" w:sz="8" w:space="0" w:color="000000"/>
              <w:bottom w:val="single" w:sz="8" w:space="0" w:color="000000"/>
            </w:tcBorders>
          </w:tcPr>
          <w:p w:rsidR="00743320" w:rsidRPr="00775168" w:rsidRDefault="00743320">
            <w:pPr>
              <w:pStyle w:val="TableParagraph"/>
              <w:spacing w:line="532" w:lineRule="exact"/>
              <w:ind w:left="600"/>
              <w:rPr>
                <w:rFonts w:ascii="Times New Roman" w:hAnsi="Times New Roman" w:cs="Times New Roman"/>
                <w:sz w:val="24"/>
              </w:rPr>
            </w:pPr>
          </w:p>
        </w:tc>
      </w:tr>
    </w:tbl>
    <w:p w:rsidR="00743320" w:rsidRPr="00775168" w:rsidRDefault="00DF7F26">
      <w:pPr>
        <w:pStyle w:val="P68B1DB1-a08"/>
        <w:spacing w:line="414" w:lineRule="exact"/>
        <w:ind w:firstLineChars="350" w:firstLine="735"/>
        <w:rPr>
          <w:rFonts w:hint="default"/>
        </w:rPr>
      </w:pPr>
      <w:r w:rsidRPr="00775168">
        <w:t xml:space="preserve">Note: See Protocol Modifications and Approvals section for details. </w:t>
      </w: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DF7F26">
      <w:pPr>
        <w:pStyle w:val="P68B1DB1-a014"/>
        <w:widowControl/>
        <w:jc w:val="center"/>
        <w:rPr>
          <w:rFonts w:hint="default"/>
        </w:rPr>
      </w:pPr>
      <w:r w:rsidRPr="00775168">
        <w:lastRenderedPageBreak/>
        <w:t xml:space="preserve">CONTENTS </w:t>
      </w:r>
    </w:p>
    <w:p w:rsidR="00EA1C0E" w:rsidRDefault="00DF7F26">
      <w:pPr>
        <w:pStyle w:val="10"/>
        <w:tabs>
          <w:tab w:val="right" w:leader="dot" w:pos="8296"/>
        </w:tabs>
        <w:rPr>
          <w:rFonts w:asciiTheme="minorHAnsi" w:eastAsiaTheme="minorEastAsia" w:hAnsiTheme="minorHAnsi" w:cstheme="minorBidi"/>
          <w:noProof/>
          <w:szCs w:val="22"/>
        </w:rPr>
      </w:pPr>
      <w:r w:rsidRPr="00775168">
        <w:fldChar w:fldCharType="begin"/>
      </w:r>
      <w:r w:rsidRPr="00775168">
        <w:rPr>
          <w:b/>
          <w:sz w:val="32"/>
        </w:rPr>
        <w:instrText xml:space="preserve"> TOC \o "1-2" \h \z \u </w:instrText>
      </w:r>
      <w:r w:rsidRPr="00775168">
        <w:fldChar w:fldCharType="separate"/>
      </w:r>
      <w:hyperlink w:anchor="_Toc178589649" w:history="1">
        <w:r w:rsidR="00EA1C0E" w:rsidRPr="000C3347">
          <w:rPr>
            <w:rStyle w:val="af4"/>
            <w:noProof/>
          </w:rPr>
          <w:t>Protocol Summary</w:t>
        </w:r>
        <w:r w:rsidR="00EA1C0E">
          <w:rPr>
            <w:noProof/>
            <w:webHidden/>
          </w:rPr>
          <w:tab/>
        </w:r>
        <w:r w:rsidR="00EA1C0E">
          <w:rPr>
            <w:noProof/>
            <w:webHidden/>
          </w:rPr>
          <w:fldChar w:fldCharType="begin"/>
        </w:r>
        <w:r w:rsidR="00EA1C0E">
          <w:rPr>
            <w:noProof/>
            <w:webHidden/>
          </w:rPr>
          <w:instrText xml:space="preserve"> PAGEREF _Toc178589649 \h </w:instrText>
        </w:r>
        <w:r w:rsidR="00EA1C0E">
          <w:rPr>
            <w:noProof/>
            <w:webHidden/>
          </w:rPr>
        </w:r>
        <w:r w:rsidR="00EA1C0E">
          <w:rPr>
            <w:noProof/>
            <w:webHidden/>
          </w:rPr>
          <w:fldChar w:fldCharType="separate"/>
        </w:r>
        <w:r w:rsidR="00EA1C0E">
          <w:rPr>
            <w:noProof/>
            <w:webHidden/>
          </w:rPr>
          <w:t>6</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50" w:history="1">
        <w:r w:rsidR="00EA1C0E" w:rsidRPr="000C3347">
          <w:rPr>
            <w:rStyle w:val="af4"/>
            <w:noProof/>
          </w:rPr>
          <w:t>Dose Modification Rule</w:t>
        </w:r>
        <w:r w:rsidR="00EA1C0E">
          <w:rPr>
            <w:noProof/>
            <w:webHidden/>
          </w:rPr>
          <w:tab/>
        </w:r>
        <w:r w:rsidR="00EA1C0E">
          <w:rPr>
            <w:noProof/>
            <w:webHidden/>
          </w:rPr>
          <w:fldChar w:fldCharType="begin"/>
        </w:r>
        <w:r w:rsidR="00EA1C0E">
          <w:rPr>
            <w:noProof/>
            <w:webHidden/>
          </w:rPr>
          <w:instrText xml:space="preserve"> PAGEREF _Toc178589650 \h </w:instrText>
        </w:r>
        <w:r w:rsidR="00EA1C0E">
          <w:rPr>
            <w:noProof/>
            <w:webHidden/>
          </w:rPr>
        </w:r>
        <w:r w:rsidR="00EA1C0E">
          <w:rPr>
            <w:noProof/>
            <w:webHidden/>
          </w:rPr>
          <w:fldChar w:fldCharType="separate"/>
        </w:r>
        <w:r w:rsidR="00EA1C0E">
          <w:rPr>
            <w:noProof/>
            <w:webHidden/>
          </w:rPr>
          <w:t>16</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51" w:history="1">
        <w:r w:rsidR="00EA1C0E" w:rsidRPr="000C3347">
          <w:rPr>
            <w:rStyle w:val="af4"/>
            <w:noProof/>
          </w:rPr>
          <w:t>Clinical Study Flow Chart</w:t>
        </w:r>
        <w:r w:rsidR="00EA1C0E">
          <w:rPr>
            <w:noProof/>
            <w:webHidden/>
          </w:rPr>
          <w:tab/>
        </w:r>
        <w:r w:rsidR="00EA1C0E">
          <w:rPr>
            <w:noProof/>
            <w:webHidden/>
          </w:rPr>
          <w:fldChar w:fldCharType="begin"/>
        </w:r>
        <w:r w:rsidR="00EA1C0E">
          <w:rPr>
            <w:noProof/>
            <w:webHidden/>
          </w:rPr>
          <w:instrText xml:space="preserve"> PAGEREF _Toc178589651 \h </w:instrText>
        </w:r>
        <w:r w:rsidR="00EA1C0E">
          <w:rPr>
            <w:noProof/>
            <w:webHidden/>
          </w:rPr>
        </w:r>
        <w:r w:rsidR="00EA1C0E">
          <w:rPr>
            <w:noProof/>
            <w:webHidden/>
          </w:rPr>
          <w:fldChar w:fldCharType="separate"/>
        </w:r>
        <w:r w:rsidR="00EA1C0E">
          <w:rPr>
            <w:noProof/>
            <w:webHidden/>
          </w:rPr>
          <w:t>18</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52" w:history="1">
        <w:r w:rsidR="00EA1C0E" w:rsidRPr="000C3347">
          <w:rPr>
            <w:rStyle w:val="af4"/>
            <w:noProof/>
          </w:rPr>
          <w:t>References</w:t>
        </w:r>
        <w:r w:rsidR="00EA1C0E">
          <w:rPr>
            <w:noProof/>
            <w:webHidden/>
          </w:rPr>
          <w:tab/>
        </w:r>
        <w:r w:rsidR="00EA1C0E">
          <w:rPr>
            <w:noProof/>
            <w:webHidden/>
          </w:rPr>
          <w:fldChar w:fldCharType="begin"/>
        </w:r>
        <w:r w:rsidR="00EA1C0E">
          <w:rPr>
            <w:noProof/>
            <w:webHidden/>
          </w:rPr>
          <w:instrText xml:space="preserve"> PAGEREF _Toc178589652 \h </w:instrText>
        </w:r>
        <w:r w:rsidR="00EA1C0E">
          <w:rPr>
            <w:noProof/>
            <w:webHidden/>
          </w:rPr>
        </w:r>
        <w:r w:rsidR="00EA1C0E">
          <w:rPr>
            <w:noProof/>
            <w:webHidden/>
          </w:rPr>
          <w:fldChar w:fldCharType="separate"/>
        </w:r>
        <w:r w:rsidR="00EA1C0E">
          <w:rPr>
            <w:noProof/>
            <w:webHidden/>
          </w:rPr>
          <w:t>35</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53" w:history="1">
        <w:r w:rsidR="00EA1C0E" w:rsidRPr="000C3347">
          <w:rPr>
            <w:rStyle w:val="af4"/>
            <w:noProof/>
          </w:rPr>
          <w:t>List of Abbreviations</w:t>
        </w:r>
        <w:r w:rsidR="00EA1C0E">
          <w:rPr>
            <w:noProof/>
            <w:webHidden/>
          </w:rPr>
          <w:tab/>
        </w:r>
        <w:r w:rsidR="00EA1C0E">
          <w:rPr>
            <w:noProof/>
            <w:webHidden/>
          </w:rPr>
          <w:fldChar w:fldCharType="begin"/>
        </w:r>
        <w:r w:rsidR="00EA1C0E">
          <w:rPr>
            <w:noProof/>
            <w:webHidden/>
          </w:rPr>
          <w:instrText xml:space="preserve"> PAGEREF _Toc178589653 \h </w:instrText>
        </w:r>
        <w:r w:rsidR="00EA1C0E">
          <w:rPr>
            <w:noProof/>
            <w:webHidden/>
          </w:rPr>
        </w:r>
        <w:r w:rsidR="00EA1C0E">
          <w:rPr>
            <w:noProof/>
            <w:webHidden/>
          </w:rPr>
          <w:fldChar w:fldCharType="separate"/>
        </w:r>
        <w:r w:rsidR="00EA1C0E">
          <w:rPr>
            <w:noProof/>
            <w:webHidden/>
          </w:rPr>
          <w:t>36</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54" w:history="1">
        <w:r w:rsidR="00EA1C0E" w:rsidRPr="000C3347">
          <w:rPr>
            <w:rStyle w:val="af4"/>
            <w:noProof/>
          </w:rPr>
          <w:t>1. Study Background</w:t>
        </w:r>
        <w:r w:rsidR="00EA1C0E">
          <w:rPr>
            <w:noProof/>
            <w:webHidden/>
          </w:rPr>
          <w:tab/>
        </w:r>
        <w:r w:rsidR="00EA1C0E">
          <w:rPr>
            <w:noProof/>
            <w:webHidden/>
          </w:rPr>
          <w:fldChar w:fldCharType="begin"/>
        </w:r>
        <w:r w:rsidR="00EA1C0E">
          <w:rPr>
            <w:noProof/>
            <w:webHidden/>
          </w:rPr>
          <w:instrText xml:space="preserve"> PAGEREF _Toc178589654 \h </w:instrText>
        </w:r>
        <w:r w:rsidR="00EA1C0E">
          <w:rPr>
            <w:noProof/>
            <w:webHidden/>
          </w:rPr>
        </w:r>
        <w:r w:rsidR="00EA1C0E">
          <w:rPr>
            <w:noProof/>
            <w:webHidden/>
          </w:rPr>
          <w:fldChar w:fldCharType="separate"/>
        </w:r>
        <w:r w:rsidR="00EA1C0E">
          <w:rPr>
            <w:noProof/>
            <w:webHidden/>
          </w:rPr>
          <w:t>39</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55" w:history="1">
        <w:r w:rsidR="00EA1C0E" w:rsidRPr="000C3347">
          <w:rPr>
            <w:rStyle w:val="af4"/>
            <w:noProof/>
          </w:rPr>
          <w:t>1.1 Study Feasibility</w:t>
        </w:r>
        <w:r w:rsidR="00EA1C0E">
          <w:rPr>
            <w:noProof/>
            <w:webHidden/>
          </w:rPr>
          <w:tab/>
        </w:r>
        <w:r w:rsidR="00EA1C0E">
          <w:rPr>
            <w:noProof/>
            <w:webHidden/>
          </w:rPr>
          <w:fldChar w:fldCharType="begin"/>
        </w:r>
        <w:r w:rsidR="00EA1C0E">
          <w:rPr>
            <w:noProof/>
            <w:webHidden/>
          </w:rPr>
          <w:instrText xml:space="preserve"> PAGEREF _Toc178589655 \h </w:instrText>
        </w:r>
        <w:r w:rsidR="00EA1C0E">
          <w:rPr>
            <w:noProof/>
            <w:webHidden/>
          </w:rPr>
        </w:r>
        <w:r w:rsidR="00EA1C0E">
          <w:rPr>
            <w:noProof/>
            <w:webHidden/>
          </w:rPr>
          <w:fldChar w:fldCharType="separate"/>
        </w:r>
        <w:r w:rsidR="00EA1C0E">
          <w:rPr>
            <w:noProof/>
            <w:webHidden/>
          </w:rPr>
          <w:t>39</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56" w:history="1">
        <w:r w:rsidR="00EA1C0E" w:rsidRPr="000C3347">
          <w:rPr>
            <w:rStyle w:val="af4"/>
            <w:rFonts w:cs="宋体"/>
            <w:noProof/>
          </w:rPr>
          <w:t>1.2 Background of Anlotinib Development</w:t>
        </w:r>
        <w:r w:rsidR="00EA1C0E">
          <w:rPr>
            <w:noProof/>
            <w:webHidden/>
          </w:rPr>
          <w:tab/>
        </w:r>
        <w:r w:rsidR="00EA1C0E">
          <w:rPr>
            <w:noProof/>
            <w:webHidden/>
          </w:rPr>
          <w:fldChar w:fldCharType="begin"/>
        </w:r>
        <w:r w:rsidR="00EA1C0E">
          <w:rPr>
            <w:noProof/>
            <w:webHidden/>
          </w:rPr>
          <w:instrText xml:space="preserve"> PAGEREF _Toc178589656 \h </w:instrText>
        </w:r>
        <w:r w:rsidR="00EA1C0E">
          <w:rPr>
            <w:noProof/>
            <w:webHidden/>
          </w:rPr>
        </w:r>
        <w:r w:rsidR="00EA1C0E">
          <w:rPr>
            <w:noProof/>
            <w:webHidden/>
          </w:rPr>
          <w:fldChar w:fldCharType="separate"/>
        </w:r>
        <w:r w:rsidR="00EA1C0E">
          <w:rPr>
            <w:noProof/>
            <w:webHidden/>
          </w:rPr>
          <w:t>44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57" w:history="1">
        <w:r w:rsidR="00EA1C0E" w:rsidRPr="000C3347">
          <w:rPr>
            <w:rStyle w:val="af4"/>
            <w:rFonts w:cs="宋体"/>
            <w:noProof/>
          </w:rPr>
          <w:t>1.3 Preclinical Study Results for Anlotinib</w:t>
        </w:r>
        <w:r w:rsidR="00EA1C0E">
          <w:rPr>
            <w:noProof/>
            <w:webHidden/>
          </w:rPr>
          <w:tab/>
        </w:r>
        <w:r w:rsidR="00EA1C0E">
          <w:rPr>
            <w:noProof/>
            <w:webHidden/>
          </w:rPr>
          <w:fldChar w:fldCharType="begin"/>
        </w:r>
        <w:r w:rsidR="00EA1C0E">
          <w:rPr>
            <w:noProof/>
            <w:webHidden/>
          </w:rPr>
          <w:instrText xml:space="preserve"> PAGEREF _Toc178589657 \h </w:instrText>
        </w:r>
        <w:r w:rsidR="00EA1C0E">
          <w:rPr>
            <w:noProof/>
            <w:webHidden/>
          </w:rPr>
        </w:r>
        <w:r w:rsidR="00EA1C0E">
          <w:rPr>
            <w:noProof/>
            <w:webHidden/>
          </w:rPr>
          <w:fldChar w:fldCharType="separate"/>
        </w:r>
        <w:r w:rsidR="00EA1C0E">
          <w:rPr>
            <w:noProof/>
            <w:webHidden/>
          </w:rPr>
          <w:t>45</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58" w:history="1">
        <w:r w:rsidR="00EA1C0E" w:rsidRPr="000C3347">
          <w:rPr>
            <w:rStyle w:val="af4"/>
            <w:rFonts w:cs="宋体"/>
            <w:noProof/>
          </w:rPr>
          <w:t>1.4 Phase I Tolerability and Preliminary Efficacy Results</w:t>
        </w:r>
        <w:r w:rsidR="00EA1C0E">
          <w:rPr>
            <w:noProof/>
            <w:webHidden/>
          </w:rPr>
          <w:tab/>
        </w:r>
        <w:r w:rsidR="00EA1C0E">
          <w:rPr>
            <w:noProof/>
            <w:webHidden/>
          </w:rPr>
          <w:fldChar w:fldCharType="begin"/>
        </w:r>
        <w:r w:rsidR="00EA1C0E">
          <w:rPr>
            <w:noProof/>
            <w:webHidden/>
          </w:rPr>
          <w:instrText xml:space="preserve"> PAGEREF _Toc178589658 \h </w:instrText>
        </w:r>
        <w:r w:rsidR="00EA1C0E">
          <w:rPr>
            <w:noProof/>
            <w:webHidden/>
          </w:rPr>
        </w:r>
        <w:r w:rsidR="00EA1C0E">
          <w:rPr>
            <w:noProof/>
            <w:webHidden/>
          </w:rPr>
          <w:fldChar w:fldCharType="separate"/>
        </w:r>
        <w:r w:rsidR="00EA1C0E">
          <w:rPr>
            <w:noProof/>
            <w:webHidden/>
          </w:rPr>
          <w:t>48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59" w:history="1">
        <w:r w:rsidR="00EA1C0E" w:rsidRPr="000C3347">
          <w:rPr>
            <w:rStyle w:val="af4"/>
            <w:rFonts w:cs="宋体"/>
            <w:noProof/>
          </w:rPr>
          <w:t>1.5 Phase II Clinical Study Results of Anlotinib in the Treatment of Advanced Cell Lung Cancer</w:t>
        </w:r>
        <w:r w:rsidR="00EA1C0E">
          <w:rPr>
            <w:noProof/>
            <w:webHidden/>
          </w:rPr>
          <w:tab/>
        </w:r>
        <w:r w:rsidR="00EA1C0E">
          <w:rPr>
            <w:noProof/>
            <w:webHidden/>
          </w:rPr>
          <w:fldChar w:fldCharType="begin"/>
        </w:r>
        <w:r w:rsidR="00EA1C0E">
          <w:rPr>
            <w:noProof/>
            <w:webHidden/>
          </w:rPr>
          <w:instrText xml:space="preserve"> PAGEREF _Toc178589659 \h </w:instrText>
        </w:r>
        <w:r w:rsidR="00EA1C0E">
          <w:rPr>
            <w:noProof/>
            <w:webHidden/>
          </w:rPr>
        </w:r>
        <w:r w:rsidR="00EA1C0E">
          <w:rPr>
            <w:noProof/>
            <w:webHidden/>
          </w:rPr>
          <w:fldChar w:fldCharType="separate"/>
        </w:r>
        <w:r w:rsidR="00EA1C0E">
          <w:rPr>
            <w:noProof/>
            <w:webHidden/>
          </w:rPr>
          <w:t>51</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60" w:history="1">
        <w:r w:rsidR="00EA1C0E" w:rsidRPr="000C3347">
          <w:rPr>
            <w:rStyle w:val="af4"/>
            <w:noProof/>
          </w:rPr>
          <w:t>2. Study Objectives</w:t>
        </w:r>
        <w:r w:rsidR="00EA1C0E">
          <w:rPr>
            <w:noProof/>
            <w:webHidden/>
          </w:rPr>
          <w:tab/>
        </w:r>
        <w:r w:rsidR="00EA1C0E">
          <w:rPr>
            <w:noProof/>
            <w:webHidden/>
          </w:rPr>
          <w:fldChar w:fldCharType="begin"/>
        </w:r>
        <w:r w:rsidR="00EA1C0E">
          <w:rPr>
            <w:noProof/>
            <w:webHidden/>
          </w:rPr>
          <w:instrText xml:space="preserve"> PAGEREF _Toc178589660 \h </w:instrText>
        </w:r>
        <w:r w:rsidR="00EA1C0E">
          <w:rPr>
            <w:noProof/>
            <w:webHidden/>
          </w:rPr>
        </w:r>
        <w:r w:rsidR="00EA1C0E">
          <w:rPr>
            <w:noProof/>
            <w:webHidden/>
          </w:rPr>
          <w:fldChar w:fldCharType="separate"/>
        </w:r>
        <w:r w:rsidR="00EA1C0E">
          <w:rPr>
            <w:noProof/>
            <w:webHidden/>
          </w:rPr>
          <w:t>55</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61" w:history="1">
        <w:r w:rsidR="00EA1C0E" w:rsidRPr="000C3347">
          <w:rPr>
            <w:rStyle w:val="af4"/>
            <w:noProof/>
          </w:rPr>
          <w:t>2.1 Primary Objectives</w:t>
        </w:r>
        <w:r w:rsidR="00EA1C0E">
          <w:rPr>
            <w:noProof/>
            <w:webHidden/>
          </w:rPr>
          <w:tab/>
        </w:r>
        <w:r w:rsidR="00EA1C0E">
          <w:rPr>
            <w:noProof/>
            <w:webHidden/>
          </w:rPr>
          <w:fldChar w:fldCharType="begin"/>
        </w:r>
        <w:r w:rsidR="00EA1C0E">
          <w:rPr>
            <w:noProof/>
            <w:webHidden/>
          </w:rPr>
          <w:instrText xml:space="preserve"> PAGEREF _Toc178589661 \h </w:instrText>
        </w:r>
        <w:r w:rsidR="00EA1C0E">
          <w:rPr>
            <w:noProof/>
            <w:webHidden/>
          </w:rPr>
        </w:r>
        <w:r w:rsidR="00EA1C0E">
          <w:rPr>
            <w:noProof/>
            <w:webHidden/>
          </w:rPr>
          <w:fldChar w:fldCharType="separate"/>
        </w:r>
        <w:r w:rsidR="00EA1C0E">
          <w:rPr>
            <w:noProof/>
            <w:webHidden/>
          </w:rPr>
          <w:t>55</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62" w:history="1">
        <w:r w:rsidR="00EA1C0E" w:rsidRPr="000C3347">
          <w:rPr>
            <w:rStyle w:val="af4"/>
            <w:noProof/>
          </w:rPr>
          <w:t>2.2 Secondary Objectives</w:t>
        </w:r>
        <w:r w:rsidR="00EA1C0E">
          <w:rPr>
            <w:noProof/>
            <w:webHidden/>
          </w:rPr>
          <w:tab/>
        </w:r>
        <w:r w:rsidR="00EA1C0E">
          <w:rPr>
            <w:noProof/>
            <w:webHidden/>
          </w:rPr>
          <w:fldChar w:fldCharType="begin"/>
        </w:r>
        <w:r w:rsidR="00EA1C0E">
          <w:rPr>
            <w:noProof/>
            <w:webHidden/>
          </w:rPr>
          <w:instrText xml:space="preserve"> PAGEREF _Toc178589662 \h </w:instrText>
        </w:r>
        <w:r w:rsidR="00EA1C0E">
          <w:rPr>
            <w:noProof/>
            <w:webHidden/>
          </w:rPr>
        </w:r>
        <w:r w:rsidR="00EA1C0E">
          <w:rPr>
            <w:noProof/>
            <w:webHidden/>
          </w:rPr>
          <w:fldChar w:fldCharType="separate"/>
        </w:r>
        <w:r w:rsidR="00EA1C0E">
          <w:rPr>
            <w:noProof/>
            <w:webHidden/>
          </w:rPr>
          <w:t>55</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63" w:history="1">
        <w:r w:rsidR="00EA1C0E" w:rsidRPr="000C3347">
          <w:rPr>
            <w:rStyle w:val="af4"/>
            <w:noProof/>
          </w:rPr>
          <w:t>2.3 Exploratory Objectives</w:t>
        </w:r>
        <w:r w:rsidR="00EA1C0E">
          <w:rPr>
            <w:noProof/>
            <w:webHidden/>
          </w:rPr>
          <w:tab/>
        </w:r>
        <w:r w:rsidR="00EA1C0E">
          <w:rPr>
            <w:noProof/>
            <w:webHidden/>
          </w:rPr>
          <w:fldChar w:fldCharType="begin"/>
        </w:r>
        <w:r w:rsidR="00EA1C0E">
          <w:rPr>
            <w:noProof/>
            <w:webHidden/>
          </w:rPr>
          <w:instrText xml:space="preserve"> PAGEREF _Toc178589663 \h </w:instrText>
        </w:r>
        <w:r w:rsidR="00EA1C0E">
          <w:rPr>
            <w:noProof/>
            <w:webHidden/>
          </w:rPr>
        </w:r>
        <w:r w:rsidR="00EA1C0E">
          <w:rPr>
            <w:noProof/>
            <w:webHidden/>
          </w:rPr>
          <w:fldChar w:fldCharType="separate"/>
        </w:r>
        <w:r w:rsidR="00EA1C0E">
          <w:rPr>
            <w:noProof/>
            <w:webHidden/>
          </w:rPr>
          <w:t>55</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64" w:history="1">
        <w:r w:rsidR="00EA1C0E" w:rsidRPr="000C3347">
          <w:rPr>
            <w:rStyle w:val="af4"/>
            <w:noProof/>
          </w:rPr>
          <w:t>3. Trial Design</w:t>
        </w:r>
        <w:r w:rsidR="00EA1C0E">
          <w:rPr>
            <w:noProof/>
            <w:webHidden/>
          </w:rPr>
          <w:tab/>
        </w:r>
        <w:r w:rsidR="00EA1C0E">
          <w:rPr>
            <w:noProof/>
            <w:webHidden/>
          </w:rPr>
          <w:fldChar w:fldCharType="begin"/>
        </w:r>
        <w:r w:rsidR="00EA1C0E">
          <w:rPr>
            <w:noProof/>
            <w:webHidden/>
          </w:rPr>
          <w:instrText xml:space="preserve"> PAGEREF _Toc178589664 \h </w:instrText>
        </w:r>
        <w:r w:rsidR="00EA1C0E">
          <w:rPr>
            <w:noProof/>
            <w:webHidden/>
          </w:rPr>
        </w:r>
        <w:r w:rsidR="00EA1C0E">
          <w:rPr>
            <w:noProof/>
            <w:webHidden/>
          </w:rPr>
          <w:fldChar w:fldCharType="separate"/>
        </w:r>
        <w:r w:rsidR="00EA1C0E">
          <w:rPr>
            <w:noProof/>
            <w:webHidden/>
          </w:rPr>
          <w:t>56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65" w:history="1">
        <w:r w:rsidR="00EA1C0E" w:rsidRPr="000C3347">
          <w:rPr>
            <w:rStyle w:val="af4"/>
            <w:rFonts w:cs="宋体"/>
            <w:noProof/>
          </w:rPr>
          <w:t>3.1 Overall Design</w:t>
        </w:r>
        <w:r w:rsidR="00EA1C0E">
          <w:rPr>
            <w:noProof/>
            <w:webHidden/>
          </w:rPr>
          <w:tab/>
        </w:r>
        <w:r w:rsidR="00EA1C0E">
          <w:rPr>
            <w:noProof/>
            <w:webHidden/>
          </w:rPr>
          <w:fldChar w:fldCharType="begin"/>
        </w:r>
        <w:r w:rsidR="00EA1C0E">
          <w:rPr>
            <w:noProof/>
            <w:webHidden/>
          </w:rPr>
          <w:instrText xml:space="preserve"> PAGEREF _Toc178589665 \h </w:instrText>
        </w:r>
        <w:r w:rsidR="00EA1C0E">
          <w:rPr>
            <w:noProof/>
            <w:webHidden/>
          </w:rPr>
        </w:r>
        <w:r w:rsidR="00EA1C0E">
          <w:rPr>
            <w:noProof/>
            <w:webHidden/>
          </w:rPr>
          <w:fldChar w:fldCharType="separate"/>
        </w:r>
        <w:r w:rsidR="00EA1C0E">
          <w:rPr>
            <w:noProof/>
            <w:webHidden/>
          </w:rPr>
          <w:t>56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66" w:history="1">
        <w:r w:rsidR="00EA1C0E" w:rsidRPr="000C3347">
          <w:rPr>
            <w:rStyle w:val="af4"/>
            <w:rFonts w:cs="宋体"/>
            <w:noProof/>
          </w:rPr>
          <w:t>3.2 Type of Comparison</w:t>
        </w:r>
        <w:r w:rsidR="00EA1C0E">
          <w:rPr>
            <w:noProof/>
            <w:webHidden/>
          </w:rPr>
          <w:tab/>
        </w:r>
        <w:r w:rsidR="00EA1C0E">
          <w:rPr>
            <w:noProof/>
            <w:webHidden/>
          </w:rPr>
          <w:fldChar w:fldCharType="begin"/>
        </w:r>
        <w:r w:rsidR="00EA1C0E">
          <w:rPr>
            <w:noProof/>
            <w:webHidden/>
          </w:rPr>
          <w:instrText xml:space="preserve"> PAGEREF _Toc178589666 \h </w:instrText>
        </w:r>
        <w:r w:rsidR="00EA1C0E">
          <w:rPr>
            <w:noProof/>
            <w:webHidden/>
          </w:rPr>
        </w:r>
        <w:r w:rsidR="00EA1C0E">
          <w:rPr>
            <w:noProof/>
            <w:webHidden/>
          </w:rPr>
          <w:fldChar w:fldCharType="separate"/>
        </w:r>
        <w:r w:rsidR="00EA1C0E">
          <w:rPr>
            <w:noProof/>
            <w:webHidden/>
          </w:rPr>
          <w:t>56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67" w:history="1">
        <w:r w:rsidR="00EA1C0E" w:rsidRPr="000C3347">
          <w:rPr>
            <w:rStyle w:val="af4"/>
            <w:rFonts w:cs="宋体"/>
            <w:noProof/>
          </w:rPr>
          <w:t>3.3 Sample Size Calculation</w:t>
        </w:r>
        <w:r w:rsidR="00EA1C0E">
          <w:rPr>
            <w:noProof/>
            <w:webHidden/>
          </w:rPr>
          <w:tab/>
        </w:r>
        <w:r w:rsidR="00EA1C0E">
          <w:rPr>
            <w:noProof/>
            <w:webHidden/>
          </w:rPr>
          <w:fldChar w:fldCharType="begin"/>
        </w:r>
        <w:r w:rsidR="00EA1C0E">
          <w:rPr>
            <w:noProof/>
            <w:webHidden/>
          </w:rPr>
          <w:instrText xml:space="preserve"> PAGEREF _Toc178589667 \h </w:instrText>
        </w:r>
        <w:r w:rsidR="00EA1C0E">
          <w:rPr>
            <w:noProof/>
            <w:webHidden/>
          </w:rPr>
        </w:r>
        <w:r w:rsidR="00EA1C0E">
          <w:rPr>
            <w:noProof/>
            <w:webHidden/>
          </w:rPr>
          <w:fldChar w:fldCharType="separate"/>
        </w:r>
        <w:r w:rsidR="00EA1C0E">
          <w:rPr>
            <w:noProof/>
            <w:webHidden/>
          </w:rPr>
          <w:t>56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68" w:history="1">
        <w:r w:rsidR="00EA1C0E" w:rsidRPr="000C3347">
          <w:rPr>
            <w:rStyle w:val="af4"/>
            <w:rFonts w:cs="宋体"/>
            <w:noProof/>
          </w:rPr>
          <w:t>3.4 Dosing Regimen</w:t>
        </w:r>
        <w:r w:rsidR="00EA1C0E">
          <w:rPr>
            <w:noProof/>
            <w:webHidden/>
          </w:rPr>
          <w:tab/>
        </w:r>
        <w:r w:rsidR="00EA1C0E">
          <w:rPr>
            <w:noProof/>
            <w:webHidden/>
          </w:rPr>
          <w:fldChar w:fldCharType="begin"/>
        </w:r>
        <w:r w:rsidR="00EA1C0E">
          <w:rPr>
            <w:noProof/>
            <w:webHidden/>
          </w:rPr>
          <w:instrText xml:space="preserve"> PAGEREF _Toc178589668 \h </w:instrText>
        </w:r>
        <w:r w:rsidR="00EA1C0E">
          <w:rPr>
            <w:noProof/>
            <w:webHidden/>
          </w:rPr>
        </w:r>
        <w:r w:rsidR="00EA1C0E">
          <w:rPr>
            <w:noProof/>
            <w:webHidden/>
          </w:rPr>
          <w:fldChar w:fldCharType="separate"/>
        </w:r>
        <w:r w:rsidR="00EA1C0E">
          <w:rPr>
            <w:noProof/>
            <w:webHidden/>
          </w:rPr>
          <w:t>56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69" w:history="1">
        <w:r w:rsidR="00EA1C0E" w:rsidRPr="000C3347">
          <w:rPr>
            <w:rStyle w:val="af4"/>
            <w:rFonts w:cs="宋体"/>
            <w:noProof/>
          </w:rPr>
          <w:t>3.5 Efficacy Evaluation and Analysis</w:t>
        </w:r>
        <w:r w:rsidR="00EA1C0E">
          <w:rPr>
            <w:noProof/>
            <w:webHidden/>
          </w:rPr>
          <w:tab/>
        </w:r>
        <w:r w:rsidR="00EA1C0E">
          <w:rPr>
            <w:noProof/>
            <w:webHidden/>
          </w:rPr>
          <w:fldChar w:fldCharType="begin"/>
        </w:r>
        <w:r w:rsidR="00EA1C0E">
          <w:rPr>
            <w:noProof/>
            <w:webHidden/>
          </w:rPr>
          <w:instrText xml:space="preserve"> PAGEREF _Toc178589669 \h </w:instrText>
        </w:r>
        <w:r w:rsidR="00EA1C0E">
          <w:rPr>
            <w:noProof/>
            <w:webHidden/>
          </w:rPr>
        </w:r>
        <w:r w:rsidR="00EA1C0E">
          <w:rPr>
            <w:noProof/>
            <w:webHidden/>
          </w:rPr>
          <w:fldChar w:fldCharType="separate"/>
        </w:r>
        <w:r w:rsidR="00EA1C0E">
          <w:rPr>
            <w:noProof/>
            <w:webHidden/>
          </w:rPr>
          <w:t>57</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70" w:history="1">
        <w:r w:rsidR="00EA1C0E" w:rsidRPr="000C3347">
          <w:rPr>
            <w:rStyle w:val="af4"/>
            <w:rFonts w:cs="宋体"/>
            <w:noProof/>
          </w:rPr>
          <w:t>3.6 Survival Follow-up</w:t>
        </w:r>
        <w:r w:rsidR="00EA1C0E">
          <w:rPr>
            <w:noProof/>
            <w:webHidden/>
          </w:rPr>
          <w:tab/>
        </w:r>
        <w:r w:rsidR="00EA1C0E">
          <w:rPr>
            <w:noProof/>
            <w:webHidden/>
          </w:rPr>
          <w:fldChar w:fldCharType="begin"/>
        </w:r>
        <w:r w:rsidR="00EA1C0E">
          <w:rPr>
            <w:noProof/>
            <w:webHidden/>
          </w:rPr>
          <w:instrText xml:space="preserve"> PAGEREF _Toc178589670 \h </w:instrText>
        </w:r>
        <w:r w:rsidR="00EA1C0E">
          <w:rPr>
            <w:noProof/>
            <w:webHidden/>
          </w:rPr>
        </w:r>
        <w:r w:rsidR="00EA1C0E">
          <w:rPr>
            <w:noProof/>
            <w:webHidden/>
          </w:rPr>
          <w:fldChar w:fldCharType="separate"/>
        </w:r>
        <w:r w:rsidR="00EA1C0E">
          <w:rPr>
            <w:noProof/>
            <w:webHidden/>
          </w:rPr>
          <w:t>57</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71" w:history="1">
        <w:r w:rsidR="00EA1C0E" w:rsidRPr="000C3347">
          <w:rPr>
            <w:rStyle w:val="af4"/>
            <w:rFonts w:cs="宋体"/>
            <w:noProof/>
          </w:rPr>
          <w:t>3.7 Follow-up of Adverse Events</w:t>
        </w:r>
        <w:r w:rsidR="00EA1C0E">
          <w:rPr>
            <w:noProof/>
            <w:webHidden/>
          </w:rPr>
          <w:tab/>
        </w:r>
        <w:r w:rsidR="00EA1C0E">
          <w:rPr>
            <w:noProof/>
            <w:webHidden/>
          </w:rPr>
          <w:fldChar w:fldCharType="begin"/>
        </w:r>
        <w:r w:rsidR="00EA1C0E">
          <w:rPr>
            <w:noProof/>
            <w:webHidden/>
          </w:rPr>
          <w:instrText xml:space="preserve"> PAGEREF _Toc178589671 \h </w:instrText>
        </w:r>
        <w:r w:rsidR="00EA1C0E">
          <w:rPr>
            <w:noProof/>
            <w:webHidden/>
          </w:rPr>
        </w:r>
        <w:r w:rsidR="00EA1C0E">
          <w:rPr>
            <w:noProof/>
            <w:webHidden/>
          </w:rPr>
          <w:fldChar w:fldCharType="separate"/>
        </w:r>
        <w:r w:rsidR="00EA1C0E">
          <w:rPr>
            <w:noProof/>
            <w:webHidden/>
          </w:rPr>
          <w:t>57</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72" w:history="1">
        <w:r w:rsidR="00EA1C0E" w:rsidRPr="000C3347">
          <w:rPr>
            <w:rStyle w:val="af4"/>
            <w:noProof/>
          </w:rPr>
          <w:t>4. Selection and Withdrawal of Subjects</w:t>
        </w:r>
        <w:r w:rsidR="00EA1C0E">
          <w:rPr>
            <w:noProof/>
            <w:webHidden/>
          </w:rPr>
          <w:tab/>
        </w:r>
        <w:r w:rsidR="00EA1C0E">
          <w:rPr>
            <w:noProof/>
            <w:webHidden/>
          </w:rPr>
          <w:fldChar w:fldCharType="begin"/>
        </w:r>
        <w:r w:rsidR="00EA1C0E">
          <w:rPr>
            <w:noProof/>
            <w:webHidden/>
          </w:rPr>
          <w:instrText xml:space="preserve"> PAGEREF _Toc178589672 \h </w:instrText>
        </w:r>
        <w:r w:rsidR="00EA1C0E">
          <w:rPr>
            <w:noProof/>
            <w:webHidden/>
          </w:rPr>
        </w:r>
        <w:r w:rsidR="00EA1C0E">
          <w:rPr>
            <w:noProof/>
            <w:webHidden/>
          </w:rPr>
          <w:fldChar w:fldCharType="separate"/>
        </w:r>
        <w:r w:rsidR="00EA1C0E">
          <w:rPr>
            <w:noProof/>
            <w:webHidden/>
          </w:rPr>
          <w:t>58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73" w:history="1">
        <w:r w:rsidR="00EA1C0E" w:rsidRPr="000C3347">
          <w:rPr>
            <w:rStyle w:val="af4"/>
            <w:rFonts w:cs="宋体"/>
            <w:noProof/>
          </w:rPr>
          <w:t>4.1 Inclusion criteria</w:t>
        </w:r>
        <w:r w:rsidR="00EA1C0E">
          <w:rPr>
            <w:noProof/>
            <w:webHidden/>
          </w:rPr>
          <w:tab/>
        </w:r>
        <w:r w:rsidR="00EA1C0E">
          <w:rPr>
            <w:noProof/>
            <w:webHidden/>
          </w:rPr>
          <w:fldChar w:fldCharType="begin"/>
        </w:r>
        <w:r w:rsidR="00EA1C0E">
          <w:rPr>
            <w:noProof/>
            <w:webHidden/>
          </w:rPr>
          <w:instrText xml:space="preserve"> PAGEREF _Toc178589673 \h </w:instrText>
        </w:r>
        <w:r w:rsidR="00EA1C0E">
          <w:rPr>
            <w:noProof/>
            <w:webHidden/>
          </w:rPr>
        </w:r>
        <w:r w:rsidR="00EA1C0E">
          <w:rPr>
            <w:noProof/>
            <w:webHidden/>
          </w:rPr>
          <w:fldChar w:fldCharType="separate"/>
        </w:r>
        <w:r w:rsidR="00EA1C0E">
          <w:rPr>
            <w:noProof/>
            <w:webHidden/>
          </w:rPr>
          <w:t>58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74" w:history="1">
        <w:r w:rsidR="00EA1C0E" w:rsidRPr="000C3347">
          <w:rPr>
            <w:rStyle w:val="af4"/>
            <w:rFonts w:cs="宋体"/>
            <w:noProof/>
          </w:rPr>
          <w:t>4.2 Exclusion Criteria:</w:t>
        </w:r>
        <w:r w:rsidR="00EA1C0E">
          <w:rPr>
            <w:noProof/>
            <w:webHidden/>
          </w:rPr>
          <w:tab/>
        </w:r>
        <w:r w:rsidR="00EA1C0E">
          <w:rPr>
            <w:noProof/>
            <w:webHidden/>
          </w:rPr>
          <w:fldChar w:fldCharType="begin"/>
        </w:r>
        <w:r w:rsidR="00EA1C0E">
          <w:rPr>
            <w:noProof/>
            <w:webHidden/>
          </w:rPr>
          <w:instrText xml:space="preserve"> PAGEREF _Toc178589674 \h </w:instrText>
        </w:r>
        <w:r w:rsidR="00EA1C0E">
          <w:rPr>
            <w:noProof/>
            <w:webHidden/>
          </w:rPr>
        </w:r>
        <w:r w:rsidR="00EA1C0E">
          <w:rPr>
            <w:noProof/>
            <w:webHidden/>
          </w:rPr>
          <w:fldChar w:fldCharType="separate"/>
        </w:r>
        <w:r w:rsidR="00EA1C0E">
          <w:rPr>
            <w:noProof/>
            <w:webHidden/>
          </w:rPr>
          <w:t>59</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75" w:history="1">
        <w:r w:rsidR="00EA1C0E" w:rsidRPr="000C3347">
          <w:rPr>
            <w:rStyle w:val="af4"/>
            <w:rFonts w:cs="宋体"/>
            <w:noProof/>
          </w:rPr>
          <w:t>4.3 Dropout/Removal Criteria</w:t>
        </w:r>
        <w:r w:rsidR="00EA1C0E">
          <w:rPr>
            <w:noProof/>
            <w:webHidden/>
          </w:rPr>
          <w:tab/>
        </w:r>
        <w:r w:rsidR="00EA1C0E">
          <w:rPr>
            <w:noProof/>
            <w:webHidden/>
          </w:rPr>
          <w:fldChar w:fldCharType="begin"/>
        </w:r>
        <w:r w:rsidR="00EA1C0E">
          <w:rPr>
            <w:noProof/>
            <w:webHidden/>
          </w:rPr>
          <w:instrText xml:space="preserve"> PAGEREF _Toc178589675 \h </w:instrText>
        </w:r>
        <w:r w:rsidR="00EA1C0E">
          <w:rPr>
            <w:noProof/>
            <w:webHidden/>
          </w:rPr>
        </w:r>
        <w:r w:rsidR="00EA1C0E">
          <w:rPr>
            <w:noProof/>
            <w:webHidden/>
          </w:rPr>
          <w:fldChar w:fldCharType="separate"/>
        </w:r>
        <w:r w:rsidR="00EA1C0E">
          <w:rPr>
            <w:noProof/>
            <w:webHidden/>
          </w:rPr>
          <w:t>62</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76" w:history="1">
        <w:r w:rsidR="00EA1C0E" w:rsidRPr="000C3347">
          <w:rPr>
            <w:rStyle w:val="af4"/>
            <w:rFonts w:cs="宋体"/>
            <w:noProof/>
          </w:rPr>
          <w:t>4.4 Withdrawal of Subjects</w:t>
        </w:r>
        <w:r w:rsidR="00EA1C0E">
          <w:rPr>
            <w:noProof/>
            <w:webHidden/>
          </w:rPr>
          <w:tab/>
        </w:r>
        <w:r w:rsidR="00EA1C0E">
          <w:rPr>
            <w:noProof/>
            <w:webHidden/>
          </w:rPr>
          <w:fldChar w:fldCharType="begin"/>
        </w:r>
        <w:r w:rsidR="00EA1C0E">
          <w:rPr>
            <w:noProof/>
            <w:webHidden/>
          </w:rPr>
          <w:instrText xml:space="preserve"> PAGEREF _Toc178589676 \h </w:instrText>
        </w:r>
        <w:r w:rsidR="00EA1C0E">
          <w:rPr>
            <w:noProof/>
            <w:webHidden/>
          </w:rPr>
        </w:r>
        <w:r w:rsidR="00EA1C0E">
          <w:rPr>
            <w:noProof/>
            <w:webHidden/>
          </w:rPr>
          <w:fldChar w:fldCharType="separate"/>
        </w:r>
        <w:r w:rsidR="00EA1C0E">
          <w:rPr>
            <w:noProof/>
            <w:webHidden/>
          </w:rPr>
          <w:t>62</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77" w:history="1">
        <w:r w:rsidR="00EA1C0E" w:rsidRPr="000C3347">
          <w:rPr>
            <w:rStyle w:val="af4"/>
            <w:rFonts w:cs="宋体"/>
            <w:noProof/>
          </w:rPr>
          <w:t>4.5 Termination Criteria</w:t>
        </w:r>
        <w:r w:rsidR="00EA1C0E">
          <w:rPr>
            <w:noProof/>
            <w:webHidden/>
          </w:rPr>
          <w:tab/>
        </w:r>
        <w:r w:rsidR="00EA1C0E">
          <w:rPr>
            <w:noProof/>
            <w:webHidden/>
          </w:rPr>
          <w:fldChar w:fldCharType="begin"/>
        </w:r>
        <w:r w:rsidR="00EA1C0E">
          <w:rPr>
            <w:noProof/>
            <w:webHidden/>
          </w:rPr>
          <w:instrText xml:space="preserve"> PAGEREF _Toc178589677 \h </w:instrText>
        </w:r>
        <w:r w:rsidR="00EA1C0E">
          <w:rPr>
            <w:noProof/>
            <w:webHidden/>
          </w:rPr>
        </w:r>
        <w:r w:rsidR="00EA1C0E">
          <w:rPr>
            <w:noProof/>
            <w:webHidden/>
          </w:rPr>
          <w:fldChar w:fldCharType="separate"/>
        </w:r>
        <w:r w:rsidR="00EA1C0E">
          <w:rPr>
            <w:noProof/>
            <w:webHidden/>
          </w:rPr>
          <w:t>63</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78" w:history="1">
        <w:r w:rsidR="00EA1C0E" w:rsidRPr="000C3347">
          <w:rPr>
            <w:rStyle w:val="af4"/>
            <w:noProof/>
          </w:rPr>
          <w:t>5. Study Drug</w:t>
        </w:r>
        <w:r w:rsidR="00EA1C0E">
          <w:rPr>
            <w:noProof/>
            <w:webHidden/>
          </w:rPr>
          <w:tab/>
        </w:r>
        <w:r w:rsidR="00EA1C0E">
          <w:rPr>
            <w:noProof/>
            <w:webHidden/>
          </w:rPr>
          <w:fldChar w:fldCharType="begin"/>
        </w:r>
        <w:r w:rsidR="00EA1C0E">
          <w:rPr>
            <w:noProof/>
            <w:webHidden/>
          </w:rPr>
          <w:instrText xml:space="preserve"> PAGEREF _Toc178589678 \h </w:instrText>
        </w:r>
        <w:r w:rsidR="00EA1C0E">
          <w:rPr>
            <w:noProof/>
            <w:webHidden/>
          </w:rPr>
        </w:r>
        <w:r w:rsidR="00EA1C0E">
          <w:rPr>
            <w:noProof/>
            <w:webHidden/>
          </w:rPr>
          <w:fldChar w:fldCharType="separate"/>
        </w:r>
        <w:r w:rsidR="00EA1C0E">
          <w:rPr>
            <w:noProof/>
            <w:webHidden/>
          </w:rPr>
          <w:t>63</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79" w:history="1">
        <w:r w:rsidR="00EA1C0E" w:rsidRPr="000C3347">
          <w:rPr>
            <w:rStyle w:val="af4"/>
            <w:rFonts w:cs="宋体"/>
            <w:noProof/>
          </w:rPr>
          <w:t>5.1 Overview of Investigational Products</w:t>
        </w:r>
        <w:r w:rsidR="00EA1C0E">
          <w:rPr>
            <w:noProof/>
            <w:webHidden/>
          </w:rPr>
          <w:tab/>
        </w:r>
        <w:r w:rsidR="00EA1C0E">
          <w:rPr>
            <w:noProof/>
            <w:webHidden/>
          </w:rPr>
          <w:fldChar w:fldCharType="begin"/>
        </w:r>
        <w:r w:rsidR="00EA1C0E">
          <w:rPr>
            <w:noProof/>
            <w:webHidden/>
          </w:rPr>
          <w:instrText xml:space="preserve"> PAGEREF _Toc178589679 \h </w:instrText>
        </w:r>
        <w:r w:rsidR="00EA1C0E">
          <w:rPr>
            <w:noProof/>
            <w:webHidden/>
          </w:rPr>
        </w:r>
        <w:r w:rsidR="00EA1C0E">
          <w:rPr>
            <w:noProof/>
            <w:webHidden/>
          </w:rPr>
          <w:fldChar w:fldCharType="separate"/>
        </w:r>
        <w:r w:rsidR="00EA1C0E">
          <w:rPr>
            <w:noProof/>
            <w:webHidden/>
          </w:rPr>
          <w:t>63</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0" w:history="1">
        <w:r w:rsidR="00EA1C0E" w:rsidRPr="000C3347">
          <w:rPr>
            <w:rStyle w:val="af4"/>
            <w:rFonts w:cs="宋体"/>
            <w:noProof/>
          </w:rPr>
          <w:t>5.2 Dosage and Regimen of the Drug</w:t>
        </w:r>
        <w:r w:rsidR="00EA1C0E">
          <w:rPr>
            <w:noProof/>
            <w:webHidden/>
          </w:rPr>
          <w:tab/>
        </w:r>
        <w:r w:rsidR="00EA1C0E">
          <w:rPr>
            <w:noProof/>
            <w:webHidden/>
          </w:rPr>
          <w:fldChar w:fldCharType="begin"/>
        </w:r>
        <w:r w:rsidR="00EA1C0E">
          <w:rPr>
            <w:noProof/>
            <w:webHidden/>
          </w:rPr>
          <w:instrText xml:space="preserve"> PAGEREF _Toc178589680 \h </w:instrText>
        </w:r>
        <w:r w:rsidR="00EA1C0E">
          <w:rPr>
            <w:noProof/>
            <w:webHidden/>
          </w:rPr>
        </w:r>
        <w:r w:rsidR="00EA1C0E">
          <w:rPr>
            <w:noProof/>
            <w:webHidden/>
          </w:rPr>
          <w:fldChar w:fldCharType="separate"/>
        </w:r>
        <w:r w:rsidR="00EA1C0E">
          <w:rPr>
            <w:noProof/>
            <w:webHidden/>
          </w:rPr>
          <w:t>64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1" w:history="1">
        <w:r w:rsidR="00EA1C0E" w:rsidRPr="000C3347">
          <w:rPr>
            <w:rStyle w:val="af4"/>
            <w:rFonts w:cs="宋体"/>
            <w:noProof/>
          </w:rPr>
          <w:t>5.3 Dose Modifications</w:t>
        </w:r>
        <w:r w:rsidR="00EA1C0E">
          <w:rPr>
            <w:noProof/>
            <w:webHidden/>
          </w:rPr>
          <w:tab/>
        </w:r>
        <w:r w:rsidR="00EA1C0E">
          <w:rPr>
            <w:noProof/>
            <w:webHidden/>
          </w:rPr>
          <w:fldChar w:fldCharType="begin"/>
        </w:r>
        <w:r w:rsidR="00EA1C0E">
          <w:rPr>
            <w:noProof/>
            <w:webHidden/>
          </w:rPr>
          <w:instrText xml:space="preserve"> PAGEREF _Toc178589681 \h </w:instrText>
        </w:r>
        <w:r w:rsidR="00EA1C0E">
          <w:rPr>
            <w:noProof/>
            <w:webHidden/>
          </w:rPr>
        </w:r>
        <w:r w:rsidR="00EA1C0E">
          <w:rPr>
            <w:noProof/>
            <w:webHidden/>
          </w:rPr>
          <w:fldChar w:fldCharType="separate"/>
        </w:r>
        <w:r w:rsidR="00EA1C0E">
          <w:rPr>
            <w:noProof/>
            <w:webHidden/>
          </w:rPr>
          <w:t>64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2" w:history="1">
        <w:r w:rsidR="00EA1C0E" w:rsidRPr="000C3347">
          <w:rPr>
            <w:rStyle w:val="af4"/>
            <w:rFonts w:cs="宋体"/>
            <w:noProof/>
          </w:rPr>
          <w:t>5.4 Symptomatic Treatment of Common Adverse Reactions</w:t>
        </w:r>
        <w:r w:rsidR="00EA1C0E">
          <w:rPr>
            <w:noProof/>
            <w:webHidden/>
          </w:rPr>
          <w:tab/>
        </w:r>
        <w:r w:rsidR="00EA1C0E">
          <w:rPr>
            <w:noProof/>
            <w:webHidden/>
          </w:rPr>
          <w:fldChar w:fldCharType="begin"/>
        </w:r>
        <w:r w:rsidR="00EA1C0E">
          <w:rPr>
            <w:noProof/>
            <w:webHidden/>
          </w:rPr>
          <w:instrText xml:space="preserve"> PAGEREF _Toc178589682 \h </w:instrText>
        </w:r>
        <w:r w:rsidR="00EA1C0E">
          <w:rPr>
            <w:noProof/>
            <w:webHidden/>
          </w:rPr>
        </w:r>
        <w:r w:rsidR="00EA1C0E">
          <w:rPr>
            <w:noProof/>
            <w:webHidden/>
          </w:rPr>
          <w:fldChar w:fldCharType="separate"/>
        </w:r>
        <w:r w:rsidR="00EA1C0E">
          <w:rPr>
            <w:noProof/>
            <w:webHidden/>
          </w:rPr>
          <w:t>68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3" w:history="1">
        <w:r w:rsidR="00EA1C0E" w:rsidRPr="000C3347">
          <w:rPr>
            <w:rStyle w:val="af4"/>
            <w:rFonts w:cs="宋体"/>
            <w:noProof/>
          </w:rPr>
          <w:t>5.5 Medication Compliance</w:t>
        </w:r>
        <w:r w:rsidR="00EA1C0E">
          <w:rPr>
            <w:noProof/>
            <w:webHidden/>
          </w:rPr>
          <w:tab/>
        </w:r>
        <w:r w:rsidR="00EA1C0E">
          <w:rPr>
            <w:noProof/>
            <w:webHidden/>
          </w:rPr>
          <w:fldChar w:fldCharType="begin"/>
        </w:r>
        <w:r w:rsidR="00EA1C0E">
          <w:rPr>
            <w:noProof/>
            <w:webHidden/>
          </w:rPr>
          <w:instrText xml:space="preserve"> PAGEREF _Toc178589683 \h </w:instrText>
        </w:r>
        <w:r w:rsidR="00EA1C0E">
          <w:rPr>
            <w:noProof/>
            <w:webHidden/>
          </w:rPr>
        </w:r>
        <w:r w:rsidR="00EA1C0E">
          <w:rPr>
            <w:noProof/>
            <w:webHidden/>
          </w:rPr>
          <w:fldChar w:fldCharType="separate"/>
        </w:r>
        <w:r w:rsidR="00EA1C0E">
          <w:rPr>
            <w:noProof/>
            <w:webHidden/>
          </w:rPr>
          <w:t>73</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4" w:history="1">
        <w:r w:rsidR="00EA1C0E" w:rsidRPr="000C3347">
          <w:rPr>
            <w:rStyle w:val="af4"/>
            <w:rFonts w:cs="宋体"/>
            <w:noProof/>
          </w:rPr>
          <w:t>5.6 Management, Dispensing and Recovery of Drugs</w:t>
        </w:r>
        <w:r w:rsidR="00EA1C0E">
          <w:rPr>
            <w:noProof/>
            <w:webHidden/>
          </w:rPr>
          <w:tab/>
        </w:r>
        <w:r w:rsidR="00EA1C0E">
          <w:rPr>
            <w:noProof/>
            <w:webHidden/>
          </w:rPr>
          <w:fldChar w:fldCharType="begin"/>
        </w:r>
        <w:r w:rsidR="00EA1C0E">
          <w:rPr>
            <w:noProof/>
            <w:webHidden/>
          </w:rPr>
          <w:instrText xml:space="preserve"> PAGEREF _Toc178589684 \h </w:instrText>
        </w:r>
        <w:r w:rsidR="00EA1C0E">
          <w:rPr>
            <w:noProof/>
            <w:webHidden/>
          </w:rPr>
        </w:r>
        <w:r w:rsidR="00EA1C0E">
          <w:rPr>
            <w:noProof/>
            <w:webHidden/>
          </w:rPr>
          <w:fldChar w:fldCharType="separate"/>
        </w:r>
        <w:r w:rsidR="00EA1C0E">
          <w:rPr>
            <w:noProof/>
            <w:webHidden/>
          </w:rPr>
          <w:t>74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5" w:history="1">
        <w:r w:rsidR="00EA1C0E" w:rsidRPr="000C3347">
          <w:rPr>
            <w:rStyle w:val="af4"/>
            <w:rFonts w:cs="宋体"/>
            <w:noProof/>
          </w:rPr>
          <w:t>5.7. Concomitant Medications</w:t>
        </w:r>
        <w:r w:rsidR="00EA1C0E">
          <w:rPr>
            <w:noProof/>
            <w:webHidden/>
          </w:rPr>
          <w:tab/>
        </w:r>
        <w:r w:rsidR="00EA1C0E">
          <w:rPr>
            <w:noProof/>
            <w:webHidden/>
          </w:rPr>
          <w:fldChar w:fldCharType="begin"/>
        </w:r>
        <w:r w:rsidR="00EA1C0E">
          <w:rPr>
            <w:noProof/>
            <w:webHidden/>
          </w:rPr>
          <w:instrText xml:space="preserve"> PAGEREF _Toc178589685 \h </w:instrText>
        </w:r>
        <w:r w:rsidR="00EA1C0E">
          <w:rPr>
            <w:noProof/>
            <w:webHidden/>
          </w:rPr>
        </w:r>
        <w:r w:rsidR="00EA1C0E">
          <w:rPr>
            <w:noProof/>
            <w:webHidden/>
          </w:rPr>
          <w:fldChar w:fldCharType="separate"/>
        </w:r>
        <w:r w:rsidR="00EA1C0E">
          <w:rPr>
            <w:noProof/>
            <w:webHidden/>
          </w:rPr>
          <w:t>75</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86" w:history="1">
        <w:r w:rsidR="00EA1C0E" w:rsidRPr="000C3347">
          <w:rPr>
            <w:rStyle w:val="af4"/>
            <w:noProof/>
          </w:rPr>
          <w:t>6. Study Procedures</w:t>
        </w:r>
        <w:r w:rsidR="00EA1C0E">
          <w:rPr>
            <w:noProof/>
            <w:webHidden/>
          </w:rPr>
          <w:tab/>
        </w:r>
        <w:r w:rsidR="00EA1C0E">
          <w:rPr>
            <w:noProof/>
            <w:webHidden/>
          </w:rPr>
          <w:fldChar w:fldCharType="begin"/>
        </w:r>
        <w:r w:rsidR="00EA1C0E">
          <w:rPr>
            <w:noProof/>
            <w:webHidden/>
          </w:rPr>
          <w:instrText xml:space="preserve"> PAGEREF _Toc178589686 \h </w:instrText>
        </w:r>
        <w:r w:rsidR="00EA1C0E">
          <w:rPr>
            <w:noProof/>
            <w:webHidden/>
          </w:rPr>
        </w:r>
        <w:r w:rsidR="00EA1C0E">
          <w:rPr>
            <w:noProof/>
            <w:webHidden/>
          </w:rPr>
          <w:fldChar w:fldCharType="separate"/>
        </w:r>
        <w:r w:rsidR="00EA1C0E">
          <w:rPr>
            <w:noProof/>
            <w:webHidden/>
          </w:rPr>
          <w:t>76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7" w:history="1">
        <w:r w:rsidR="00EA1C0E" w:rsidRPr="000C3347">
          <w:rPr>
            <w:rStyle w:val="af4"/>
            <w:rFonts w:cs="宋体"/>
            <w:noProof/>
          </w:rPr>
          <w:t>6.1 Screening Visit</w:t>
        </w:r>
        <w:r w:rsidR="00EA1C0E">
          <w:rPr>
            <w:noProof/>
            <w:webHidden/>
          </w:rPr>
          <w:tab/>
        </w:r>
        <w:r w:rsidR="00EA1C0E">
          <w:rPr>
            <w:noProof/>
            <w:webHidden/>
          </w:rPr>
          <w:fldChar w:fldCharType="begin"/>
        </w:r>
        <w:r w:rsidR="00EA1C0E">
          <w:rPr>
            <w:noProof/>
            <w:webHidden/>
          </w:rPr>
          <w:instrText xml:space="preserve"> PAGEREF _Toc178589687 \h </w:instrText>
        </w:r>
        <w:r w:rsidR="00EA1C0E">
          <w:rPr>
            <w:noProof/>
            <w:webHidden/>
          </w:rPr>
        </w:r>
        <w:r w:rsidR="00EA1C0E">
          <w:rPr>
            <w:noProof/>
            <w:webHidden/>
          </w:rPr>
          <w:fldChar w:fldCharType="separate"/>
        </w:r>
        <w:r w:rsidR="00EA1C0E">
          <w:rPr>
            <w:noProof/>
            <w:webHidden/>
          </w:rPr>
          <w:t>77</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8" w:history="1">
        <w:r w:rsidR="00EA1C0E" w:rsidRPr="000C3347">
          <w:rPr>
            <w:rStyle w:val="af4"/>
            <w:rFonts w:cs="宋体"/>
            <w:noProof/>
          </w:rPr>
          <w:t>6.2 Treatment Period Visits</w:t>
        </w:r>
        <w:r w:rsidR="00EA1C0E">
          <w:rPr>
            <w:noProof/>
            <w:webHidden/>
          </w:rPr>
          <w:tab/>
        </w:r>
        <w:r w:rsidR="00EA1C0E">
          <w:rPr>
            <w:noProof/>
            <w:webHidden/>
          </w:rPr>
          <w:fldChar w:fldCharType="begin"/>
        </w:r>
        <w:r w:rsidR="00EA1C0E">
          <w:rPr>
            <w:noProof/>
            <w:webHidden/>
          </w:rPr>
          <w:instrText xml:space="preserve"> PAGEREF _Toc178589688 \h </w:instrText>
        </w:r>
        <w:r w:rsidR="00EA1C0E">
          <w:rPr>
            <w:noProof/>
            <w:webHidden/>
          </w:rPr>
        </w:r>
        <w:r w:rsidR="00EA1C0E">
          <w:rPr>
            <w:noProof/>
            <w:webHidden/>
          </w:rPr>
          <w:fldChar w:fldCharType="separate"/>
        </w:r>
        <w:r w:rsidR="00EA1C0E">
          <w:rPr>
            <w:noProof/>
            <w:webHidden/>
          </w:rPr>
          <w:t>80</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89" w:history="1">
        <w:r w:rsidR="00EA1C0E" w:rsidRPr="000C3347">
          <w:rPr>
            <w:rStyle w:val="af4"/>
            <w:rFonts w:cs="宋体"/>
            <w:noProof/>
          </w:rPr>
          <w:t>6.3 End of Study Treatment/Withdrawal Visit</w:t>
        </w:r>
        <w:r w:rsidR="00EA1C0E">
          <w:rPr>
            <w:noProof/>
            <w:webHidden/>
          </w:rPr>
          <w:tab/>
        </w:r>
        <w:r w:rsidR="00EA1C0E">
          <w:rPr>
            <w:noProof/>
            <w:webHidden/>
          </w:rPr>
          <w:fldChar w:fldCharType="begin"/>
        </w:r>
        <w:r w:rsidR="00EA1C0E">
          <w:rPr>
            <w:noProof/>
            <w:webHidden/>
          </w:rPr>
          <w:instrText xml:space="preserve"> PAGEREF _Toc178589689 \h </w:instrText>
        </w:r>
        <w:r w:rsidR="00EA1C0E">
          <w:rPr>
            <w:noProof/>
            <w:webHidden/>
          </w:rPr>
        </w:r>
        <w:r w:rsidR="00EA1C0E">
          <w:rPr>
            <w:noProof/>
            <w:webHidden/>
          </w:rPr>
          <w:fldChar w:fldCharType="separate"/>
        </w:r>
        <w:r w:rsidR="00EA1C0E">
          <w:rPr>
            <w:noProof/>
            <w:webHidden/>
          </w:rPr>
          <w:t>83</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90" w:history="1">
        <w:r w:rsidR="00EA1C0E" w:rsidRPr="000C3347">
          <w:rPr>
            <w:rStyle w:val="af4"/>
            <w:rFonts w:cs="宋体"/>
            <w:noProof/>
          </w:rPr>
          <w:t>6.4 21-Day Post-Withdrawal Visit</w:t>
        </w:r>
        <w:r w:rsidR="00EA1C0E">
          <w:rPr>
            <w:noProof/>
            <w:webHidden/>
          </w:rPr>
          <w:tab/>
        </w:r>
        <w:r w:rsidR="00EA1C0E">
          <w:rPr>
            <w:noProof/>
            <w:webHidden/>
          </w:rPr>
          <w:fldChar w:fldCharType="begin"/>
        </w:r>
        <w:r w:rsidR="00EA1C0E">
          <w:rPr>
            <w:noProof/>
            <w:webHidden/>
          </w:rPr>
          <w:instrText xml:space="preserve"> PAGEREF _Toc178589690 \h </w:instrText>
        </w:r>
        <w:r w:rsidR="00EA1C0E">
          <w:rPr>
            <w:noProof/>
            <w:webHidden/>
          </w:rPr>
        </w:r>
        <w:r w:rsidR="00EA1C0E">
          <w:rPr>
            <w:noProof/>
            <w:webHidden/>
          </w:rPr>
          <w:fldChar w:fldCharType="separate"/>
        </w:r>
        <w:r w:rsidR="00EA1C0E">
          <w:rPr>
            <w:noProof/>
            <w:webHidden/>
          </w:rPr>
          <w:t>84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91" w:history="1">
        <w:r w:rsidR="00EA1C0E" w:rsidRPr="000C3347">
          <w:rPr>
            <w:rStyle w:val="af4"/>
            <w:rFonts w:cs="宋体"/>
            <w:noProof/>
          </w:rPr>
          <w:t>6.5 Survival Follow-up</w:t>
        </w:r>
        <w:r w:rsidR="00EA1C0E">
          <w:rPr>
            <w:noProof/>
            <w:webHidden/>
          </w:rPr>
          <w:tab/>
        </w:r>
        <w:r w:rsidR="00EA1C0E">
          <w:rPr>
            <w:noProof/>
            <w:webHidden/>
          </w:rPr>
          <w:fldChar w:fldCharType="begin"/>
        </w:r>
        <w:r w:rsidR="00EA1C0E">
          <w:rPr>
            <w:noProof/>
            <w:webHidden/>
          </w:rPr>
          <w:instrText xml:space="preserve"> PAGEREF _Toc178589691 \h </w:instrText>
        </w:r>
        <w:r w:rsidR="00EA1C0E">
          <w:rPr>
            <w:noProof/>
            <w:webHidden/>
          </w:rPr>
        </w:r>
        <w:r w:rsidR="00EA1C0E">
          <w:rPr>
            <w:noProof/>
            <w:webHidden/>
          </w:rPr>
          <w:fldChar w:fldCharType="separate"/>
        </w:r>
        <w:r w:rsidR="00EA1C0E">
          <w:rPr>
            <w:noProof/>
            <w:webHidden/>
          </w:rPr>
          <w:t>84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92" w:history="1">
        <w:r w:rsidR="00EA1C0E" w:rsidRPr="000C3347">
          <w:rPr>
            <w:rStyle w:val="af4"/>
            <w:rFonts w:cs="宋体"/>
            <w:noProof/>
          </w:rPr>
          <w:t>6.6 Unscheduled Visits</w:t>
        </w:r>
        <w:r w:rsidR="00EA1C0E">
          <w:rPr>
            <w:noProof/>
            <w:webHidden/>
          </w:rPr>
          <w:tab/>
        </w:r>
        <w:r w:rsidR="00EA1C0E">
          <w:rPr>
            <w:noProof/>
            <w:webHidden/>
          </w:rPr>
          <w:fldChar w:fldCharType="begin"/>
        </w:r>
        <w:r w:rsidR="00EA1C0E">
          <w:rPr>
            <w:noProof/>
            <w:webHidden/>
          </w:rPr>
          <w:instrText xml:space="preserve"> PAGEREF _Toc178589692 \h </w:instrText>
        </w:r>
        <w:r w:rsidR="00EA1C0E">
          <w:rPr>
            <w:noProof/>
            <w:webHidden/>
          </w:rPr>
        </w:r>
        <w:r w:rsidR="00EA1C0E">
          <w:rPr>
            <w:noProof/>
            <w:webHidden/>
          </w:rPr>
          <w:fldChar w:fldCharType="separate"/>
        </w:r>
        <w:r w:rsidR="00EA1C0E">
          <w:rPr>
            <w:noProof/>
            <w:webHidden/>
          </w:rPr>
          <w:t>84</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93" w:history="1">
        <w:r w:rsidR="00EA1C0E" w:rsidRPr="000C3347">
          <w:rPr>
            <w:rStyle w:val="af4"/>
            <w:noProof/>
          </w:rPr>
          <w:t>7. Efficacy evaluation indicators</w:t>
        </w:r>
        <w:r w:rsidR="00EA1C0E">
          <w:rPr>
            <w:noProof/>
            <w:webHidden/>
          </w:rPr>
          <w:tab/>
        </w:r>
        <w:r w:rsidR="00EA1C0E">
          <w:rPr>
            <w:noProof/>
            <w:webHidden/>
          </w:rPr>
          <w:fldChar w:fldCharType="begin"/>
        </w:r>
        <w:r w:rsidR="00EA1C0E">
          <w:rPr>
            <w:noProof/>
            <w:webHidden/>
          </w:rPr>
          <w:instrText xml:space="preserve"> PAGEREF _Toc178589693 \h </w:instrText>
        </w:r>
        <w:r w:rsidR="00EA1C0E">
          <w:rPr>
            <w:noProof/>
            <w:webHidden/>
          </w:rPr>
        </w:r>
        <w:r w:rsidR="00EA1C0E">
          <w:rPr>
            <w:noProof/>
            <w:webHidden/>
          </w:rPr>
          <w:fldChar w:fldCharType="separate"/>
        </w:r>
        <w:r w:rsidR="00EA1C0E">
          <w:rPr>
            <w:noProof/>
            <w:webHidden/>
          </w:rPr>
          <w:t>86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94" w:history="1">
        <w:r w:rsidR="00EA1C0E" w:rsidRPr="000C3347">
          <w:rPr>
            <w:rStyle w:val="af4"/>
            <w:rFonts w:cs="宋体"/>
            <w:noProof/>
          </w:rPr>
          <w:t>7.1 Main indicators and observation method</w:t>
        </w:r>
        <w:r w:rsidR="00EA1C0E">
          <w:rPr>
            <w:noProof/>
            <w:webHidden/>
          </w:rPr>
          <w:tab/>
        </w:r>
        <w:r w:rsidR="00EA1C0E">
          <w:rPr>
            <w:noProof/>
            <w:webHidden/>
          </w:rPr>
          <w:fldChar w:fldCharType="begin"/>
        </w:r>
        <w:r w:rsidR="00EA1C0E">
          <w:rPr>
            <w:noProof/>
            <w:webHidden/>
          </w:rPr>
          <w:instrText xml:space="preserve"> PAGEREF _Toc178589694 \h </w:instrText>
        </w:r>
        <w:r w:rsidR="00EA1C0E">
          <w:rPr>
            <w:noProof/>
            <w:webHidden/>
          </w:rPr>
        </w:r>
        <w:r w:rsidR="00EA1C0E">
          <w:rPr>
            <w:noProof/>
            <w:webHidden/>
          </w:rPr>
          <w:fldChar w:fldCharType="separate"/>
        </w:r>
        <w:r w:rsidR="00EA1C0E">
          <w:rPr>
            <w:noProof/>
            <w:webHidden/>
          </w:rPr>
          <w:t>86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95" w:history="1">
        <w:r w:rsidR="00EA1C0E" w:rsidRPr="000C3347">
          <w:rPr>
            <w:rStyle w:val="af4"/>
            <w:rFonts w:cs="宋体"/>
            <w:noProof/>
          </w:rPr>
          <w:t>7.2 Secondary indicators and observation method</w:t>
        </w:r>
        <w:r w:rsidR="00EA1C0E">
          <w:rPr>
            <w:noProof/>
            <w:webHidden/>
          </w:rPr>
          <w:tab/>
        </w:r>
        <w:r w:rsidR="00EA1C0E">
          <w:rPr>
            <w:noProof/>
            <w:webHidden/>
          </w:rPr>
          <w:fldChar w:fldCharType="begin"/>
        </w:r>
        <w:r w:rsidR="00EA1C0E">
          <w:rPr>
            <w:noProof/>
            <w:webHidden/>
          </w:rPr>
          <w:instrText xml:space="preserve"> PAGEREF _Toc178589695 \h </w:instrText>
        </w:r>
        <w:r w:rsidR="00EA1C0E">
          <w:rPr>
            <w:noProof/>
            <w:webHidden/>
          </w:rPr>
        </w:r>
        <w:r w:rsidR="00EA1C0E">
          <w:rPr>
            <w:noProof/>
            <w:webHidden/>
          </w:rPr>
          <w:fldChar w:fldCharType="separate"/>
        </w:r>
        <w:r w:rsidR="00EA1C0E">
          <w:rPr>
            <w:noProof/>
            <w:webHidden/>
          </w:rPr>
          <w:t>86</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696" w:history="1">
        <w:r w:rsidR="00EA1C0E" w:rsidRPr="000C3347">
          <w:rPr>
            <w:rStyle w:val="af4"/>
            <w:noProof/>
          </w:rPr>
          <w:t>8. Safety Evaluation</w:t>
        </w:r>
        <w:r w:rsidR="00EA1C0E">
          <w:rPr>
            <w:noProof/>
            <w:webHidden/>
          </w:rPr>
          <w:tab/>
        </w:r>
        <w:r w:rsidR="00EA1C0E">
          <w:rPr>
            <w:noProof/>
            <w:webHidden/>
          </w:rPr>
          <w:fldChar w:fldCharType="begin"/>
        </w:r>
        <w:r w:rsidR="00EA1C0E">
          <w:rPr>
            <w:noProof/>
            <w:webHidden/>
          </w:rPr>
          <w:instrText xml:space="preserve"> PAGEREF _Toc178589696 \h </w:instrText>
        </w:r>
        <w:r w:rsidR="00EA1C0E">
          <w:rPr>
            <w:noProof/>
            <w:webHidden/>
          </w:rPr>
        </w:r>
        <w:r w:rsidR="00EA1C0E">
          <w:rPr>
            <w:noProof/>
            <w:webHidden/>
          </w:rPr>
          <w:fldChar w:fldCharType="separate"/>
        </w:r>
        <w:r w:rsidR="00EA1C0E">
          <w:rPr>
            <w:noProof/>
            <w:webHidden/>
          </w:rPr>
          <w:t>87</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97" w:history="1">
        <w:r w:rsidR="00EA1C0E" w:rsidRPr="000C3347">
          <w:rPr>
            <w:rStyle w:val="af4"/>
            <w:rFonts w:cs="宋体"/>
            <w:noProof/>
          </w:rPr>
          <w:t>8.1 Definitions</w:t>
        </w:r>
        <w:r w:rsidR="00EA1C0E">
          <w:rPr>
            <w:noProof/>
            <w:webHidden/>
          </w:rPr>
          <w:tab/>
        </w:r>
        <w:r w:rsidR="00EA1C0E">
          <w:rPr>
            <w:noProof/>
            <w:webHidden/>
          </w:rPr>
          <w:fldChar w:fldCharType="begin"/>
        </w:r>
        <w:r w:rsidR="00EA1C0E">
          <w:rPr>
            <w:noProof/>
            <w:webHidden/>
          </w:rPr>
          <w:instrText xml:space="preserve"> PAGEREF _Toc178589697 \h </w:instrText>
        </w:r>
        <w:r w:rsidR="00EA1C0E">
          <w:rPr>
            <w:noProof/>
            <w:webHidden/>
          </w:rPr>
        </w:r>
        <w:r w:rsidR="00EA1C0E">
          <w:rPr>
            <w:noProof/>
            <w:webHidden/>
          </w:rPr>
          <w:fldChar w:fldCharType="separate"/>
        </w:r>
        <w:r w:rsidR="00EA1C0E">
          <w:rPr>
            <w:noProof/>
            <w:webHidden/>
          </w:rPr>
          <w:t>87</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98" w:history="1">
        <w:r w:rsidR="00EA1C0E" w:rsidRPr="000C3347">
          <w:rPr>
            <w:rStyle w:val="af4"/>
            <w:rFonts w:cs="宋体"/>
            <w:noProof/>
          </w:rPr>
          <w:t>8.2 Methods of Recording and Assessing Adverse Events</w:t>
        </w:r>
        <w:r w:rsidR="00EA1C0E">
          <w:rPr>
            <w:noProof/>
            <w:webHidden/>
          </w:rPr>
          <w:tab/>
        </w:r>
        <w:r w:rsidR="00EA1C0E">
          <w:rPr>
            <w:noProof/>
            <w:webHidden/>
          </w:rPr>
          <w:fldChar w:fldCharType="begin"/>
        </w:r>
        <w:r w:rsidR="00EA1C0E">
          <w:rPr>
            <w:noProof/>
            <w:webHidden/>
          </w:rPr>
          <w:instrText xml:space="preserve"> PAGEREF _Toc178589698 \h </w:instrText>
        </w:r>
        <w:r w:rsidR="00EA1C0E">
          <w:rPr>
            <w:noProof/>
            <w:webHidden/>
          </w:rPr>
        </w:r>
        <w:r w:rsidR="00EA1C0E">
          <w:rPr>
            <w:noProof/>
            <w:webHidden/>
          </w:rPr>
          <w:fldChar w:fldCharType="separate"/>
        </w:r>
        <w:r w:rsidR="00EA1C0E">
          <w:rPr>
            <w:noProof/>
            <w:webHidden/>
          </w:rPr>
          <w:t>88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699" w:history="1">
        <w:r w:rsidR="00EA1C0E" w:rsidRPr="000C3347">
          <w:rPr>
            <w:rStyle w:val="af4"/>
            <w:rFonts w:cs="宋体"/>
            <w:noProof/>
          </w:rPr>
          <w:t>8.3 Reporting System of Serious Adverse Events</w:t>
        </w:r>
        <w:r w:rsidR="00EA1C0E">
          <w:rPr>
            <w:noProof/>
            <w:webHidden/>
          </w:rPr>
          <w:tab/>
        </w:r>
        <w:r w:rsidR="00EA1C0E">
          <w:rPr>
            <w:noProof/>
            <w:webHidden/>
          </w:rPr>
          <w:fldChar w:fldCharType="begin"/>
        </w:r>
        <w:r w:rsidR="00EA1C0E">
          <w:rPr>
            <w:noProof/>
            <w:webHidden/>
          </w:rPr>
          <w:instrText xml:space="preserve"> PAGEREF _Toc178589699 \h </w:instrText>
        </w:r>
        <w:r w:rsidR="00EA1C0E">
          <w:rPr>
            <w:noProof/>
            <w:webHidden/>
          </w:rPr>
        </w:r>
        <w:r w:rsidR="00EA1C0E">
          <w:rPr>
            <w:noProof/>
            <w:webHidden/>
          </w:rPr>
          <w:fldChar w:fldCharType="separate"/>
        </w:r>
        <w:r w:rsidR="00EA1C0E">
          <w:rPr>
            <w:noProof/>
            <w:webHidden/>
          </w:rPr>
          <w:t>90</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00" w:history="1">
        <w:r w:rsidR="00EA1C0E" w:rsidRPr="000C3347">
          <w:rPr>
            <w:rStyle w:val="af4"/>
            <w:rFonts w:cs="宋体"/>
            <w:noProof/>
          </w:rPr>
          <w:t>8.4 Reporting Procedures for SAEs</w:t>
        </w:r>
        <w:r w:rsidR="00EA1C0E">
          <w:rPr>
            <w:noProof/>
            <w:webHidden/>
          </w:rPr>
          <w:tab/>
        </w:r>
        <w:r w:rsidR="00EA1C0E">
          <w:rPr>
            <w:noProof/>
            <w:webHidden/>
          </w:rPr>
          <w:fldChar w:fldCharType="begin"/>
        </w:r>
        <w:r w:rsidR="00EA1C0E">
          <w:rPr>
            <w:noProof/>
            <w:webHidden/>
          </w:rPr>
          <w:instrText xml:space="preserve"> PAGEREF _Toc178589700 \h </w:instrText>
        </w:r>
        <w:r w:rsidR="00EA1C0E">
          <w:rPr>
            <w:noProof/>
            <w:webHidden/>
          </w:rPr>
        </w:r>
        <w:r w:rsidR="00EA1C0E">
          <w:rPr>
            <w:noProof/>
            <w:webHidden/>
          </w:rPr>
          <w:fldChar w:fldCharType="separate"/>
        </w:r>
        <w:r w:rsidR="00EA1C0E">
          <w:rPr>
            <w:noProof/>
            <w:webHidden/>
          </w:rPr>
          <w:t>90</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01" w:history="1">
        <w:r w:rsidR="00EA1C0E" w:rsidRPr="000C3347">
          <w:rPr>
            <w:rStyle w:val="af4"/>
            <w:noProof/>
          </w:rPr>
          <w:t>9. Data Management</w:t>
        </w:r>
        <w:r w:rsidR="00EA1C0E">
          <w:rPr>
            <w:noProof/>
            <w:webHidden/>
          </w:rPr>
          <w:tab/>
        </w:r>
        <w:r w:rsidR="00EA1C0E">
          <w:rPr>
            <w:noProof/>
            <w:webHidden/>
          </w:rPr>
          <w:fldChar w:fldCharType="begin"/>
        </w:r>
        <w:r w:rsidR="00EA1C0E">
          <w:rPr>
            <w:noProof/>
            <w:webHidden/>
          </w:rPr>
          <w:instrText xml:space="preserve"> PAGEREF _Toc178589701 \h </w:instrText>
        </w:r>
        <w:r w:rsidR="00EA1C0E">
          <w:rPr>
            <w:noProof/>
            <w:webHidden/>
          </w:rPr>
        </w:r>
        <w:r w:rsidR="00EA1C0E">
          <w:rPr>
            <w:noProof/>
            <w:webHidden/>
          </w:rPr>
          <w:fldChar w:fldCharType="separate"/>
        </w:r>
        <w:r w:rsidR="00EA1C0E">
          <w:rPr>
            <w:noProof/>
            <w:webHidden/>
          </w:rPr>
          <w:t>91</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02" w:history="1">
        <w:r w:rsidR="00EA1C0E" w:rsidRPr="000C3347">
          <w:rPr>
            <w:rStyle w:val="af4"/>
            <w:rFonts w:cs="宋体"/>
            <w:noProof/>
          </w:rPr>
          <w:t>9.1 Data collection</w:t>
        </w:r>
        <w:r w:rsidR="00EA1C0E">
          <w:rPr>
            <w:noProof/>
            <w:webHidden/>
          </w:rPr>
          <w:tab/>
        </w:r>
        <w:r w:rsidR="00EA1C0E">
          <w:rPr>
            <w:noProof/>
            <w:webHidden/>
          </w:rPr>
          <w:fldChar w:fldCharType="begin"/>
        </w:r>
        <w:r w:rsidR="00EA1C0E">
          <w:rPr>
            <w:noProof/>
            <w:webHidden/>
          </w:rPr>
          <w:instrText xml:space="preserve"> PAGEREF _Toc178589702 \h </w:instrText>
        </w:r>
        <w:r w:rsidR="00EA1C0E">
          <w:rPr>
            <w:noProof/>
            <w:webHidden/>
          </w:rPr>
        </w:r>
        <w:r w:rsidR="00EA1C0E">
          <w:rPr>
            <w:noProof/>
            <w:webHidden/>
          </w:rPr>
          <w:fldChar w:fldCharType="separate"/>
        </w:r>
        <w:r w:rsidR="00EA1C0E">
          <w:rPr>
            <w:noProof/>
            <w:webHidden/>
          </w:rPr>
          <w:t>91</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03" w:history="1">
        <w:r w:rsidR="00EA1C0E" w:rsidRPr="000C3347">
          <w:rPr>
            <w:rStyle w:val="af4"/>
            <w:rFonts w:cs="宋体"/>
            <w:noProof/>
          </w:rPr>
          <w:t>9.2 Management and Quality Control of Data</w:t>
        </w:r>
        <w:r w:rsidR="00EA1C0E">
          <w:rPr>
            <w:noProof/>
            <w:webHidden/>
          </w:rPr>
          <w:tab/>
        </w:r>
        <w:r w:rsidR="00EA1C0E">
          <w:rPr>
            <w:noProof/>
            <w:webHidden/>
          </w:rPr>
          <w:fldChar w:fldCharType="begin"/>
        </w:r>
        <w:r w:rsidR="00EA1C0E">
          <w:rPr>
            <w:noProof/>
            <w:webHidden/>
          </w:rPr>
          <w:instrText xml:space="preserve"> PAGEREF _Toc178589703 \h </w:instrText>
        </w:r>
        <w:r w:rsidR="00EA1C0E">
          <w:rPr>
            <w:noProof/>
            <w:webHidden/>
          </w:rPr>
        </w:r>
        <w:r w:rsidR="00EA1C0E">
          <w:rPr>
            <w:noProof/>
            <w:webHidden/>
          </w:rPr>
          <w:fldChar w:fldCharType="separate"/>
        </w:r>
        <w:r w:rsidR="00EA1C0E">
          <w:rPr>
            <w:noProof/>
            <w:webHidden/>
          </w:rPr>
          <w:t>91</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04" w:history="1">
        <w:r w:rsidR="00EA1C0E" w:rsidRPr="000C3347">
          <w:rPr>
            <w:rStyle w:val="af4"/>
            <w:rFonts w:cs="宋体"/>
            <w:noProof/>
          </w:rPr>
          <w:t>9.3 Review of Data and Monitoring of Study Institutions</w:t>
        </w:r>
        <w:r w:rsidR="00EA1C0E">
          <w:rPr>
            <w:noProof/>
            <w:webHidden/>
          </w:rPr>
          <w:tab/>
        </w:r>
        <w:r w:rsidR="00EA1C0E">
          <w:rPr>
            <w:noProof/>
            <w:webHidden/>
          </w:rPr>
          <w:fldChar w:fldCharType="begin"/>
        </w:r>
        <w:r w:rsidR="00EA1C0E">
          <w:rPr>
            <w:noProof/>
            <w:webHidden/>
          </w:rPr>
          <w:instrText xml:space="preserve"> PAGEREF _Toc178589704 \h </w:instrText>
        </w:r>
        <w:r w:rsidR="00EA1C0E">
          <w:rPr>
            <w:noProof/>
            <w:webHidden/>
          </w:rPr>
        </w:r>
        <w:r w:rsidR="00EA1C0E">
          <w:rPr>
            <w:noProof/>
            <w:webHidden/>
          </w:rPr>
          <w:fldChar w:fldCharType="separate"/>
        </w:r>
        <w:r w:rsidR="00EA1C0E">
          <w:rPr>
            <w:noProof/>
            <w:webHidden/>
          </w:rPr>
          <w:t>92</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05" w:history="1">
        <w:r w:rsidR="00EA1C0E" w:rsidRPr="000C3347">
          <w:rPr>
            <w:rStyle w:val="af4"/>
            <w:rFonts w:cs="宋体"/>
            <w:noProof/>
          </w:rPr>
          <w:t>9.4 Retention of Trial Records</w:t>
        </w:r>
        <w:r w:rsidR="00EA1C0E">
          <w:rPr>
            <w:noProof/>
            <w:webHidden/>
          </w:rPr>
          <w:tab/>
        </w:r>
        <w:r w:rsidR="00EA1C0E">
          <w:rPr>
            <w:noProof/>
            <w:webHidden/>
          </w:rPr>
          <w:fldChar w:fldCharType="begin"/>
        </w:r>
        <w:r w:rsidR="00EA1C0E">
          <w:rPr>
            <w:noProof/>
            <w:webHidden/>
          </w:rPr>
          <w:instrText xml:space="preserve"> PAGEREF _Toc178589705 \h </w:instrText>
        </w:r>
        <w:r w:rsidR="00EA1C0E">
          <w:rPr>
            <w:noProof/>
            <w:webHidden/>
          </w:rPr>
        </w:r>
        <w:r w:rsidR="00EA1C0E">
          <w:rPr>
            <w:noProof/>
            <w:webHidden/>
          </w:rPr>
          <w:fldChar w:fldCharType="separate"/>
        </w:r>
        <w:r w:rsidR="00EA1C0E">
          <w:rPr>
            <w:noProof/>
            <w:webHidden/>
          </w:rPr>
          <w:t>93</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06" w:history="1">
        <w:r w:rsidR="00EA1C0E" w:rsidRPr="000C3347">
          <w:rPr>
            <w:rStyle w:val="af4"/>
            <w:rFonts w:cs="宋体"/>
            <w:noProof/>
          </w:rPr>
          <w:t>9.5 Data Processing</w:t>
        </w:r>
        <w:r w:rsidR="00EA1C0E">
          <w:rPr>
            <w:noProof/>
            <w:webHidden/>
          </w:rPr>
          <w:tab/>
        </w:r>
        <w:r w:rsidR="00EA1C0E">
          <w:rPr>
            <w:noProof/>
            <w:webHidden/>
          </w:rPr>
          <w:fldChar w:fldCharType="begin"/>
        </w:r>
        <w:r w:rsidR="00EA1C0E">
          <w:rPr>
            <w:noProof/>
            <w:webHidden/>
          </w:rPr>
          <w:instrText xml:space="preserve"> PAGEREF _Toc178589706 \h </w:instrText>
        </w:r>
        <w:r w:rsidR="00EA1C0E">
          <w:rPr>
            <w:noProof/>
            <w:webHidden/>
          </w:rPr>
        </w:r>
        <w:r w:rsidR="00EA1C0E">
          <w:rPr>
            <w:noProof/>
            <w:webHidden/>
          </w:rPr>
          <w:fldChar w:fldCharType="separate"/>
        </w:r>
        <w:r w:rsidR="00EA1C0E">
          <w:rPr>
            <w:noProof/>
            <w:webHidden/>
          </w:rPr>
          <w:t>93</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07" w:history="1">
        <w:r w:rsidR="00EA1C0E" w:rsidRPr="000C3347">
          <w:rPr>
            <w:rStyle w:val="af4"/>
            <w:noProof/>
          </w:rPr>
          <w:t>10. Statistical Analysis</w:t>
        </w:r>
        <w:r w:rsidR="00EA1C0E">
          <w:rPr>
            <w:noProof/>
            <w:webHidden/>
          </w:rPr>
          <w:tab/>
        </w:r>
        <w:r w:rsidR="00EA1C0E">
          <w:rPr>
            <w:noProof/>
            <w:webHidden/>
          </w:rPr>
          <w:fldChar w:fldCharType="begin"/>
        </w:r>
        <w:r w:rsidR="00EA1C0E">
          <w:rPr>
            <w:noProof/>
            <w:webHidden/>
          </w:rPr>
          <w:instrText xml:space="preserve"> PAGEREF _Toc178589707 \h </w:instrText>
        </w:r>
        <w:r w:rsidR="00EA1C0E">
          <w:rPr>
            <w:noProof/>
            <w:webHidden/>
          </w:rPr>
        </w:r>
        <w:r w:rsidR="00EA1C0E">
          <w:rPr>
            <w:noProof/>
            <w:webHidden/>
          </w:rPr>
          <w:fldChar w:fldCharType="separate"/>
        </w:r>
        <w:r w:rsidR="00EA1C0E">
          <w:rPr>
            <w:noProof/>
            <w:webHidden/>
          </w:rPr>
          <w:t>94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08" w:history="1">
        <w:r w:rsidR="00EA1C0E" w:rsidRPr="000C3347">
          <w:rPr>
            <w:rStyle w:val="af4"/>
            <w:rFonts w:cs="宋体"/>
            <w:noProof/>
          </w:rPr>
          <w:t>10.1 Selection of Statistical Analysis Data</w:t>
        </w:r>
        <w:r w:rsidR="00EA1C0E">
          <w:rPr>
            <w:noProof/>
            <w:webHidden/>
          </w:rPr>
          <w:tab/>
        </w:r>
        <w:r w:rsidR="00EA1C0E">
          <w:rPr>
            <w:noProof/>
            <w:webHidden/>
          </w:rPr>
          <w:fldChar w:fldCharType="begin"/>
        </w:r>
        <w:r w:rsidR="00EA1C0E">
          <w:rPr>
            <w:noProof/>
            <w:webHidden/>
          </w:rPr>
          <w:instrText xml:space="preserve"> PAGEREF _Toc178589708 \h </w:instrText>
        </w:r>
        <w:r w:rsidR="00EA1C0E">
          <w:rPr>
            <w:noProof/>
            <w:webHidden/>
          </w:rPr>
        </w:r>
        <w:r w:rsidR="00EA1C0E">
          <w:rPr>
            <w:noProof/>
            <w:webHidden/>
          </w:rPr>
          <w:fldChar w:fldCharType="separate"/>
        </w:r>
        <w:r w:rsidR="00EA1C0E">
          <w:rPr>
            <w:noProof/>
            <w:webHidden/>
          </w:rPr>
          <w:t>94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09" w:history="1">
        <w:r w:rsidR="00EA1C0E" w:rsidRPr="000C3347">
          <w:rPr>
            <w:rStyle w:val="af4"/>
            <w:rFonts w:cs="宋体"/>
            <w:noProof/>
          </w:rPr>
          <w:t>10.2 Statistical Analysis Plan</w:t>
        </w:r>
        <w:r w:rsidR="00EA1C0E">
          <w:rPr>
            <w:noProof/>
            <w:webHidden/>
          </w:rPr>
          <w:tab/>
        </w:r>
        <w:r w:rsidR="00EA1C0E">
          <w:rPr>
            <w:noProof/>
            <w:webHidden/>
          </w:rPr>
          <w:fldChar w:fldCharType="begin"/>
        </w:r>
        <w:r w:rsidR="00EA1C0E">
          <w:rPr>
            <w:noProof/>
            <w:webHidden/>
          </w:rPr>
          <w:instrText xml:space="preserve"> PAGEREF _Toc178589709 \h </w:instrText>
        </w:r>
        <w:r w:rsidR="00EA1C0E">
          <w:rPr>
            <w:noProof/>
            <w:webHidden/>
          </w:rPr>
        </w:r>
        <w:r w:rsidR="00EA1C0E">
          <w:rPr>
            <w:noProof/>
            <w:webHidden/>
          </w:rPr>
          <w:fldChar w:fldCharType="separate"/>
        </w:r>
        <w:r w:rsidR="00EA1C0E">
          <w:rPr>
            <w:noProof/>
            <w:webHidden/>
          </w:rPr>
          <w:t>94</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10" w:history="1">
        <w:r w:rsidR="00EA1C0E" w:rsidRPr="000C3347">
          <w:rPr>
            <w:rStyle w:val="af4"/>
            <w:noProof/>
          </w:rPr>
          <w:t>11. Regulatory Ethics and Informed Consent</w:t>
        </w:r>
        <w:r w:rsidR="00EA1C0E">
          <w:rPr>
            <w:noProof/>
            <w:webHidden/>
          </w:rPr>
          <w:tab/>
        </w:r>
        <w:r w:rsidR="00EA1C0E">
          <w:rPr>
            <w:noProof/>
            <w:webHidden/>
          </w:rPr>
          <w:fldChar w:fldCharType="begin"/>
        </w:r>
        <w:r w:rsidR="00EA1C0E">
          <w:rPr>
            <w:noProof/>
            <w:webHidden/>
          </w:rPr>
          <w:instrText xml:space="preserve"> PAGEREF _Toc178589710 \h </w:instrText>
        </w:r>
        <w:r w:rsidR="00EA1C0E">
          <w:rPr>
            <w:noProof/>
            <w:webHidden/>
          </w:rPr>
        </w:r>
        <w:r w:rsidR="00EA1C0E">
          <w:rPr>
            <w:noProof/>
            <w:webHidden/>
          </w:rPr>
          <w:fldChar w:fldCharType="separate"/>
        </w:r>
        <w:r w:rsidR="00EA1C0E">
          <w:rPr>
            <w:noProof/>
            <w:webHidden/>
          </w:rPr>
          <w:t>96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11" w:history="1">
        <w:r w:rsidR="00EA1C0E" w:rsidRPr="000C3347">
          <w:rPr>
            <w:rStyle w:val="af4"/>
            <w:rFonts w:cs="宋体"/>
            <w:noProof/>
          </w:rPr>
          <w:t>11.1 Laws and Regulations</w:t>
        </w:r>
        <w:r w:rsidR="00EA1C0E">
          <w:rPr>
            <w:noProof/>
            <w:webHidden/>
          </w:rPr>
          <w:tab/>
        </w:r>
        <w:r w:rsidR="00EA1C0E">
          <w:rPr>
            <w:noProof/>
            <w:webHidden/>
          </w:rPr>
          <w:fldChar w:fldCharType="begin"/>
        </w:r>
        <w:r w:rsidR="00EA1C0E">
          <w:rPr>
            <w:noProof/>
            <w:webHidden/>
          </w:rPr>
          <w:instrText xml:space="preserve"> PAGEREF _Toc178589711 \h </w:instrText>
        </w:r>
        <w:r w:rsidR="00EA1C0E">
          <w:rPr>
            <w:noProof/>
            <w:webHidden/>
          </w:rPr>
        </w:r>
        <w:r w:rsidR="00EA1C0E">
          <w:rPr>
            <w:noProof/>
            <w:webHidden/>
          </w:rPr>
          <w:fldChar w:fldCharType="separate"/>
        </w:r>
        <w:r w:rsidR="00EA1C0E">
          <w:rPr>
            <w:noProof/>
            <w:webHidden/>
          </w:rPr>
          <w:t>96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12" w:history="1">
        <w:r w:rsidR="00EA1C0E" w:rsidRPr="000C3347">
          <w:rPr>
            <w:rStyle w:val="af4"/>
            <w:rFonts w:cs="宋体"/>
            <w:noProof/>
          </w:rPr>
          <w:t>11.2 Ethical Guidelines</w:t>
        </w:r>
        <w:r w:rsidR="00EA1C0E">
          <w:rPr>
            <w:noProof/>
            <w:webHidden/>
          </w:rPr>
          <w:tab/>
        </w:r>
        <w:r w:rsidR="00EA1C0E">
          <w:rPr>
            <w:noProof/>
            <w:webHidden/>
          </w:rPr>
          <w:fldChar w:fldCharType="begin"/>
        </w:r>
        <w:r w:rsidR="00EA1C0E">
          <w:rPr>
            <w:noProof/>
            <w:webHidden/>
          </w:rPr>
          <w:instrText xml:space="preserve"> PAGEREF _Toc178589712 \h </w:instrText>
        </w:r>
        <w:r w:rsidR="00EA1C0E">
          <w:rPr>
            <w:noProof/>
            <w:webHidden/>
          </w:rPr>
        </w:r>
        <w:r w:rsidR="00EA1C0E">
          <w:rPr>
            <w:noProof/>
            <w:webHidden/>
          </w:rPr>
          <w:fldChar w:fldCharType="separate"/>
        </w:r>
        <w:r w:rsidR="00EA1C0E">
          <w:rPr>
            <w:noProof/>
            <w:webHidden/>
          </w:rPr>
          <w:t>96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13" w:history="1">
        <w:r w:rsidR="00EA1C0E" w:rsidRPr="000C3347">
          <w:rPr>
            <w:rStyle w:val="af4"/>
            <w:rFonts w:cs="宋体"/>
            <w:noProof/>
          </w:rPr>
          <w:t>11.3 Ethics Committee</w:t>
        </w:r>
        <w:r w:rsidR="00EA1C0E">
          <w:rPr>
            <w:noProof/>
            <w:webHidden/>
          </w:rPr>
          <w:tab/>
        </w:r>
        <w:r w:rsidR="00EA1C0E">
          <w:rPr>
            <w:noProof/>
            <w:webHidden/>
          </w:rPr>
          <w:fldChar w:fldCharType="begin"/>
        </w:r>
        <w:r w:rsidR="00EA1C0E">
          <w:rPr>
            <w:noProof/>
            <w:webHidden/>
          </w:rPr>
          <w:instrText xml:space="preserve"> PAGEREF _Toc178589713 \h </w:instrText>
        </w:r>
        <w:r w:rsidR="00EA1C0E">
          <w:rPr>
            <w:noProof/>
            <w:webHidden/>
          </w:rPr>
        </w:r>
        <w:r w:rsidR="00EA1C0E">
          <w:rPr>
            <w:noProof/>
            <w:webHidden/>
          </w:rPr>
          <w:fldChar w:fldCharType="separate"/>
        </w:r>
        <w:r w:rsidR="00EA1C0E">
          <w:rPr>
            <w:noProof/>
            <w:webHidden/>
          </w:rPr>
          <w:t>96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14" w:history="1">
        <w:r w:rsidR="00EA1C0E" w:rsidRPr="000C3347">
          <w:rPr>
            <w:rStyle w:val="af4"/>
            <w:rFonts w:cs="宋体"/>
            <w:noProof/>
          </w:rPr>
          <w:t>11.4 Informed Consent</w:t>
        </w:r>
        <w:r w:rsidR="00EA1C0E">
          <w:rPr>
            <w:noProof/>
            <w:webHidden/>
          </w:rPr>
          <w:tab/>
        </w:r>
        <w:r w:rsidR="00EA1C0E">
          <w:rPr>
            <w:noProof/>
            <w:webHidden/>
          </w:rPr>
          <w:fldChar w:fldCharType="begin"/>
        </w:r>
        <w:r w:rsidR="00EA1C0E">
          <w:rPr>
            <w:noProof/>
            <w:webHidden/>
          </w:rPr>
          <w:instrText xml:space="preserve"> PAGEREF _Toc178589714 \h </w:instrText>
        </w:r>
        <w:r w:rsidR="00EA1C0E">
          <w:rPr>
            <w:noProof/>
            <w:webHidden/>
          </w:rPr>
        </w:r>
        <w:r w:rsidR="00EA1C0E">
          <w:rPr>
            <w:noProof/>
            <w:webHidden/>
          </w:rPr>
          <w:fldChar w:fldCharType="separate"/>
        </w:r>
        <w:r w:rsidR="00EA1C0E">
          <w:rPr>
            <w:noProof/>
            <w:webHidden/>
          </w:rPr>
          <w:t>96</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15" w:history="1">
        <w:r w:rsidR="00EA1C0E" w:rsidRPr="000C3347">
          <w:rPr>
            <w:rStyle w:val="af4"/>
            <w:rFonts w:cs="宋体"/>
            <w:noProof/>
          </w:rPr>
          <w:t>11.5 Confidentiality of Subject Information</w:t>
        </w:r>
        <w:r w:rsidR="00EA1C0E">
          <w:rPr>
            <w:noProof/>
            <w:webHidden/>
          </w:rPr>
          <w:tab/>
        </w:r>
        <w:r w:rsidR="00EA1C0E">
          <w:rPr>
            <w:noProof/>
            <w:webHidden/>
          </w:rPr>
          <w:fldChar w:fldCharType="begin"/>
        </w:r>
        <w:r w:rsidR="00EA1C0E">
          <w:rPr>
            <w:noProof/>
            <w:webHidden/>
          </w:rPr>
          <w:instrText xml:space="preserve"> PAGEREF _Toc178589715 \h </w:instrText>
        </w:r>
        <w:r w:rsidR="00EA1C0E">
          <w:rPr>
            <w:noProof/>
            <w:webHidden/>
          </w:rPr>
        </w:r>
        <w:r w:rsidR="00EA1C0E">
          <w:rPr>
            <w:noProof/>
            <w:webHidden/>
          </w:rPr>
          <w:fldChar w:fldCharType="separate"/>
        </w:r>
        <w:r w:rsidR="00EA1C0E">
          <w:rPr>
            <w:noProof/>
            <w:webHidden/>
          </w:rPr>
          <w:t>97</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16" w:history="1">
        <w:r w:rsidR="00EA1C0E" w:rsidRPr="000C3347">
          <w:rPr>
            <w:rStyle w:val="af4"/>
            <w:noProof/>
          </w:rPr>
          <w:t>12. Study Management</w:t>
        </w:r>
        <w:r w:rsidR="00EA1C0E">
          <w:rPr>
            <w:noProof/>
            <w:webHidden/>
          </w:rPr>
          <w:tab/>
        </w:r>
        <w:r w:rsidR="00EA1C0E">
          <w:rPr>
            <w:noProof/>
            <w:webHidden/>
          </w:rPr>
          <w:fldChar w:fldCharType="begin"/>
        </w:r>
        <w:r w:rsidR="00EA1C0E">
          <w:rPr>
            <w:noProof/>
            <w:webHidden/>
          </w:rPr>
          <w:instrText xml:space="preserve"> PAGEREF _Toc178589716 \h </w:instrText>
        </w:r>
        <w:r w:rsidR="00EA1C0E">
          <w:rPr>
            <w:noProof/>
            <w:webHidden/>
          </w:rPr>
        </w:r>
        <w:r w:rsidR="00EA1C0E">
          <w:rPr>
            <w:noProof/>
            <w:webHidden/>
          </w:rPr>
          <w:fldChar w:fldCharType="separate"/>
        </w:r>
        <w:r w:rsidR="00EA1C0E">
          <w:rPr>
            <w:noProof/>
            <w:webHidden/>
          </w:rPr>
          <w:t>98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17" w:history="1">
        <w:r w:rsidR="00EA1C0E" w:rsidRPr="000C3347">
          <w:rPr>
            <w:rStyle w:val="af4"/>
            <w:rFonts w:cs="宋体"/>
            <w:noProof/>
          </w:rPr>
          <w:t>12.1 Study Management Organization</w:t>
        </w:r>
        <w:r w:rsidR="00EA1C0E">
          <w:rPr>
            <w:noProof/>
            <w:webHidden/>
          </w:rPr>
          <w:tab/>
        </w:r>
        <w:r w:rsidR="00EA1C0E">
          <w:rPr>
            <w:noProof/>
            <w:webHidden/>
          </w:rPr>
          <w:fldChar w:fldCharType="begin"/>
        </w:r>
        <w:r w:rsidR="00EA1C0E">
          <w:rPr>
            <w:noProof/>
            <w:webHidden/>
          </w:rPr>
          <w:instrText xml:space="preserve"> PAGEREF _Toc178589717 \h </w:instrText>
        </w:r>
        <w:r w:rsidR="00EA1C0E">
          <w:rPr>
            <w:noProof/>
            <w:webHidden/>
          </w:rPr>
        </w:r>
        <w:r w:rsidR="00EA1C0E">
          <w:rPr>
            <w:noProof/>
            <w:webHidden/>
          </w:rPr>
          <w:fldChar w:fldCharType="separate"/>
        </w:r>
        <w:r w:rsidR="00EA1C0E">
          <w:rPr>
            <w:noProof/>
            <w:webHidden/>
          </w:rPr>
          <w:t>98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18" w:history="1">
        <w:r w:rsidR="00EA1C0E" w:rsidRPr="000C3347">
          <w:rPr>
            <w:rStyle w:val="af4"/>
            <w:rFonts w:cs="宋体"/>
            <w:noProof/>
          </w:rPr>
          <w:t>12.2 Standardized Operation</w:t>
        </w:r>
        <w:r w:rsidR="00EA1C0E">
          <w:rPr>
            <w:noProof/>
            <w:webHidden/>
          </w:rPr>
          <w:tab/>
        </w:r>
        <w:r w:rsidR="00EA1C0E">
          <w:rPr>
            <w:noProof/>
            <w:webHidden/>
          </w:rPr>
          <w:fldChar w:fldCharType="begin"/>
        </w:r>
        <w:r w:rsidR="00EA1C0E">
          <w:rPr>
            <w:noProof/>
            <w:webHidden/>
          </w:rPr>
          <w:instrText xml:space="preserve"> PAGEREF _Toc178589718 \h </w:instrText>
        </w:r>
        <w:r w:rsidR="00EA1C0E">
          <w:rPr>
            <w:noProof/>
            <w:webHidden/>
          </w:rPr>
        </w:r>
        <w:r w:rsidR="00EA1C0E">
          <w:rPr>
            <w:noProof/>
            <w:webHidden/>
          </w:rPr>
          <w:fldChar w:fldCharType="separate"/>
        </w:r>
        <w:r w:rsidR="00EA1C0E">
          <w:rPr>
            <w:noProof/>
            <w:webHidden/>
          </w:rPr>
          <w:t>98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19" w:history="1">
        <w:r w:rsidR="00EA1C0E" w:rsidRPr="000C3347">
          <w:rPr>
            <w:rStyle w:val="af4"/>
            <w:rFonts w:cs="宋体"/>
            <w:noProof/>
          </w:rPr>
          <w:t>12.3 Training</w:t>
        </w:r>
        <w:r w:rsidR="00EA1C0E">
          <w:rPr>
            <w:noProof/>
            <w:webHidden/>
          </w:rPr>
          <w:tab/>
        </w:r>
        <w:r w:rsidR="00EA1C0E">
          <w:rPr>
            <w:noProof/>
            <w:webHidden/>
          </w:rPr>
          <w:fldChar w:fldCharType="begin"/>
        </w:r>
        <w:r w:rsidR="00EA1C0E">
          <w:rPr>
            <w:noProof/>
            <w:webHidden/>
          </w:rPr>
          <w:instrText xml:space="preserve"> PAGEREF _Toc178589719 \h </w:instrText>
        </w:r>
        <w:r w:rsidR="00EA1C0E">
          <w:rPr>
            <w:noProof/>
            <w:webHidden/>
          </w:rPr>
        </w:r>
        <w:r w:rsidR="00EA1C0E">
          <w:rPr>
            <w:noProof/>
            <w:webHidden/>
          </w:rPr>
          <w:fldChar w:fldCharType="separate"/>
        </w:r>
        <w:r w:rsidR="00EA1C0E">
          <w:rPr>
            <w:noProof/>
            <w:webHidden/>
          </w:rPr>
          <w:t>98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20" w:history="1">
        <w:r w:rsidR="00EA1C0E" w:rsidRPr="000C3347">
          <w:rPr>
            <w:rStyle w:val="af4"/>
            <w:rFonts w:cs="宋体"/>
            <w:noProof/>
          </w:rPr>
          <w:t>12.4 Clinical Monitoring</w:t>
        </w:r>
        <w:r w:rsidR="00EA1C0E">
          <w:rPr>
            <w:noProof/>
            <w:webHidden/>
          </w:rPr>
          <w:tab/>
        </w:r>
        <w:r w:rsidR="00EA1C0E">
          <w:rPr>
            <w:noProof/>
            <w:webHidden/>
          </w:rPr>
          <w:fldChar w:fldCharType="begin"/>
        </w:r>
        <w:r w:rsidR="00EA1C0E">
          <w:rPr>
            <w:noProof/>
            <w:webHidden/>
          </w:rPr>
          <w:instrText xml:space="preserve"> PAGEREF _Toc178589720 \h </w:instrText>
        </w:r>
        <w:r w:rsidR="00EA1C0E">
          <w:rPr>
            <w:noProof/>
            <w:webHidden/>
          </w:rPr>
        </w:r>
        <w:r w:rsidR="00EA1C0E">
          <w:rPr>
            <w:noProof/>
            <w:webHidden/>
          </w:rPr>
          <w:fldChar w:fldCharType="separate"/>
        </w:r>
        <w:r w:rsidR="00EA1C0E">
          <w:rPr>
            <w:noProof/>
            <w:webHidden/>
          </w:rPr>
          <w:t>98</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21" w:history="1">
        <w:r w:rsidR="00EA1C0E" w:rsidRPr="000C3347">
          <w:rPr>
            <w:rStyle w:val="af4"/>
            <w:rFonts w:cs="宋体"/>
            <w:noProof/>
          </w:rPr>
          <w:t>12.5 Recording and Retention of Study Data</w:t>
        </w:r>
        <w:r w:rsidR="00EA1C0E">
          <w:rPr>
            <w:noProof/>
            <w:webHidden/>
          </w:rPr>
          <w:tab/>
        </w:r>
        <w:r w:rsidR="00EA1C0E">
          <w:rPr>
            <w:noProof/>
            <w:webHidden/>
          </w:rPr>
          <w:fldChar w:fldCharType="begin"/>
        </w:r>
        <w:r w:rsidR="00EA1C0E">
          <w:rPr>
            <w:noProof/>
            <w:webHidden/>
          </w:rPr>
          <w:instrText xml:space="preserve"> PAGEREF _Toc178589721 \h </w:instrText>
        </w:r>
        <w:r w:rsidR="00EA1C0E">
          <w:rPr>
            <w:noProof/>
            <w:webHidden/>
          </w:rPr>
        </w:r>
        <w:r w:rsidR="00EA1C0E">
          <w:rPr>
            <w:noProof/>
            <w:webHidden/>
          </w:rPr>
          <w:fldChar w:fldCharType="separate"/>
        </w:r>
        <w:r w:rsidR="00EA1C0E">
          <w:rPr>
            <w:noProof/>
            <w:webHidden/>
          </w:rPr>
          <w:t>99</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22" w:history="1">
        <w:r w:rsidR="00EA1C0E" w:rsidRPr="000C3347">
          <w:rPr>
            <w:rStyle w:val="af4"/>
            <w:rFonts w:cs="宋体"/>
            <w:noProof/>
          </w:rPr>
          <w:t>12.6 Quality Control and Quality Assurance</w:t>
        </w:r>
        <w:r w:rsidR="00EA1C0E">
          <w:rPr>
            <w:noProof/>
            <w:webHidden/>
          </w:rPr>
          <w:tab/>
        </w:r>
        <w:r w:rsidR="00EA1C0E">
          <w:rPr>
            <w:noProof/>
            <w:webHidden/>
          </w:rPr>
          <w:fldChar w:fldCharType="begin"/>
        </w:r>
        <w:r w:rsidR="00EA1C0E">
          <w:rPr>
            <w:noProof/>
            <w:webHidden/>
          </w:rPr>
          <w:instrText xml:space="preserve"> PAGEREF _Toc178589722 \h </w:instrText>
        </w:r>
        <w:r w:rsidR="00EA1C0E">
          <w:rPr>
            <w:noProof/>
            <w:webHidden/>
          </w:rPr>
        </w:r>
        <w:r w:rsidR="00EA1C0E">
          <w:rPr>
            <w:noProof/>
            <w:webHidden/>
          </w:rPr>
          <w:fldChar w:fldCharType="separate"/>
        </w:r>
        <w:r w:rsidR="00EA1C0E">
          <w:rPr>
            <w:noProof/>
            <w:webHidden/>
          </w:rPr>
          <w:t>100</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23" w:history="1">
        <w:r w:rsidR="00EA1C0E" w:rsidRPr="000C3347">
          <w:rPr>
            <w:rStyle w:val="af4"/>
            <w:noProof/>
          </w:rPr>
          <w:t>13. Publication of Study Results</w:t>
        </w:r>
        <w:r w:rsidR="00EA1C0E">
          <w:rPr>
            <w:noProof/>
            <w:webHidden/>
          </w:rPr>
          <w:tab/>
        </w:r>
        <w:r w:rsidR="00EA1C0E">
          <w:rPr>
            <w:noProof/>
            <w:webHidden/>
          </w:rPr>
          <w:fldChar w:fldCharType="begin"/>
        </w:r>
        <w:r w:rsidR="00EA1C0E">
          <w:rPr>
            <w:noProof/>
            <w:webHidden/>
          </w:rPr>
          <w:instrText xml:space="preserve"> PAGEREF _Toc178589723 \h </w:instrText>
        </w:r>
        <w:r w:rsidR="00EA1C0E">
          <w:rPr>
            <w:noProof/>
            <w:webHidden/>
          </w:rPr>
        </w:r>
        <w:r w:rsidR="00EA1C0E">
          <w:rPr>
            <w:noProof/>
            <w:webHidden/>
          </w:rPr>
          <w:fldChar w:fldCharType="separate"/>
        </w:r>
        <w:r w:rsidR="00EA1C0E">
          <w:rPr>
            <w:noProof/>
            <w:webHidden/>
          </w:rPr>
          <w:t>101</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24" w:history="1">
        <w:r w:rsidR="00EA1C0E" w:rsidRPr="000C3347">
          <w:rPr>
            <w:rStyle w:val="af4"/>
            <w:noProof/>
          </w:rPr>
          <w:t>14. Clinical Study Progress</w:t>
        </w:r>
        <w:r w:rsidR="00EA1C0E">
          <w:rPr>
            <w:noProof/>
            <w:webHidden/>
          </w:rPr>
          <w:tab/>
        </w:r>
        <w:r w:rsidR="00EA1C0E">
          <w:rPr>
            <w:noProof/>
            <w:webHidden/>
          </w:rPr>
          <w:fldChar w:fldCharType="begin"/>
        </w:r>
        <w:r w:rsidR="00EA1C0E">
          <w:rPr>
            <w:noProof/>
            <w:webHidden/>
          </w:rPr>
          <w:instrText xml:space="preserve"> PAGEREF _Toc178589724 \h </w:instrText>
        </w:r>
        <w:r w:rsidR="00EA1C0E">
          <w:rPr>
            <w:noProof/>
            <w:webHidden/>
          </w:rPr>
        </w:r>
        <w:r w:rsidR="00EA1C0E">
          <w:rPr>
            <w:noProof/>
            <w:webHidden/>
          </w:rPr>
          <w:fldChar w:fldCharType="separate"/>
        </w:r>
        <w:r w:rsidR="00EA1C0E">
          <w:rPr>
            <w:noProof/>
            <w:webHidden/>
          </w:rPr>
          <w:t>102</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25" w:history="1">
        <w:r w:rsidR="00EA1C0E" w:rsidRPr="000C3347">
          <w:rPr>
            <w:rStyle w:val="af4"/>
            <w:noProof/>
          </w:rPr>
          <w:t>15. Study protocol Amendment and Approval</w:t>
        </w:r>
        <w:r w:rsidR="00EA1C0E">
          <w:rPr>
            <w:noProof/>
            <w:webHidden/>
          </w:rPr>
          <w:tab/>
        </w:r>
        <w:r w:rsidR="00EA1C0E">
          <w:rPr>
            <w:noProof/>
            <w:webHidden/>
          </w:rPr>
          <w:fldChar w:fldCharType="begin"/>
        </w:r>
        <w:r w:rsidR="00EA1C0E">
          <w:rPr>
            <w:noProof/>
            <w:webHidden/>
          </w:rPr>
          <w:instrText xml:space="preserve"> PAGEREF _Toc178589725 \h </w:instrText>
        </w:r>
        <w:r w:rsidR="00EA1C0E">
          <w:rPr>
            <w:noProof/>
            <w:webHidden/>
          </w:rPr>
        </w:r>
        <w:r w:rsidR="00EA1C0E">
          <w:rPr>
            <w:noProof/>
            <w:webHidden/>
          </w:rPr>
          <w:fldChar w:fldCharType="separate"/>
        </w:r>
        <w:r w:rsidR="00EA1C0E">
          <w:rPr>
            <w:noProof/>
            <w:webHidden/>
          </w:rPr>
          <w:t>103</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26" w:history="1">
        <w:r w:rsidR="00EA1C0E" w:rsidRPr="000C3347">
          <w:rPr>
            <w:rStyle w:val="af4"/>
            <w:noProof/>
          </w:rPr>
          <w:t>16. Study Site and Personnel</w:t>
        </w:r>
        <w:r w:rsidR="00EA1C0E">
          <w:rPr>
            <w:noProof/>
            <w:webHidden/>
          </w:rPr>
          <w:tab/>
        </w:r>
        <w:r w:rsidR="00EA1C0E">
          <w:rPr>
            <w:noProof/>
            <w:webHidden/>
          </w:rPr>
          <w:fldChar w:fldCharType="begin"/>
        </w:r>
        <w:r w:rsidR="00EA1C0E">
          <w:rPr>
            <w:noProof/>
            <w:webHidden/>
          </w:rPr>
          <w:instrText xml:space="preserve"> PAGEREF _Toc178589726 \h </w:instrText>
        </w:r>
        <w:r w:rsidR="00EA1C0E">
          <w:rPr>
            <w:noProof/>
            <w:webHidden/>
          </w:rPr>
        </w:r>
        <w:r w:rsidR="00EA1C0E">
          <w:rPr>
            <w:noProof/>
            <w:webHidden/>
          </w:rPr>
          <w:fldChar w:fldCharType="separate"/>
        </w:r>
        <w:r w:rsidR="00EA1C0E">
          <w:rPr>
            <w:noProof/>
            <w:webHidden/>
          </w:rPr>
          <w:t>104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27" w:history="1">
        <w:r w:rsidR="00EA1C0E" w:rsidRPr="000C3347">
          <w:rPr>
            <w:rStyle w:val="af4"/>
            <w:rFonts w:cs="宋体"/>
            <w:noProof/>
          </w:rPr>
          <w:t>16.1 Study Site, Site Number, and Principal Investigator (Sort by Site Number)</w:t>
        </w:r>
        <w:r w:rsidR="00EA1C0E">
          <w:rPr>
            <w:noProof/>
            <w:webHidden/>
          </w:rPr>
          <w:tab/>
        </w:r>
        <w:r w:rsidR="00EA1C0E">
          <w:rPr>
            <w:noProof/>
            <w:webHidden/>
          </w:rPr>
          <w:fldChar w:fldCharType="begin"/>
        </w:r>
        <w:r w:rsidR="00EA1C0E">
          <w:rPr>
            <w:noProof/>
            <w:webHidden/>
          </w:rPr>
          <w:instrText xml:space="preserve"> PAGEREF _Toc178589727 \h </w:instrText>
        </w:r>
        <w:r w:rsidR="00EA1C0E">
          <w:rPr>
            <w:noProof/>
            <w:webHidden/>
          </w:rPr>
        </w:r>
        <w:r w:rsidR="00EA1C0E">
          <w:rPr>
            <w:noProof/>
            <w:webHidden/>
          </w:rPr>
          <w:fldChar w:fldCharType="separate"/>
        </w:r>
        <w:r w:rsidR="00EA1C0E">
          <w:rPr>
            <w:noProof/>
            <w:webHidden/>
          </w:rPr>
          <w:t>104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28" w:history="1">
        <w:r w:rsidR="00EA1C0E" w:rsidRPr="000C3347">
          <w:rPr>
            <w:rStyle w:val="af4"/>
            <w:rFonts w:cs="宋体"/>
            <w:noProof/>
          </w:rPr>
          <w:t>16.2 Leading Site and Responsible Person</w:t>
        </w:r>
        <w:r w:rsidR="00EA1C0E">
          <w:rPr>
            <w:noProof/>
            <w:webHidden/>
          </w:rPr>
          <w:tab/>
        </w:r>
        <w:r w:rsidR="00EA1C0E">
          <w:rPr>
            <w:noProof/>
            <w:webHidden/>
          </w:rPr>
          <w:fldChar w:fldCharType="begin"/>
        </w:r>
        <w:r w:rsidR="00EA1C0E">
          <w:rPr>
            <w:noProof/>
            <w:webHidden/>
          </w:rPr>
          <w:instrText xml:space="preserve"> PAGEREF _Toc178589728 \h </w:instrText>
        </w:r>
        <w:r w:rsidR="00EA1C0E">
          <w:rPr>
            <w:noProof/>
            <w:webHidden/>
          </w:rPr>
        </w:r>
        <w:r w:rsidR="00EA1C0E">
          <w:rPr>
            <w:noProof/>
            <w:webHidden/>
          </w:rPr>
          <w:fldChar w:fldCharType="separate"/>
        </w:r>
        <w:r w:rsidR="00EA1C0E">
          <w:rPr>
            <w:noProof/>
            <w:webHidden/>
          </w:rPr>
          <w:t>104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29" w:history="1">
        <w:r w:rsidR="00EA1C0E" w:rsidRPr="000C3347">
          <w:rPr>
            <w:rStyle w:val="af4"/>
            <w:rFonts w:cs="宋体"/>
            <w:noProof/>
          </w:rPr>
          <w:t>16.3 Study Statistics Institution</w:t>
        </w:r>
        <w:r w:rsidR="00EA1C0E">
          <w:rPr>
            <w:noProof/>
            <w:webHidden/>
          </w:rPr>
          <w:tab/>
        </w:r>
        <w:r w:rsidR="00EA1C0E">
          <w:rPr>
            <w:noProof/>
            <w:webHidden/>
          </w:rPr>
          <w:fldChar w:fldCharType="begin"/>
        </w:r>
        <w:r w:rsidR="00EA1C0E">
          <w:rPr>
            <w:noProof/>
            <w:webHidden/>
          </w:rPr>
          <w:instrText xml:space="preserve"> PAGEREF _Toc178589729 \h </w:instrText>
        </w:r>
        <w:r w:rsidR="00EA1C0E">
          <w:rPr>
            <w:noProof/>
            <w:webHidden/>
          </w:rPr>
        </w:r>
        <w:r w:rsidR="00EA1C0E">
          <w:rPr>
            <w:noProof/>
            <w:webHidden/>
          </w:rPr>
          <w:fldChar w:fldCharType="separate"/>
        </w:r>
        <w:r w:rsidR="00EA1C0E">
          <w:rPr>
            <w:noProof/>
            <w:webHidden/>
          </w:rPr>
          <w:t>104</w:t>
        </w:r>
        <w:r w:rsidR="00EA1C0E">
          <w:rPr>
            <w:noProof/>
            <w:webHidden/>
          </w:rPr>
          <w:fldChar w:fldCharType="end"/>
        </w:r>
      </w:hyperlink>
    </w:p>
    <w:p w:rsidR="00EA1C0E" w:rsidRDefault="00B762CE">
      <w:pPr>
        <w:pStyle w:val="21"/>
        <w:tabs>
          <w:tab w:val="right" w:leader="dot" w:pos="8296"/>
        </w:tabs>
        <w:rPr>
          <w:rFonts w:asciiTheme="minorHAnsi" w:eastAsiaTheme="minorEastAsia" w:hAnsiTheme="minorHAnsi" w:cstheme="minorBidi"/>
          <w:noProof/>
          <w:szCs w:val="22"/>
        </w:rPr>
      </w:pPr>
      <w:hyperlink w:anchor="_Toc178589730" w:history="1">
        <w:r w:rsidR="00EA1C0E" w:rsidRPr="000C3347">
          <w:rPr>
            <w:rStyle w:val="af4"/>
            <w:rFonts w:cs="宋体"/>
            <w:noProof/>
          </w:rPr>
          <w:t>16.4 Co-organizers and Responsible Person</w:t>
        </w:r>
        <w:r w:rsidR="00EA1C0E">
          <w:rPr>
            <w:noProof/>
            <w:webHidden/>
          </w:rPr>
          <w:tab/>
        </w:r>
        <w:r w:rsidR="00EA1C0E">
          <w:rPr>
            <w:noProof/>
            <w:webHidden/>
          </w:rPr>
          <w:fldChar w:fldCharType="begin"/>
        </w:r>
        <w:r w:rsidR="00EA1C0E">
          <w:rPr>
            <w:noProof/>
            <w:webHidden/>
          </w:rPr>
          <w:instrText xml:space="preserve"> PAGEREF _Toc178589730 \h </w:instrText>
        </w:r>
        <w:r w:rsidR="00EA1C0E">
          <w:rPr>
            <w:noProof/>
            <w:webHidden/>
          </w:rPr>
        </w:r>
        <w:r w:rsidR="00EA1C0E">
          <w:rPr>
            <w:noProof/>
            <w:webHidden/>
          </w:rPr>
          <w:fldChar w:fldCharType="separate"/>
        </w:r>
        <w:r w:rsidR="00EA1C0E">
          <w:rPr>
            <w:noProof/>
            <w:webHidden/>
          </w:rPr>
          <w:t>104</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1" w:history="1">
        <w:r w:rsidR="00EA1C0E" w:rsidRPr="000C3347">
          <w:rPr>
            <w:rStyle w:val="af4"/>
            <w:noProof/>
          </w:rPr>
          <w:t>Appendix I Physical Status Scoring Criteria (ECOG)</w:t>
        </w:r>
        <w:r w:rsidR="00EA1C0E">
          <w:rPr>
            <w:noProof/>
            <w:webHidden/>
          </w:rPr>
          <w:tab/>
        </w:r>
        <w:r w:rsidR="00EA1C0E">
          <w:rPr>
            <w:noProof/>
            <w:webHidden/>
          </w:rPr>
          <w:fldChar w:fldCharType="begin"/>
        </w:r>
        <w:r w:rsidR="00EA1C0E">
          <w:rPr>
            <w:noProof/>
            <w:webHidden/>
          </w:rPr>
          <w:instrText xml:space="preserve"> PAGEREF _Toc178589731 \h </w:instrText>
        </w:r>
        <w:r w:rsidR="00EA1C0E">
          <w:rPr>
            <w:noProof/>
            <w:webHidden/>
          </w:rPr>
        </w:r>
        <w:r w:rsidR="00EA1C0E">
          <w:rPr>
            <w:noProof/>
            <w:webHidden/>
          </w:rPr>
          <w:fldChar w:fldCharType="separate"/>
        </w:r>
        <w:r w:rsidR="00EA1C0E">
          <w:rPr>
            <w:noProof/>
            <w:webHidden/>
          </w:rPr>
          <w:t>106</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2" w:history="1">
        <w:r w:rsidR="00EA1C0E" w:rsidRPr="000C3347">
          <w:rPr>
            <w:rStyle w:val="af4"/>
            <w:noProof/>
          </w:rPr>
          <w:t>Appendix II Grading of cardiac insufficiency</w:t>
        </w:r>
        <w:r w:rsidR="00EA1C0E">
          <w:rPr>
            <w:noProof/>
            <w:webHidden/>
          </w:rPr>
          <w:tab/>
        </w:r>
        <w:r w:rsidR="00EA1C0E">
          <w:rPr>
            <w:noProof/>
            <w:webHidden/>
          </w:rPr>
          <w:fldChar w:fldCharType="begin"/>
        </w:r>
        <w:r w:rsidR="00EA1C0E">
          <w:rPr>
            <w:noProof/>
            <w:webHidden/>
          </w:rPr>
          <w:instrText xml:space="preserve"> PAGEREF _Toc178589732 \h </w:instrText>
        </w:r>
        <w:r w:rsidR="00EA1C0E">
          <w:rPr>
            <w:noProof/>
            <w:webHidden/>
          </w:rPr>
        </w:r>
        <w:r w:rsidR="00EA1C0E">
          <w:rPr>
            <w:noProof/>
            <w:webHidden/>
          </w:rPr>
          <w:fldChar w:fldCharType="separate"/>
        </w:r>
        <w:r w:rsidR="00EA1C0E">
          <w:rPr>
            <w:noProof/>
            <w:webHidden/>
          </w:rPr>
          <w:t>107</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3" w:history="1">
        <w:r w:rsidR="00EA1C0E" w:rsidRPr="000C3347">
          <w:rPr>
            <w:rStyle w:val="af4"/>
            <w:noProof/>
          </w:rPr>
          <w:t xml:space="preserve">Appendix III TNM staging of lung cancer (extracted from Chinese Guidelines for Diagnosis and </w:t>
        </w:r>
        <w:r w:rsidR="00EA1C0E" w:rsidRPr="000C3347">
          <w:rPr>
            <w:rStyle w:val="af4"/>
            <w:noProof/>
          </w:rPr>
          <w:lastRenderedPageBreak/>
          <w:t>Treatment of Primary Lung Cancer)</w:t>
        </w:r>
        <w:r w:rsidR="00EA1C0E">
          <w:rPr>
            <w:noProof/>
            <w:webHidden/>
          </w:rPr>
          <w:tab/>
        </w:r>
        <w:r w:rsidR="00EA1C0E">
          <w:rPr>
            <w:noProof/>
            <w:webHidden/>
          </w:rPr>
          <w:fldChar w:fldCharType="begin"/>
        </w:r>
        <w:r w:rsidR="00EA1C0E">
          <w:rPr>
            <w:noProof/>
            <w:webHidden/>
          </w:rPr>
          <w:instrText xml:space="preserve"> PAGEREF _Toc178589733 \h </w:instrText>
        </w:r>
        <w:r w:rsidR="00EA1C0E">
          <w:rPr>
            <w:noProof/>
            <w:webHidden/>
          </w:rPr>
        </w:r>
        <w:r w:rsidR="00EA1C0E">
          <w:rPr>
            <w:noProof/>
            <w:webHidden/>
          </w:rPr>
          <w:fldChar w:fldCharType="separate"/>
        </w:r>
        <w:r w:rsidR="00EA1C0E">
          <w:rPr>
            <w:noProof/>
            <w:webHidden/>
          </w:rPr>
          <w:t>108</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4" w:history="1">
        <w:r w:rsidR="00EA1C0E" w:rsidRPr="000C3347">
          <w:rPr>
            <w:rStyle w:val="af4"/>
            <w:noProof/>
          </w:rPr>
          <w:t>Appendix IV Creatinine Clearance Calculation</w:t>
        </w:r>
        <w:r w:rsidR="00EA1C0E">
          <w:rPr>
            <w:noProof/>
            <w:webHidden/>
          </w:rPr>
          <w:tab/>
        </w:r>
        <w:r w:rsidR="00EA1C0E">
          <w:rPr>
            <w:noProof/>
            <w:webHidden/>
          </w:rPr>
          <w:fldChar w:fldCharType="begin"/>
        </w:r>
        <w:r w:rsidR="00EA1C0E">
          <w:rPr>
            <w:noProof/>
            <w:webHidden/>
          </w:rPr>
          <w:instrText xml:space="preserve"> PAGEREF _Toc178589734 \h </w:instrText>
        </w:r>
        <w:r w:rsidR="00EA1C0E">
          <w:rPr>
            <w:noProof/>
            <w:webHidden/>
          </w:rPr>
        </w:r>
        <w:r w:rsidR="00EA1C0E">
          <w:rPr>
            <w:noProof/>
            <w:webHidden/>
          </w:rPr>
          <w:fldChar w:fldCharType="separate"/>
        </w:r>
        <w:r w:rsidR="00EA1C0E">
          <w:rPr>
            <w:noProof/>
            <w:webHidden/>
          </w:rPr>
          <w:t>111</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5" w:history="1">
        <w:r w:rsidR="00EA1C0E" w:rsidRPr="000C3347">
          <w:rPr>
            <w:rStyle w:val="af4"/>
            <w:noProof/>
          </w:rPr>
          <w:t>Appendix V Quality of Life Scoring Scale</w:t>
        </w:r>
        <w:r w:rsidR="00EA1C0E">
          <w:rPr>
            <w:noProof/>
            <w:webHidden/>
          </w:rPr>
          <w:tab/>
        </w:r>
        <w:r w:rsidR="00EA1C0E">
          <w:rPr>
            <w:noProof/>
            <w:webHidden/>
          </w:rPr>
          <w:fldChar w:fldCharType="begin"/>
        </w:r>
        <w:r w:rsidR="00EA1C0E">
          <w:rPr>
            <w:noProof/>
            <w:webHidden/>
          </w:rPr>
          <w:instrText xml:space="preserve"> PAGEREF _Toc178589735 \h </w:instrText>
        </w:r>
        <w:r w:rsidR="00EA1C0E">
          <w:rPr>
            <w:noProof/>
            <w:webHidden/>
          </w:rPr>
        </w:r>
        <w:r w:rsidR="00EA1C0E">
          <w:rPr>
            <w:noProof/>
            <w:webHidden/>
          </w:rPr>
          <w:fldChar w:fldCharType="separate"/>
        </w:r>
        <w:r w:rsidR="00EA1C0E">
          <w:rPr>
            <w:noProof/>
            <w:webHidden/>
          </w:rPr>
          <w:t>112</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6" w:history="1">
        <w:r w:rsidR="00EA1C0E" w:rsidRPr="000C3347">
          <w:rPr>
            <w:rStyle w:val="af4"/>
            <w:noProof/>
          </w:rPr>
          <w:t>Appendix VI Response Evaluation Criteria in Solid Tumors</w:t>
        </w:r>
        <w:r w:rsidR="00EA1C0E">
          <w:rPr>
            <w:noProof/>
            <w:webHidden/>
          </w:rPr>
          <w:tab/>
        </w:r>
        <w:r w:rsidR="00EA1C0E">
          <w:rPr>
            <w:noProof/>
            <w:webHidden/>
          </w:rPr>
          <w:fldChar w:fldCharType="begin"/>
        </w:r>
        <w:r w:rsidR="00EA1C0E">
          <w:rPr>
            <w:noProof/>
            <w:webHidden/>
          </w:rPr>
          <w:instrText xml:space="preserve"> PAGEREF _Toc178589736 \h </w:instrText>
        </w:r>
        <w:r w:rsidR="00EA1C0E">
          <w:rPr>
            <w:noProof/>
            <w:webHidden/>
          </w:rPr>
        </w:r>
        <w:r w:rsidR="00EA1C0E">
          <w:rPr>
            <w:noProof/>
            <w:webHidden/>
          </w:rPr>
          <w:fldChar w:fldCharType="separate"/>
        </w:r>
        <w:r w:rsidR="00EA1C0E">
          <w:rPr>
            <w:noProof/>
            <w:webHidden/>
          </w:rPr>
          <w:t>118</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7" w:history="1">
        <w:r w:rsidR="00EA1C0E" w:rsidRPr="000C3347">
          <w:rPr>
            <w:rStyle w:val="af4"/>
            <w:noProof/>
          </w:rPr>
          <w:t>Appendix VII Evaluation Criteria for Progress</w:t>
        </w:r>
        <w:r w:rsidR="00EA1C0E">
          <w:rPr>
            <w:noProof/>
            <w:webHidden/>
          </w:rPr>
          <w:tab/>
        </w:r>
        <w:r w:rsidR="00EA1C0E">
          <w:rPr>
            <w:noProof/>
            <w:webHidden/>
          </w:rPr>
          <w:fldChar w:fldCharType="begin"/>
        </w:r>
        <w:r w:rsidR="00EA1C0E">
          <w:rPr>
            <w:noProof/>
            <w:webHidden/>
          </w:rPr>
          <w:instrText xml:space="preserve"> PAGEREF _Toc178589737 \h </w:instrText>
        </w:r>
        <w:r w:rsidR="00EA1C0E">
          <w:rPr>
            <w:noProof/>
            <w:webHidden/>
          </w:rPr>
        </w:r>
        <w:r w:rsidR="00EA1C0E">
          <w:rPr>
            <w:noProof/>
            <w:webHidden/>
          </w:rPr>
          <w:fldChar w:fldCharType="separate"/>
        </w:r>
        <w:r w:rsidR="00EA1C0E">
          <w:rPr>
            <w:noProof/>
            <w:webHidden/>
          </w:rPr>
          <w:t>131</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8" w:history="1">
        <w:r w:rsidR="00EA1C0E" w:rsidRPr="000C3347">
          <w:rPr>
            <w:rStyle w:val="af4"/>
            <w:noProof/>
          </w:rPr>
          <w:t>Appendix VIII Clinical Trial Drug Label of Anlotinib Hydrochloride in the Treatment of Advanced Lung Cancer</w:t>
        </w:r>
        <w:r w:rsidR="00EA1C0E">
          <w:rPr>
            <w:noProof/>
            <w:webHidden/>
          </w:rPr>
          <w:tab/>
        </w:r>
        <w:r w:rsidR="00EA1C0E">
          <w:rPr>
            <w:noProof/>
            <w:webHidden/>
          </w:rPr>
          <w:fldChar w:fldCharType="begin"/>
        </w:r>
        <w:r w:rsidR="00EA1C0E">
          <w:rPr>
            <w:noProof/>
            <w:webHidden/>
          </w:rPr>
          <w:instrText xml:space="preserve"> PAGEREF _Toc178589738 \h </w:instrText>
        </w:r>
        <w:r w:rsidR="00EA1C0E">
          <w:rPr>
            <w:noProof/>
            <w:webHidden/>
          </w:rPr>
        </w:r>
        <w:r w:rsidR="00EA1C0E">
          <w:rPr>
            <w:noProof/>
            <w:webHidden/>
          </w:rPr>
          <w:fldChar w:fldCharType="separate"/>
        </w:r>
        <w:r w:rsidR="00EA1C0E">
          <w:rPr>
            <w:noProof/>
            <w:webHidden/>
          </w:rPr>
          <w:t>132</w:t>
        </w:r>
        <w:r w:rsidR="00EA1C0E">
          <w:rPr>
            <w:noProof/>
            <w:webHidden/>
          </w:rPr>
          <w:fldChar w:fldCharType="end"/>
        </w:r>
      </w:hyperlink>
    </w:p>
    <w:p w:rsidR="00EA1C0E" w:rsidRDefault="00B762CE">
      <w:pPr>
        <w:pStyle w:val="10"/>
        <w:tabs>
          <w:tab w:val="right" w:leader="dot" w:pos="8296"/>
        </w:tabs>
        <w:rPr>
          <w:rFonts w:asciiTheme="minorHAnsi" w:eastAsiaTheme="minorEastAsia" w:hAnsiTheme="minorHAnsi" w:cstheme="minorBidi"/>
          <w:noProof/>
          <w:szCs w:val="22"/>
        </w:rPr>
      </w:pPr>
      <w:hyperlink w:anchor="_Toc178589739" w:history="1">
        <w:r w:rsidR="00EA1C0E" w:rsidRPr="000C3347">
          <w:rPr>
            <w:rStyle w:val="af4"/>
            <w:noProof/>
          </w:rPr>
          <w:t>Appendix IX Percentage of bone marrow in human bone</w:t>
        </w:r>
        <w:r w:rsidR="00EA1C0E">
          <w:rPr>
            <w:noProof/>
            <w:webHidden/>
          </w:rPr>
          <w:tab/>
        </w:r>
        <w:r w:rsidR="00EA1C0E">
          <w:rPr>
            <w:noProof/>
            <w:webHidden/>
          </w:rPr>
          <w:fldChar w:fldCharType="begin"/>
        </w:r>
        <w:r w:rsidR="00EA1C0E">
          <w:rPr>
            <w:noProof/>
            <w:webHidden/>
          </w:rPr>
          <w:instrText xml:space="preserve"> PAGEREF _Toc178589739 \h </w:instrText>
        </w:r>
        <w:r w:rsidR="00EA1C0E">
          <w:rPr>
            <w:noProof/>
            <w:webHidden/>
          </w:rPr>
        </w:r>
        <w:r w:rsidR="00EA1C0E">
          <w:rPr>
            <w:noProof/>
            <w:webHidden/>
          </w:rPr>
          <w:fldChar w:fldCharType="separate"/>
        </w:r>
        <w:r w:rsidR="00EA1C0E">
          <w:rPr>
            <w:noProof/>
            <w:webHidden/>
          </w:rPr>
          <w:t>132</w:t>
        </w:r>
        <w:r w:rsidR="00EA1C0E">
          <w:rPr>
            <w:noProof/>
            <w:webHidden/>
          </w:rPr>
          <w:fldChar w:fldCharType="end"/>
        </w:r>
      </w:hyperlink>
    </w:p>
    <w:p w:rsidR="00743320" w:rsidRPr="00775168" w:rsidRDefault="00DF7F26">
      <w:pPr>
        <w:widowControl/>
        <w:jc w:val="left"/>
        <w:rPr>
          <w:b/>
          <w:sz w:val="32"/>
        </w:rPr>
      </w:pPr>
      <w:r w:rsidRPr="00775168">
        <w:rPr>
          <w:b/>
          <w:sz w:val="32"/>
        </w:rPr>
        <w:fldChar w:fldCharType="end"/>
      </w: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743320">
      <w:pPr>
        <w:widowControl/>
        <w:jc w:val="left"/>
        <w:rPr>
          <w:b/>
          <w:sz w:val="32"/>
        </w:rPr>
      </w:pPr>
    </w:p>
    <w:p w:rsidR="00743320" w:rsidRPr="00775168" w:rsidRDefault="00D400E8">
      <w:pPr>
        <w:pStyle w:val="P68B1DB1-116"/>
        <w:rPr>
          <w:rFonts w:ascii="Times New Roman" w:hAnsi="Times New Roman" w:cs="Times New Roman" w:hint="default"/>
        </w:rPr>
      </w:pPr>
      <w:bookmarkStart w:id="3" w:name="_Toc178589649"/>
      <w:bookmarkStart w:id="4" w:name="_Toc430282269"/>
      <w:bookmarkStart w:id="5" w:name="_Toc512941674"/>
      <w:bookmarkStart w:id="6" w:name="_Toc512940913"/>
      <w:r w:rsidRPr="00775168">
        <w:rPr>
          <w:rFonts w:ascii="Times New Roman" w:hAnsi="Times New Roman" w:hint="default"/>
        </w:rPr>
        <w:lastRenderedPageBreak/>
        <w:t>Protocol</w:t>
      </w:r>
      <w:r w:rsidR="00DF7F26" w:rsidRPr="00775168">
        <w:rPr>
          <w:rFonts w:ascii="Times New Roman" w:hAnsi="Times New Roman"/>
        </w:rPr>
        <w:t xml:space="preserve"> Summary</w:t>
      </w:r>
      <w:bookmarkEnd w:id="3"/>
      <w:r w:rsidR="00DF7F26" w:rsidRPr="00775168">
        <w:rPr>
          <w:rFonts w:ascii="Times New Roman" w:hAnsi="Times New Roman"/>
        </w:rPr>
        <w:t xml:space="preserve"> </w:t>
      </w:r>
      <w:bookmarkEnd w:id="1"/>
      <w:bookmarkEnd w:id="2"/>
      <w:bookmarkEnd w:id="4"/>
      <w:bookmarkEnd w:id="5"/>
      <w:bookmarkEnd w:id="6"/>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4"/>
        <w:gridCol w:w="1444"/>
        <w:gridCol w:w="6254"/>
      </w:tblGrid>
      <w:tr w:rsidR="00743320" w:rsidRPr="00775168">
        <w:trPr>
          <w:cantSplit/>
          <w:trHeight w:val="297"/>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Study title </w:t>
            </w:r>
          </w:p>
        </w:tc>
        <w:tc>
          <w:tcPr>
            <w:tcW w:w="6254" w:type="dxa"/>
          </w:tcPr>
          <w:p w:rsidR="00743320" w:rsidRPr="00775168" w:rsidRDefault="00DF7F26">
            <w:pPr>
              <w:pStyle w:val="P68B1DB1-af518"/>
              <w:tabs>
                <w:tab w:val="left" w:pos="1418"/>
                <w:tab w:val="left" w:pos="2835"/>
                <w:tab w:val="left" w:pos="3544"/>
              </w:tabs>
              <w:spacing w:before="60" w:after="20" w:line="360" w:lineRule="auto"/>
              <w:rPr>
                <w:rFonts w:hAnsi="Times New Roman" w:hint="default"/>
              </w:rPr>
            </w:pPr>
            <w:r w:rsidRPr="00775168">
              <w:rPr>
                <w:rFonts w:hAnsi="Times New Roman"/>
              </w:rPr>
              <w:t xml:space="preserve">An Open-label, Single-arm, Multicenter, Exploratory Clinical Study of Anlotinib Combined with EGFR-TKIs in the Treatment of Locally Advanced/Advanced Lung Cancer with Acquired Resistance to EGFR-TKIs </w:t>
            </w:r>
          </w:p>
        </w:tc>
      </w:tr>
      <w:tr w:rsidR="00743320" w:rsidRPr="00775168">
        <w:trPr>
          <w:cantSplit/>
          <w:trHeight w:val="297"/>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Study No. </w:t>
            </w:r>
          </w:p>
        </w:tc>
        <w:tc>
          <w:tcPr>
            <w:tcW w:w="6254" w:type="dxa"/>
          </w:tcPr>
          <w:p w:rsidR="00743320" w:rsidRPr="00775168" w:rsidRDefault="00DF7F26">
            <w:pPr>
              <w:pStyle w:val="P68B1DB1-af519"/>
              <w:tabs>
                <w:tab w:val="left" w:pos="1418"/>
                <w:tab w:val="left" w:pos="2835"/>
                <w:tab w:val="left" w:pos="3544"/>
              </w:tabs>
              <w:spacing w:before="60" w:after="20" w:line="360" w:lineRule="auto"/>
              <w:rPr>
                <w:rFonts w:ascii="Times New Roman" w:hAnsi="Times New Roman"/>
              </w:rPr>
            </w:pPr>
            <w:r w:rsidRPr="00775168">
              <w:rPr>
                <w:rFonts w:ascii="Times New Roman" w:hAnsi="Times New Roman"/>
              </w:rPr>
              <w:t xml:space="preserve">CTONG1803/ALTER-L001 </w:t>
            </w:r>
          </w:p>
        </w:tc>
      </w:tr>
      <w:tr w:rsidR="00743320" w:rsidRPr="00775168">
        <w:trPr>
          <w:cantSplit/>
          <w:trHeight w:val="297"/>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Version and date </w:t>
            </w:r>
          </w:p>
        </w:tc>
        <w:tc>
          <w:tcPr>
            <w:tcW w:w="6254" w:type="dxa"/>
          </w:tcPr>
          <w:p w:rsidR="00743320" w:rsidRPr="00775168" w:rsidRDefault="00DF7F26">
            <w:pPr>
              <w:pStyle w:val="P68B1DB1-af520"/>
              <w:tabs>
                <w:tab w:val="left" w:pos="1418"/>
                <w:tab w:val="left" w:pos="2835"/>
                <w:tab w:val="left" w:pos="3544"/>
              </w:tabs>
              <w:spacing w:before="60" w:after="20" w:line="360" w:lineRule="auto"/>
              <w:rPr>
                <w:rFonts w:eastAsiaTheme="minorEastAsia"/>
              </w:rPr>
            </w:pPr>
            <w:r w:rsidRPr="00775168">
              <w:rPr>
                <w:rFonts w:eastAsiaTheme="minorEastAsia" w:cstheme="minorEastAsia"/>
              </w:rPr>
              <w:t xml:space="preserve">V5.3, August 25, 2021 </w:t>
            </w:r>
          </w:p>
        </w:tc>
      </w:tr>
      <w:tr w:rsidR="00743320" w:rsidRPr="00775168">
        <w:trPr>
          <w:cantSplit/>
          <w:trHeight w:val="297"/>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Sponsor </w:t>
            </w:r>
          </w:p>
        </w:tc>
        <w:tc>
          <w:tcPr>
            <w:tcW w:w="6254" w:type="dxa"/>
          </w:tcPr>
          <w:p w:rsidR="00743320" w:rsidRPr="00775168" w:rsidRDefault="00D400E8" w:rsidP="00D400E8">
            <w:pPr>
              <w:pStyle w:val="P68B1DB1-af521"/>
              <w:tabs>
                <w:tab w:val="left" w:pos="1418"/>
                <w:tab w:val="left" w:pos="2835"/>
                <w:tab w:val="left" w:pos="3544"/>
              </w:tabs>
              <w:spacing w:before="60" w:after="20" w:line="360" w:lineRule="auto"/>
              <w:rPr>
                <w:rFonts w:hAnsi="Times New Roman" w:hint="default"/>
              </w:rPr>
            </w:pPr>
            <w:r w:rsidRPr="00775168">
              <w:rPr>
                <w:rFonts w:hAnsi="Times New Roman"/>
              </w:rPr>
              <w:t>Guangdong Provincial People</w:t>
            </w:r>
            <w:r w:rsidRPr="00775168">
              <w:rPr>
                <w:rFonts w:hAnsi="Times New Roman" w:hint="default"/>
              </w:rPr>
              <w:t>’</w:t>
            </w:r>
            <w:r w:rsidRPr="00775168">
              <w:rPr>
                <w:rFonts w:hAnsi="Times New Roman"/>
              </w:rPr>
              <w:t>s Hospital</w:t>
            </w:r>
            <w:r w:rsidR="00DF7F26" w:rsidRPr="00775168">
              <w:rPr>
                <w:rFonts w:hAnsi="Times New Roman"/>
              </w:rPr>
              <w:t xml:space="preserve"> </w:t>
            </w:r>
          </w:p>
        </w:tc>
      </w:tr>
      <w:tr w:rsidR="00743320" w:rsidRPr="00775168">
        <w:trPr>
          <w:cantSplit/>
          <w:trHeight w:val="297"/>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Co-organizer </w:t>
            </w:r>
          </w:p>
        </w:tc>
        <w:tc>
          <w:tcPr>
            <w:tcW w:w="6254" w:type="dxa"/>
          </w:tcPr>
          <w:p w:rsidR="00743320" w:rsidRPr="00775168" w:rsidRDefault="00DF7F26">
            <w:pPr>
              <w:pStyle w:val="P68B1DB1-af521"/>
              <w:tabs>
                <w:tab w:val="left" w:pos="1418"/>
                <w:tab w:val="left" w:pos="2835"/>
                <w:tab w:val="left" w:pos="3544"/>
              </w:tabs>
              <w:spacing w:before="60" w:after="20" w:line="360" w:lineRule="auto"/>
              <w:rPr>
                <w:rFonts w:hAnsi="Times New Roman" w:hint="default"/>
              </w:rPr>
            </w:pPr>
            <w:r w:rsidRPr="00775168">
              <w:rPr>
                <w:rFonts w:hAnsi="Times New Roman"/>
              </w:rPr>
              <w:t xml:space="preserve">Chia Tai Tianqing Pharmaceutical Group Co., Ltd. </w:t>
            </w:r>
          </w:p>
        </w:tc>
      </w:tr>
      <w:tr w:rsidR="00743320" w:rsidRPr="00775168">
        <w:trPr>
          <w:cantSplit/>
          <w:trHeight w:val="389"/>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Nature of Study </w:t>
            </w:r>
          </w:p>
        </w:tc>
        <w:tc>
          <w:tcPr>
            <w:tcW w:w="6254" w:type="dxa"/>
          </w:tcPr>
          <w:p w:rsidR="00743320" w:rsidRPr="00775168" w:rsidRDefault="00DF7F26">
            <w:pPr>
              <w:pStyle w:val="P68B1DB1-af522"/>
              <w:tabs>
                <w:tab w:val="left" w:pos="1418"/>
                <w:tab w:val="left" w:pos="2835"/>
                <w:tab w:val="left" w:pos="3544"/>
              </w:tabs>
              <w:spacing w:before="60" w:after="20" w:line="360" w:lineRule="auto"/>
              <w:rPr>
                <w:rFonts w:hint="default"/>
              </w:rPr>
            </w:pPr>
            <w:r w:rsidRPr="00775168">
              <w:t xml:space="preserve">Exploratory study </w:t>
            </w:r>
          </w:p>
        </w:tc>
      </w:tr>
      <w:tr w:rsidR="00743320" w:rsidRPr="00775168">
        <w:trPr>
          <w:cantSplit/>
          <w:trHeight w:val="324"/>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Study subjects </w:t>
            </w:r>
          </w:p>
        </w:tc>
        <w:tc>
          <w:tcPr>
            <w:tcW w:w="6254" w:type="dxa"/>
          </w:tcPr>
          <w:p w:rsidR="00743320" w:rsidRPr="00775168" w:rsidRDefault="007A5033">
            <w:pPr>
              <w:pStyle w:val="P68B1DB1-a023"/>
              <w:tabs>
                <w:tab w:val="left" w:pos="1418"/>
                <w:tab w:val="left" w:pos="2835"/>
                <w:tab w:val="left" w:pos="3544"/>
              </w:tabs>
              <w:spacing w:before="60" w:after="20" w:line="360" w:lineRule="auto"/>
              <w:rPr>
                <w:rFonts w:hAnsi="Times New Roman" w:hint="default"/>
              </w:rPr>
            </w:pPr>
            <w:r w:rsidRPr="00775168">
              <w:rPr>
                <w:rFonts w:hAnsi="Times New Roman"/>
              </w:rPr>
              <w:t>Patients with locally advanced/advanced non-small cell lung cancer with acquired resistance to EGFR-TKIs</w:t>
            </w:r>
          </w:p>
        </w:tc>
      </w:tr>
      <w:tr w:rsidR="00223BDB" w:rsidRPr="00775168">
        <w:trPr>
          <w:cantSplit/>
          <w:jc w:val="center"/>
        </w:trPr>
        <w:tc>
          <w:tcPr>
            <w:tcW w:w="824" w:type="dxa"/>
            <w:vMerge w:val="restart"/>
          </w:tcPr>
          <w:p w:rsidR="00223BDB" w:rsidRPr="00775168" w:rsidRDefault="00223BDB">
            <w:pPr>
              <w:pStyle w:val="P68B1DB1-a024"/>
              <w:tabs>
                <w:tab w:val="left" w:pos="1418"/>
                <w:tab w:val="left" w:pos="2835"/>
                <w:tab w:val="left" w:pos="3544"/>
              </w:tabs>
              <w:adjustRightInd w:val="0"/>
              <w:spacing w:before="100" w:beforeAutospacing="1" w:after="100" w:afterAutospacing="1" w:line="360" w:lineRule="auto"/>
              <w:jc w:val="left"/>
              <w:rPr>
                <w:rFonts w:hint="default"/>
              </w:rPr>
            </w:pPr>
            <w:r w:rsidRPr="00775168">
              <w:t xml:space="preserve">Study objectives </w:t>
            </w:r>
          </w:p>
        </w:tc>
        <w:tc>
          <w:tcPr>
            <w:tcW w:w="1444" w:type="dxa"/>
          </w:tcPr>
          <w:p w:rsidR="00223BDB" w:rsidRPr="00775168" w:rsidRDefault="00223BDB">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Primary objective </w:t>
            </w:r>
          </w:p>
        </w:tc>
        <w:tc>
          <w:tcPr>
            <w:tcW w:w="6254" w:type="dxa"/>
          </w:tcPr>
          <w:p w:rsidR="00223BDB" w:rsidRPr="00775168" w:rsidRDefault="00223BDB" w:rsidP="00223BDB">
            <w:pPr>
              <w:pStyle w:val="P68B1DB1-a023"/>
              <w:spacing w:line="360" w:lineRule="auto"/>
              <w:rPr>
                <w:rFonts w:hAnsi="Times New Roman" w:hint="default"/>
              </w:rPr>
            </w:pPr>
            <w:r w:rsidRPr="00223BDB">
              <w:rPr>
                <w:rFonts w:hAnsi="Times New Roman"/>
              </w:rPr>
              <w:t xml:space="preserve">To evaluate the progression-free survival (PFS) of anlotinib combined with EGFR-TKIs in the treatment of advanced or locally advanced NSCLC with acquired resistance to EGFR-TKIs. </w:t>
            </w:r>
            <w:r w:rsidRPr="00775168">
              <w:rPr>
                <w:rFonts w:hAnsi="Times New Roman"/>
              </w:rPr>
              <w:t xml:space="preserve"> </w:t>
            </w:r>
          </w:p>
        </w:tc>
      </w:tr>
      <w:tr w:rsidR="00223BDB" w:rsidRPr="00775168">
        <w:trPr>
          <w:cantSplit/>
          <w:jc w:val="center"/>
        </w:trPr>
        <w:tc>
          <w:tcPr>
            <w:tcW w:w="824" w:type="dxa"/>
            <w:vMerge/>
          </w:tcPr>
          <w:p w:rsidR="00223BDB" w:rsidRPr="00775168" w:rsidRDefault="00223BDB">
            <w:pPr>
              <w:tabs>
                <w:tab w:val="left" w:pos="1418"/>
                <w:tab w:val="left" w:pos="2835"/>
                <w:tab w:val="left" w:pos="3544"/>
              </w:tabs>
              <w:spacing w:before="60" w:after="20" w:line="360" w:lineRule="auto"/>
              <w:rPr>
                <w:sz w:val="24"/>
              </w:rPr>
            </w:pPr>
          </w:p>
        </w:tc>
        <w:tc>
          <w:tcPr>
            <w:tcW w:w="1444" w:type="dxa"/>
          </w:tcPr>
          <w:p w:rsidR="00223BDB" w:rsidRPr="00775168" w:rsidRDefault="00223BDB">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Secondary objectives </w:t>
            </w:r>
          </w:p>
        </w:tc>
        <w:tc>
          <w:tcPr>
            <w:tcW w:w="6254" w:type="dxa"/>
          </w:tcPr>
          <w:p w:rsidR="00223BDB" w:rsidRDefault="00223BDB" w:rsidP="00223BDB">
            <w:pPr>
              <w:pStyle w:val="P68B1DB1-1925"/>
              <w:numPr>
                <w:ilvl w:val="0"/>
                <w:numId w:val="2"/>
              </w:numPr>
              <w:topLinePunct/>
              <w:adjustRightInd w:val="0"/>
              <w:snapToGrid w:val="0"/>
              <w:spacing w:line="360" w:lineRule="auto"/>
              <w:ind w:firstLineChars="0"/>
              <w:rPr>
                <w:rFonts w:hint="default"/>
              </w:rPr>
            </w:pPr>
            <w:r>
              <w:t xml:space="preserve">To observe and evaluate 6-month PFS rate, 12-month PFS rate, objective response rate (ORR), disease control rate (DCR) and overall survival (OS) of patients with advanced or locally advanced NSCLC treated with anlotinib combined with EGFR-TKIs; </w:t>
            </w:r>
          </w:p>
          <w:p w:rsidR="00223BDB" w:rsidRDefault="00223BDB" w:rsidP="00223BDB">
            <w:pPr>
              <w:pStyle w:val="P68B1DB1-1925"/>
              <w:numPr>
                <w:ilvl w:val="0"/>
                <w:numId w:val="2"/>
              </w:numPr>
              <w:topLinePunct/>
              <w:adjustRightInd w:val="0"/>
              <w:snapToGrid w:val="0"/>
              <w:spacing w:line="360" w:lineRule="auto"/>
              <w:ind w:firstLineChars="0"/>
              <w:rPr>
                <w:rFonts w:hint="default"/>
              </w:rPr>
            </w:pPr>
            <w:r>
              <w:t xml:space="preserve">To evaluate the safety of anlotinib combined with EGFR-TKIs in the treatment of patients with advanced or locally advanced NSCLC; </w:t>
            </w:r>
          </w:p>
          <w:p w:rsidR="00223BDB" w:rsidRPr="00223BDB" w:rsidRDefault="00223BDB" w:rsidP="00223BDB">
            <w:pPr>
              <w:pStyle w:val="P68B1DB1-1925"/>
              <w:numPr>
                <w:ilvl w:val="0"/>
                <w:numId w:val="2"/>
              </w:numPr>
              <w:topLinePunct/>
              <w:adjustRightInd w:val="0"/>
              <w:snapToGrid w:val="0"/>
              <w:spacing w:line="360" w:lineRule="auto"/>
              <w:ind w:firstLineChars="0"/>
              <w:rPr>
                <w:rFonts w:hint="default"/>
              </w:rPr>
            </w:pPr>
            <w:r w:rsidRPr="00223BDB">
              <w:t>To identify gene mutations at gradual, oligo, or potential progression and after the combination of anlotinib.</w:t>
            </w:r>
          </w:p>
        </w:tc>
      </w:tr>
      <w:tr w:rsidR="00223BDB" w:rsidRPr="00775168">
        <w:trPr>
          <w:cantSplit/>
          <w:jc w:val="center"/>
        </w:trPr>
        <w:tc>
          <w:tcPr>
            <w:tcW w:w="824" w:type="dxa"/>
            <w:vMerge/>
          </w:tcPr>
          <w:p w:rsidR="00223BDB" w:rsidRPr="00775168" w:rsidRDefault="00223BDB">
            <w:pPr>
              <w:tabs>
                <w:tab w:val="left" w:pos="1418"/>
                <w:tab w:val="left" w:pos="2835"/>
                <w:tab w:val="left" w:pos="3544"/>
              </w:tabs>
              <w:spacing w:before="60" w:after="20" w:line="360" w:lineRule="auto"/>
              <w:rPr>
                <w:sz w:val="24"/>
              </w:rPr>
            </w:pPr>
          </w:p>
        </w:tc>
        <w:tc>
          <w:tcPr>
            <w:tcW w:w="1444" w:type="dxa"/>
          </w:tcPr>
          <w:p w:rsidR="00223BDB" w:rsidRPr="00775168" w:rsidRDefault="00223BDB">
            <w:pPr>
              <w:pStyle w:val="P68B1DB1-a017"/>
              <w:tabs>
                <w:tab w:val="left" w:pos="1418"/>
                <w:tab w:val="left" w:pos="2835"/>
                <w:tab w:val="left" w:pos="3544"/>
              </w:tabs>
              <w:spacing w:before="60" w:after="20" w:line="360" w:lineRule="auto"/>
              <w:rPr>
                <w:rFonts w:hAnsi="Times New Roman" w:hint="default"/>
              </w:rPr>
            </w:pPr>
            <w:r>
              <w:rPr>
                <w:rFonts w:hAnsi="Times New Roman" w:cs="Times New Roman" w:hint="default"/>
                <w:color w:val="000000" w:themeColor="text1"/>
                <w:szCs w:val="24"/>
              </w:rPr>
              <w:t>E</w:t>
            </w:r>
            <w:r w:rsidRPr="00080732">
              <w:rPr>
                <w:rFonts w:hAnsi="Times New Roman" w:cs="Times New Roman"/>
                <w:color w:val="000000" w:themeColor="text1"/>
                <w:szCs w:val="24"/>
              </w:rPr>
              <w:t>xploratory</w:t>
            </w:r>
            <w:r w:rsidRPr="00775168">
              <w:rPr>
                <w:rFonts w:hAnsi="Times New Roman"/>
              </w:rPr>
              <w:t xml:space="preserve"> Objectives</w:t>
            </w:r>
          </w:p>
        </w:tc>
        <w:tc>
          <w:tcPr>
            <w:tcW w:w="6254" w:type="dxa"/>
          </w:tcPr>
          <w:p w:rsidR="00223BDB" w:rsidRDefault="00223BDB" w:rsidP="00223BDB">
            <w:pPr>
              <w:pStyle w:val="P68B1DB1-a024"/>
              <w:numPr>
                <w:ilvl w:val="0"/>
                <w:numId w:val="2"/>
              </w:numPr>
              <w:topLinePunct/>
              <w:adjustRightInd w:val="0"/>
              <w:snapToGrid w:val="0"/>
              <w:spacing w:line="360" w:lineRule="auto"/>
              <w:rPr>
                <w:rFonts w:hint="default"/>
              </w:rPr>
            </w:pPr>
            <w:r w:rsidRPr="00223BDB">
              <w:t>To identify gene mutations at gradual, oligo, or potential progression and after the combination of anlotinib;</w:t>
            </w:r>
          </w:p>
        </w:tc>
      </w:tr>
      <w:tr w:rsidR="00743320" w:rsidRPr="00775168">
        <w:trPr>
          <w:cantSplit/>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lastRenderedPageBreak/>
              <w:t xml:space="preserve">Study Endpoints </w:t>
            </w:r>
          </w:p>
        </w:tc>
        <w:tc>
          <w:tcPr>
            <w:tcW w:w="6254" w:type="dxa"/>
          </w:tcPr>
          <w:p w:rsidR="00743320" w:rsidRPr="00775168" w:rsidRDefault="00DF7F26">
            <w:pPr>
              <w:pStyle w:val="P68B1DB1-1926"/>
              <w:topLinePunct/>
              <w:adjustRightInd w:val="0"/>
              <w:snapToGrid w:val="0"/>
              <w:spacing w:line="360" w:lineRule="auto"/>
              <w:ind w:firstLineChars="0" w:firstLine="0"/>
              <w:rPr>
                <w:rFonts w:hint="default"/>
              </w:rPr>
            </w:pPr>
            <w:r w:rsidRPr="00775168">
              <w:t xml:space="preserve">Primary study endpoint </w:t>
            </w:r>
          </w:p>
          <w:p w:rsidR="00743320" w:rsidRPr="00775168" w:rsidRDefault="00DF7F26">
            <w:pPr>
              <w:pStyle w:val="P68B1DB1-1925"/>
              <w:numPr>
                <w:ilvl w:val="0"/>
                <w:numId w:val="2"/>
              </w:numPr>
              <w:topLinePunct/>
              <w:adjustRightInd w:val="0"/>
              <w:snapToGrid w:val="0"/>
              <w:spacing w:line="360" w:lineRule="auto"/>
              <w:ind w:firstLineChars="0"/>
              <w:rPr>
                <w:rFonts w:hint="default"/>
              </w:rPr>
            </w:pPr>
            <w:r w:rsidRPr="00775168">
              <w:t xml:space="preserve">PFS time assessed by the investigator </w:t>
            </w:r>
          </w:p>
          <w:p w:rsidR="00743320" w:rsidRPr="00775168" w:rsidRDefault="00DF7F26">
            <w:pPr>
              <w:pStyle w:val="P68B1DB1-1926"/>
              <w:topLinePunct/>
              <w:adjustRightInd w:val="0"/>
              <w:snapToGrid w:val="0"/>
              <w:spacing w:line="360" w:lineRule="auto"/>
              <w:ind w:firstLineChars="0" w:firstLine="0"/>
              <w:rPr>
                <w:rFonts w:hint="default"/>
              </w:rPr>
            </w:pPr>
            <w:r w:rsidRPr="00775168">
              <w:t xml:space="preserve">Secondary study endpoints </w:t>
            </w:r>
          </w:p>
          <w:p w:rsidR="00743320" w:rsidRPr="00775168" w:rsidRDefault="00223BDB">
            <w:pPr>
              <w:pStyle w:val="P68B1DB1-1925"/>
              <w:numPr>
                <w:ilvl w:val="0"/>
                <w:numId w:val="2"/>
              </w:numPr>
              <w:topLinePunct/>
              <w:adjustRightInd w:val="0"/>
              <w:snapToGrid w:val="0"/>
              <w:spacing w:line="360" w:lineRule="auto"/>
              <w:ind w:firstLineChars="0"/>
              <w:rPr>
                <w:rFonts w:hint="default"/>
              </w:rPr>
            </w:pPr>
            <w:bookmarkStart w:id="7" w:name="OLE_LINK56"/>
            <w:r w:rsidRPr="00E42AF8">
              <w:t>6-month and 12-month PFS rate</w:t>
            </w:r>
            <w:r w:rsidR="00DF7F26" w:rsidRPr="00775168">
              <w:t xml:space="preserve"> </w:t>
            </w:r>
          </w:p>
          <w:p w:rsidR="00743320" w:rsidRDefault="00DF7F26">
            <w:pPr>
              <w:pStyle w:val="P68B1DB1-1925"/>
              <w:numPr>
                <w:ilvl w:val="0"/>
                <w:numId w:val="2"/>
              </w:numPr>
              <w:topLinePunct/>
              <w:adjustRightInd w:val="0"/>
              <w:snapToGrid w:val="0"/>
              <w:spacing w:line="360" w:lineRule="auto"/>
              <w:ind w:firstLineChars="0"/>
              <w:rPr>
                <w:rFonts w:hint="default"/>
              </w:rPr>
            </w:pPr>
            <w:r w:rsidRPr="00775168">
              <w:t>Objective response rate (</w:t>
            </w:r>
            <w:r w:rsidR="00223BDB">
              <w:t>ORR) assessed by investigators</w:t>
            </w:r>
          </w:p>
          <w:p w:rsidR="00223BDB" w:rsidRPr="00775168" w:rsidRDefault="00223BDB">
            <w:pPr>
              <w:pStyle w:val="P68B1DB1-1925"/>
              <w:numPr>
                <w:ilvl w:val="0"/>
                <w:numId w:val="2"/>
              </w:numPr>
              <w:topLinePunct/>
              <w:adjustRightInd w:val="0"/>
              <w:snapToGrid w:val="0"/>
              <w:spacing w:line="360" w:lineRule="auto"/>
              <w:ind w:firstLineChars="0"/>
              <w:rPr>
                <w:rFonts w:hint="default"/>
              </w:rPr>
            </w:pPr>
            <w:r w:rsidRPr="00775168">
              <w:t>Disease control rate (DCR)</w:t>
            </w:r>
            <w:r>
              <w:rPr>
                <w:rFonts w:hint="default"/>
              </w:rPr>
              <w:t xml:space="preserve"> </w:t>
            </w:r>
            <w:r>
              <w:t>assessed by investigators</w:t>
            </w:r>
          </w:p>
          <w:p w:rsidR="00743320" w:rsidRPr="00775168" w:rsidRDefault="00DF7F26">
            <w:pPr>
              <w:pStyle w:val="P68B1DB1-1925"/>
              <w:numPr>
                <w:ilvl w:val="0"/>
                <w:numId w:val="2"/>
              </w:numPr>
              <w:topLinePunct/>
              <w:adjustRightInd w:val="0"/>
              <w:snapToGrid w:val="0"/>
              <w:spacing w:line="360" w:lineRule="auto"/>
              <w:ind w:firstLineChars="0"/>
              <w:rPr>
                <w:rFonts w:hint="default"/>
              </w:rPr>
            </w:pPr>
            <w:r w:rsidRPr="00775168">
              <w:t xml:space="preserve">Overall Survival (OS) </w:t>
            </w:r>
          </w:p>
          <w:p w:rsidR="00743320" w:rsidRPr="00775168" w:rsidRDefault="00223BDB" w:rsidP="00223BDB">
            <w:pPr>
              <w:pStyle w:val="P68B1DB1-1925"/>
              <w:numPr>
                <w:ilvl w:val="0"/>
                <w:numId w:val="2"/>
              </w:numPr>
              <w:topLinePunct/>
              <w:adjustRightInd w:val="0"/>
              <w:snapToGrid w:val="0"/>
              <w:spacing w:line="360" w:lineRule="auto"/>
              <w:ind w:firstLineChars="0"/>
              <w:rPr>
                <w:rFonts w:hint="default"/>
              </w:rPr>
            </w:pPr>
            <w:r>
              <w:t>Safety</w:t>
            </w:r>
            <w:r w:rsidR="00DF7F26" w:rsidRPr="00775168">
              <w:t xml:space="preserve"> </w:t>
            </w:r>
            <w:bookmarkEnd w:id="7"/>
          </w:p>
        </w:tc>
      </w:tr>
      <w:tr w:rsidR="00743320" w:rsidRPr="00775168">
        <w:trPr>
          <w:cantSplit/>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Study Design </w:t>
            </w:r>
          </w:p>
        </w:tc>
        <w:tc>
          <w:tcPr>
            <w:tcW w:w="6254" w:type="dxa"/>
          </w:tcPr>
          <w:p w:rsidR="00743320" w:rsidRPr="00775168" w:rsidRDefault="00DF7F26" w:rsidP="00223BDB">
            <w:pPr>
              <w:pStyle w:val="P68B1DB1-a023"/>
              <w:tabs>
                <w:tab w:val="left" w:pos="1418"/>
                <w:tab w:val="left" w:pos="2835"/>
                <w:tab w:val="left" w:pos="3544"/>
              </w:tabs>
              <w:spacing w:before="60" w:after="20" w:line="360" w:lineRule="auto"/>
              <w:rPr>
                <w:rFonts w:hAnsi="Times New Roman" w:hint="default"/>
              </w:rPr>
            </w:pPr>
            <w:r w:rsidRPr="00775168">
              <w:rPr>
                <w:rFonts w:hAnsi="Times New Roman"/>
              </w:rPr>
              <w:t xml:space="preserve">This is an open-label, single-arm, multicenter, exploratory clinical study to evaluate and observe the combination of </w:t>
            </w:r>
            <w:r w:rsidR="00223BDB">
              <w:rPr>
                <w:rFonts w:hAnsi="Times New Roman" w:hint="default"/>
              </w:rPr>
              <w:t>a</w:t>
            </w:r>
            <w:r w:rsidRPr="00775168">
              <w:rPr>
                <w:rFonts w:hAnsi="Times New Roman"/>
              </w:rPr>
              <w:t xml:space="preserve">nlotinib and EGFR-TKIs in the treatment of locally advanced/advanced non-small cell lung cancer with acquired resistance to EGFR-TKIs </w:t>
            </w:r>
          </w:p>
        </w:tc>
      </w:tr>
      <w:tr w:rsidR="00743320" w:rsidRPr="00775168">
        <w:trPr>
          <w:cantSplit/>
          <w:trHeight w:val="336"/>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Planned number of patients </w:t>
            </w:r>
          </w:p>
        </w:tc>
        <w:tc>
          <w:tcPr>
            <w:tcW w:w="6254" w:type="dxa"/>
          </w:tcPr>
          <w:p w:rsidR="00743320" w:rsidRPr="00775168" w:rsidRDefault="00DF7F26">
            <w:pPr>
              <w:pStyle w:val="P68B1DB1-left27"/>
              <w:tabs>
                <w:tab w:val="clear" w:pos="0"/>
                <w:tab w:val="clear" w:pos="566"/>
                <w:tab w:val="clear" w:pos="851"/>
                <w:tab w:val="clear" w:pos="1133"/>
                <w:tab w:val="clear" w:pos="1701"/>
                <w:tab w:val="clear" w:pos="1984"/>
                <w:tab w:val="clear" w:pos="2268"/>
                <w:tab w:val="clear" w:pos="2552"/>
                <w:tab w:val="clear" w:pos="3118"/>
                <w:tab w:val="clear" w:pos="3401"/>
                <w:tab w:val="clear" w:pos="3685"/>
                <w:tab w:val="clear" w:pos="3969"/>
                <w:tab w:val="clear" w:pos="4252"/>
                <w:tab w:val="clear" w:pos="4536"/>
                <w:tab w:val="clear" w:pos="4820"/>
                <w:tab w:val="clear" w:pos="5102"/>
                <w:tab w:val="left" w:pos="709"/>
                <w:tab w:val="left" w:pos="3544"/>
              </w:tabs>
              <w:spacing w:before="60" w:after="20" w:line="360" w:lineRule="auto"/>
              <w:jc w:val="both"/>
              <w:rPr>
                <w:rFonts w:hint="default"/>
              </w:rPr>
            </w:pPr>
            <w:r w:rsidRPr="00775168">
              <w:t xml:space="preserve">120 cases </w:t>
            </w:r>
          </w:p>
        </w:tc>
      </w:tr>
      <w:tr w:rsidR="00743320" w:rsidRPr="00775168">
        <w:trPr>
          <w:cantSplit/>
          <w:trHeight w:val="336"/>
          <w:jc w:val="center"/>
        </w:trPr>
        <w:tc>
          <w:tcPr>
            <w:tcW w:w="2268" w:type="dxa"/>
            <w:gridSpan w:val="2"/>
          </w:tcPr>
          <w:p w:rsidR="00743320" w:rsidRPr="00775168" w:rsidRDefault="00223BDB">
            <w:pPr>
              <w:pStyle w:val="P68B1DB1-a017"/>
              <w:tabs>
                <w:tab w:val="left" w:pos="1418"/>
                <w:tab w:val="left" w:pos="2835"/>
                <w:tab w:val="left" w:pos="3544"/>
              </w:tabs>
              <w:spacing w:before="60" w:after="20" w:line="360" w:lineRule="auto"/>
              <w:rPr>
                <w:rFonts w:hAnsi="Times New Roman" w:hint="default"/>
              </w:rPr>
            </w:pPr>
            <w:r>
              <w:rPr>
                <w:rFonts w:hAnsi="Times New Roman"/>
              </w:rPr>
              <w:t>Principal</w:t>
            </w:r>
            <w:r>
              <w:rPr>
                <w:rFonts w:hAnsi="Times New Roman" w:hint="default"/>
              </w:rPr>
              <w:t xml:space="preserve"> </w:t>
            </w:r>
            <w:r w:rsidR="00DF7F26" w:rsidRPr="00775168">
              <w:rPr>
                <w:rFonts w:hAnsi="Times New Roman"/>
              </w:rPr>
              <w:t xml:space="preserve">Investigator </w:t>
            </w:r>
          </w:p>
        </w:tc>
        <w:tc>
          <w:tcPr>
            <w:tcW w:w="6254" w:type="dxa"/>
          </w:tcPr>
          <w:p w:rsidR="00743320" w:rsidRPr="00775168" w:rsidRDefault="00DF7F26">
            <w:pPr>
              <w:pStyle w:val="P68B1DB1-left28"/>
              <w:tabs>
                <w:tab w:val="clear" w:pos="0"/>
                <w:tab w:val="clear" w:pos="566"/>
                <w:tab w:val="clear" w:pos="851"/>
                <w:tab w:val="clear" w:pos="1133"/>
                <w:tab w:val="clear" w:pos="1701"/>
                <w:tab w:val="clear" w:pos="1984"/>
                <w:tab w:val="clear" w:pos="2268"/>
                <w:tab w:val="clear" w:pos="2552"/>
                <w:tab w:val="clear" w:pos="3118"/>
                <w:tab w:val="clear" w:pos="3401"/>
                <w:tab w:val="clear" w:pos="3685"/>
                <w:tab w:val="clear" w:pos="3969"/>
                <w:tab w:val="clear" w:pos="4252"/>
                <w:tab w:val="clear" w:pos="4536"/>
                <w:tab w:val="clear" w:pos="4820"/>
                <w:tab w:val="clear" w:pos="5102"/>
                <w:tab w:val="left" w:pos="709"/>
                <w:tab w:val="left" w:pos="3544"/>
              </w:tabs>
              <w:spacing w:before="60" w:after="20" w:line="360" w:lineRule="auto"/>
              <w:jc w:val="both"/>
              <w:rPr>
                <w:rFonts w:hAnsi="Times New Roman" w:hint="default"/>
              </w:rPr>
            </w:pPr>
            <w:r w:rsidRPr="00775168">
              <w:rPr>
                <w:rFonts w:hAnsi="Times New Roman"/>
              </w:rPr>
              <w:t xml:space="preserve">Professor Chen Huajun </w:t>
            </w:r>
          </w:p>
        </w:tc>
      </w:tr>
      <w:tr w:rsidR="00743320" w:rsidRPr="00775168">
        <w:trPr>
          <w:cantSplit/>
          <w:trHeight w:val="336"/>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auto"/>
              <w:rPr>
                <w:rFonts w:hAnsi="Times New Roman" w:hint="default"/>
              </w:rPr>
            </w:pPr>
            <w:r w:rsidRPr="00775168">
              <w:rPr>
                <w:rFonts w:hAnsi="Times New Roman"/>
              </w:rPr>
              <w:t xml:space="preserve">Study site </w:t>
            </w:r>
          </w:p>
        </w:tc>
        <w:tc>
          <w:tcPr>
            <w:tcW w:w="6254" w:type="dxa"/>
          </w:tcPr>
          <w:p w:rsidR="00743320" w:rsidRPr="00775168" w:rsidRDefault="00D400E8" w:rsidP="00D400E8">
            <w:pPr>
              <w:pStyle w:val="P68B1DB1-left29"/>
              <w:tabs>
                <w:tab w:val="clear" w:pos="0"/>
                <w:tab w:val="clear" w:pos="566"/>
                <w:tab w:val="clear" w:pos="851"/>
                <w:tab w:val="clear" w:pos="1133"/>
                <w:tab w:val="clear" w:pos="1701"/>
                <w:tab w:val="clear" w:pos="1984"/>
                <w:tab w:val="clear" w:pos="2268"/>
                <w:tab w:val="clear" w:pos="2552"/>
                <w:tab w:val="clear" w:pos="3118"/>
                <w:tab w:val="clear" w:pos="3401"/>
                <w:tab w:val="clear" w:pos="3685"/>
                <w:tab w:val="clear" w:pos="3969"/>
                <w:tab w:val="clear" w:pos="4252"/>
                <w:tab w:val="clear" w:pos="4536"/>
                <w:tab w:val="clear" w:pos="4820"/>
                <w:tab w:val="clear" w:pos="5102"/>
                <w:tab w:val="left" w:pos="709"/>
                <w:tab w:val="left" w:pos="3544"/>
              </w:tabs>
              <w:spacing w:before="60" w:after="20" w:line="360" w:lineRule="auto"/>
              <w:jc w:val="both"/>
              <w:rPr>
                <w:rFonts w:ascii="Times New Roman" w:hAnsi="Times New Roman" w:hint="default"/>
              </w:rPr>
            </w:pPr>
            <w:r w:rsidRPr="00775168">
              <w:rPr>
                <w:rFonts w:ascii="Times New Roman" w:hAnsi="Times New Roman"/>
              </w:rPr>
              <w:t>Guangdong Provincial People</w:t>
            </w:r>
            <w:r w:rsidRPr="00775168">
              <w:rPr>
                <w:rFonts w:ascii="Times New Roman" w:hAnsi="Times New Roman" w:hint="default"/>
              </w:rPr>
              <w:t>’</w:t>
            </w:r>
            <w:r w:rsidRPr="00775168">
              <w:rPr>
                <w:rFonts w:ascii="Times New Roman" w:hAnsi="Times New Roman"/>
              </w:rPr>
              <w:t>s Hospital</w:t>
            </w:r>
          </w:p>
        </w:tc>
      </w:tr>
      <w:tr w:rsidR="00743320" w:rsidRPr="00775168">
        <w:trPr>
          <w:jc w:val="center"/>
        </w:trPr>
        <w:tc>
          <w:tcPr>
            <w:tcW w:w="2268" w:type="dxa"/>
            <w:gridSpan w:val="2"/>
          </w:tcPr>
          <w:p w:rsidR="00743320" w:rsidRPr="00775168" w:rsidRDefault="00DF7F26">
            <w:pPr>
              <w:pStyle w:val="P68B1DB1-left30"/>
              <w:tabs>
                <w:tab w:val="clear" w:pos="0"/>
                <w:tab w:val="clear" w:pos="566"/>
                <w:tab w:val="clear" w:pos="851"/>
                <w:tab w:val="clear" w:pos="1133"/>
                <w:tab w:val="clear" w:pos="1701"/>
                <w:tab w:val="clear" w:pos="1984"/>
                <w:tab w:val="clear" w:pos="2268"/>
                <w:tab w:val="clear" w:pos="2552"/>
                <w:tab w:val="clear" w:pos="3118"/>
                <w:tab w:val="clear" w:pos="3401"/>
                <w:tab w:val="clear" w:pos="3685"/>
                <w:tab w:val="clear" w:pos="3969"/>
                <w:tab w:val="clear" w:pos="4252"/>
                <w:tab w:val="clear" w:pos="4536"/>
                <w:tab w:val="clear" w:pos="4820"/>
                <w:tab w:val="clear" w:pos="5102"/>
                <w:tab w:val="left" w:pos="709"/>
                <w:tab w:val="left" w:pos="3544"/>
              </w:tabs>
              <w:suppressAutoHyphens/>
              <w:spacing w:before="60" w:after="20" w:line="360" w:lineRule="exact"/>
              <w:rPr>
                <w:rFonts w:hAnsi="Times New Roman" w:hint="default"/>
              </w:rPr>
            </w:pPr>
            <w:r w:rsidRPr="00775168">
              <w:rPr>
                <w:rFonts w:hAnsi="Times New Roman"/>
              </w:rPr>
              <w:t xml:space="preserve">Patient screening criteria </w:t>
            </w:r>
          </w:p>
        </w:tc>
        <w:tc>
          <w:tcPr>
            <w:tcW w:w="6254" w:type="dxa"/>
            <w:vAlign w:val="center"/>
          </w:tcPr>
          <w:p w:rsidR="005524E2" w:rsidRPr="00F62A17" w:rsidRDefault="005524E2" w:rsidP="00F62A17">
            <w:pPr>
              <w:pStyle w:val="P68B1DB1-Default44"/>
              <w:spacing w:line="360" w:lineRule="auto"/>
              <w:jc w:val="both"/>
              <w:rPr>
                <w:rFonts w:hint="default"/>
              </w:rPr>
            </w:pPr>
            <w:r w:rsidRPr="00F62A17">
              <w:t xml:space="preserve">Inclusion criteria </w:t>
            </w:r>
          </w:p>
          <w:p w:rsidR="005524E2" w:rsidRPr="00775168" w:rsidRDefault="005524E2" w:rsidP="005524E2">
            <w:pPr>
              <w:pStyle w:val="P68B1DB1-a09"/>
              <w:numPr>
                <w:ilvl w:val="1"/>
                <w:numId w:val="13"/>
              </w:numPr>
              <w:adjustRightInd w:val="0"/>
              <w:snapToGrid w:val="0"/>
              <w:spacing w:line="360" w:lineRule="auto"/>
              <w:ind w:left="851" w:hanging="851"/>
              <w:jc w:val="left"/>
              <w:rPr>
                <w:rFonts w:hint="default"/>
              </w:rPr>
            </w:pPr>
            <w:r w:rsidRPr="00775168">
              <w:t xml:space="preserve">The subjects voluntarily participate in this study and sign the informed consent form, with good compliance and cooperation in follow-up. </w:t>
            </w:r>
          </w:p>
          <w:p w:rsidR="005524E2" w:rsidRPr="00775168" w:rsidRDefault="005524E2" w:rsidP="005524E2">
            <w:pPr>
              <w:pStyle w:val="P68B1DB1-a024"/>
              <w:numPr>
                <w:ilvl w:val="1"/>
                <w:numId w:val="13"/>
              </w:numPr>
              <w:adjustRightInd w:val="0"/>
              <w:snapToGrid w:val="0"/>
              <w:spacing w:line="360" w:lineRule="auto"/>
              <w:ind w:left="851" w:hanging="851"/>
              <w:jc w:val="left"/>
              <w:rPr>
                <w:rFonts w:cs="宋体" w:hint="default"/>
              </w:rPr>
            </w:pPr>
            <w:r w:rsidRPr="00775168">
              <w:t xml:space="preserve">Male or female patients aged 18-75 years </w:t>
            </w:r>
          </w:p>
          <w:p w:rsidR="005524E2" w:rsidRPr="00775168" w:rsidRDefault="005524E2" w:rsidP="005524E2">
            <w:pPr>
              <w:pStyle w:val="P68B1DB1-a09"/>
              <w:numPr>
                <w:ilvl w:val="1"/>
                <w:numId w:val="13"/>
              </w:numPr>
              <w:adjustRightInd w:val="0"/>
              <w:snapToGrid w:val="0"/>
              <w:spacing w:line="360" w:lineRule="auto"/>
              <w:ind w:left="851" w:hanging="851"/>
              <w:jc w:val="left"/>
              <w:rPr>
                <w:rFonts w:hint="default"/>
              </w:rPr>
            </w:pPr>
            <w:r w:rsidRPr="00775168">
              <w:t xml:space="preserve">Histologically or cytologically confirmed locally advanced or metastatic NSCLC (all histological types); patients previously treated with local therapy (including surgery, radiotherapy, etc.) and other drugs (excluding EGFR TKIs) can be treated for </w:t>
            </w:r>
            <w:r w:rsidRPr="00775168">
              <w:t>≥</w:t>
            </w:r>
            <w:r w:rsidRPr="00775168">
              <w:t xml:space="preserve"> 6 months; </w:t>
            </w:r>
          </w:p>
          <w:p w:rsidR="005524E2" w:rsidRPr="00775168" w:rsidRDefault="005524E2" w:rsidP="005524E2">
            <w:pPr>
              <w:pStyle w:val="P68B1DB1-a024"/>
              <w:numPr>
                <w:ilvl w:val="1"/>
                <w:numId w:val="13"/>
              </w:numPr>
              <w:adjustRightInd w:val="0"/>
              <w:snapToGrid w:val="0"/>
              <w:spacing w:line="360" w:lineRule="auto"/>
              <w:ind w:left="851" w:hanging="851"/>
              <w:jc w:val="left"/>
              <w:rPr>
                <w:rFonts w:cs="宋体" w:hint="default"/>
              </w:rPr>
            </w:pPr>
            <w:r w:rsidRPr="00775168">
              <w:t xml:space="preserve">EGFR mutations confirmed by testing (including but </w:t>
            </w:r>
            <w:r w:rsidRPr="00775168">
              <w:lastRenderedPageBreak/>
              <w:t xml:space="preserve">not limited to T790M, exon 19 deletion and L858R) can receive pathological examination results from another hospital; </w:t>
            </w:r>
          </w:p>
          <w:p w:rsidR="005524E2" w:rsidRPr="00775168" w:rsidRDefault="005524E2" w:rsidP="00BE170A">
            <w:pPr>
              <w:pStyle w:val="P68B1DB1-a024"/>
              <w:numPr>
                <w:ilvl w:val="1"/>
                <w:numId w:val="13"/>
              </w:numPr>
              <w:adjustRightInd w:val="0"/>
              <w:snapToGrid w:val="0"/>
              <w:spacing w:line="360" w:lineRule="auto"/>
              <w:ind w:left="851" w:hanging="851"/>
              <w:jc w:val="left"/>
              <w:rPr>
                <w:rFonts w:hint="default"/>
              </w:rPr>
            </w:pPr>
            <w:r w:rsidRPr="00775168">
              <w:t xml:space="preserve">Patients receiving EGFR-TKIs for </w:t>
            </w:r>
            <w:r w:rsidRPr="00775168">
              <w:t>≥</w:t>
            </w:r>
            <w:r w:rsidRPr="00775168">
              <w:t xml:space="preserve"> 3 months who are clinically found to be at potential risk of disease progression </w:t>
            </w:r>
            <w:r w:rsidRPr="00775168">
              <w:t>①</w:t>
            </w:r>
            <w:r w:rsidRPr="00775168">
              <w:t xml:space="preserve"> or patients with gradual progression </w:t>
            </w:r>
            <w:r w:rsidRPr="00775168">
              <w:t>②</w:t>
            </w:r>
            <w:r w:rsidRPr="00775168">
              <w:t xml:space="preserve"> or oligo progression </w:t>
            </w:r>
            <w:r w:rsidRPr="00775168">
              <w:t>③</w:t>
            </w:r>
            <w:r w:rsidRPr="00775168">
              <w:t xml:space="preserve">. Specifically defined as: </w:t>
            </w:r>
          </w:p>
          <w:p w:rsidR="005524E2" w:rsidRPr="00775168" w:rsidRDefault="005524E2" w:rsidP="00BE170A">
            <w:pPr>
              <w:pStyle w:val="P68B1DB1-a024"/>
              <w:adjustRightInd w:val="0"/>
              <w:snapToGrid w:val="0"/>
              <w:spacing w:line="360" w:lineRule="auto"/>
              <w:ind w:left="851"/>
              <w:jc w:val="left"/>
              <w:rPr>
                <w:rFonts w:hint="default"/>
              </w:rPr>
            </w:pPr>
            <w:r w:rsidRPr="00775168">
              <w:t>①</w:t>
            </w:r>
            <w:r w:rsidRPr="00775168">
              <w:t xml:space="preserve"> Patients with potential risk of disease progression: blood CEA &lt; 10.0 ng/ml, two consecutive test values </w:t>
            </w:r>
            <w:r w:rsidRPr="00775168">
              <w:t>≥</w:t>
            </w:r>
            <w:r w:rsidRPr="00775168">
              <w:t xml:space="preserve"> 10 ng/ml (test time interval is not less than 1 month); or blood CEA </w:t>
            </w:r>
            <w:r w:rsidRPr="00775168">
              <w:t>≥</w:t>
            </w:r>
            <w:r w:rsidRPr="00775168">
              <w:t xml:space="preserve"> 10 ng/ml, two consecutive tests gradually increase (test time interval is not less than 1 month) </w:t>
            </w:r>
          </w:p>
          <w:p w:rsidR="005524E2" w:rsidRPr="00775168" w:rsidRDefault="005524E2" w:rsidP="00BE170A">
            <w:pPr>
              <w:pStyle w:val="P68B1DB1-a024"/>
              <w:adjustRightInd w:val="0"/>
              <w:snapToGrid w:val="0"/>
              <w:spacing w:line="360" w:lineRule="auto"/>
              <w:ind w:left="851"/>
              <w:jc w:val="left"/>
              <w:rPr>
                <w:rFonts w:hint="default"/>
              </w:rPr>
            </w:pPr>
            <w:r w:rsidRPr="00775168">
              <w:t>②</w:t>
            </w:r>
            <w:r w:rsidRPr="00775168">
              <w:t xml:space="preserve"> Patients with gradual progression: disease control </w:t>
            </w:r>
            <w:r w:rsidRPr="00775168">
              <w:t>≥</w:t>
            </w:r>
            <w:r w:rsidRPr="00775168">
              <w:t xml:space="preserve"> 6 months, slightly increased tumor harm to the body compared with previous evaluation (tumor burden score accumulation </w:t>
            </w:r>
            <w:r w:rsidRPr="00775168">
              <w:t>≤</w:t>
            </w:r>
            <w:r w:rsidRPr="00775168">
              <w:t xml:space="preserve"> 2 points), symptom score </w:t>
            </w:r>
            <w:r w:rsidRPr="00775168">
              <w:t>≤</w:t>
            </w:r>
            <w:r w:rsidRPr="00775168">
              <w:t xml:space="preserve"> 1. </w:t>
            </w:r>
          </w:p>
          <w:p w:rsidR="005524E2" w:rsidRPr="00775168" w:rsidRDefault="005524E2" w:rsidP="00BE170A">
            <w:pPr>
              <w:pStyle w:val="P68B1DB1-a024"/>
              <w:adjustRightInd w:val="0"/>
              <w:snapToGrid w:val="0"/>
              <w:spacing w:line="360" w:lineRule="auto"/>
              <w:ind w:left="851"/>
              <w:jc w:val="left"/>
              <w:rPr>
                <w:rFonts w:hint="default"/>
              </w:rPr>
            </w:pPr>
            <w:r w:rsidRPr="00775168">
              <w:t>③</w:t>
            </w:r>
            <w:r w:rsidRPr="00775168">
              <w:t xml:space="preserve"> </w:t>
            </w:r>
            <w:r w:rsidRPr="00775168">
              <w:rPr>
                <w:rFonts w:hint="default"/>
              </w:rPr>
              <w:t>O</w:t>
            </w:r>
            <w:r w:rsidRPr="00775168">
              <w:t xml:space="preserve">ligo progression: disease control </w:t>
            </w:r>
            <w:r w:rsidRPr="00775168">
              <w:t>≥</w:t>
            </w:r>
            <w:r w:rsidRPr="00775168">
              <w:t xml:space="preserve"> 3 months, isolated extracranial progression or intracranial progression, and symptom score </w:t>
            </w:r>
            <w:r w:rsidRPr="00775168">
              <w:t>≤</w:t>
            </w:r>
            <w:r w:rsidRPr="00775168">
              <w:t xml:space="preserve"> 1. </w:t>
            </w:r>
          </w:p>
          <w:p w:rsidR="005524E2" w:rsidRPr="00775168" w:rsidRDefault="005524E2" w:rsidP="00BE170A">
            <w:pPr>
              <w:pStyle w:val="P68B1DB1-a024"/>
              <w:adjustRightInd w:val="0"/>
              <w:snapToGrid w:val="0"/>
              <w:spacing w:line="360" w:lineRule="auto"/>
              <w:ind w:left="851"/>
              <w:jc w:val="left"/>
              <w:rPr>
                <w:rFonts w:hint="default"/>
              </w:rPr>
            </w:pPr>
            <w:r w:rsidRPr="00775168">
              <w:t xml:space="preserve">Symptom score: </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701"/>
              <w:gridCol w:w="1417"/>
            </w:tblGrid>
            <w:tr w:rsidR="005524E2" w:rsidRPr="00775168" w:rsidTr="009F615D">
              <w:trPr>
                <w:jc w:val="center"/>
              </w:trPr>
              <w:tc>
                <w:tcPr>
                  <w:tcW w:w="1271" w:type="dxa"/>
                </w:tcPr>
                <w:p w:rsidR="005524E2" w:rsidRPr="00775168" w:rsidRDefault="005524E2" w:rsidP="005524E2">
                  <w:pPr>
                    <w:pStyle w:val="P68B1DB1-a09"/>
                    <w:spacing w:line="360" w:lineRule="auto"/>
                    <w:rPr>
                      <w:rFonts w:hint="default"/>
                    </w:rPr>
                  </w:pPr>
                  <w:r w:rsidRPr="00775168">
                    <w:t xml:space="preserve">Evaluation Criteria </w:t>
                  </w:r>
                </w:p>
              </w:tc>
              <w:tc>
                <w:tcPr>
                  <w:tcW w:w="1276" w:type="dxa"/>
                </w:tcPr>
                <w:p w:rsidR="005524E2" w:rsidRPr="00775168" w:rsidRDefault="005524E2" w:rsidP="005524E2">
                  <w:pPr>
                    <w:pStyle w:val="P68B1DB1-a09"/>
                    <w:spacing w:line="360" w:lineRule="auto"/>
                    <w:jc w:val="center"/>
                    <w:rPr>
                      <w:rFonts w:hint="default"/>
                    </w:rPr>
                  </w:pPr>
                  <w:r w:rsidRPr="00775168">
                    <w:t xml:space="preserve">No symptoms </w:t>
                  </w:r>
                </w:p>
              </w:tc>
              <w:tc>
                <w:tcPr>
                  <w:tcW w:w="1701" w:type="dxa"/>
                </w:tcPr>
                <w:p w:rsidR="005524E2" w:rsidRPr="00775168" w:rsidRDefault="005524E2" w:rsidP="005524E2">
                  <w:pPr>
                    <w:pStyle w:val="P68B1DB1-a09"/>
                    <w:spacing w:line="360" w:lineRule="auto"/>
                    <w:jc w:val="center"/>
                    <w:rPr>
                      <w:rFonts w:hint="default"/>
                    </w:rPr>
                  </w:pPr>
                  <w:r w:rsidRPr="00775168">
                    <w:t xml:space="preserve">No change in symptoms </w:t>
                  </w:r>
                </w:p>
              </w:tc>
              <w:tc>
                <w:tcPr>
                  <w:tcW w:w="1417" w:type="dxa"/>
                </w:tcPr>
                <w:p w:rsidR="005524E2" w:rsidRPr="00775168" w:rsidRDefault="005524E2" w:rsidP="005524E2">
                  <w:pPr>
                    <w:pStyle w:val="P68B1DB1-a09"/>
                    <w:spacing w:line="360" w:lineRule="auto"/>
                    <w:jc w:val="center"/>
                    <w:rPr>
                      <w:rFonts w:hint="default"/>
                    </w:rPr>
                  </w:pPr>
                  <w:r w:rsidRPr="00775168">
                    <w:t xml:space="preserve">Worsening of symptoms </w:t>
                  </w:r>
                </w:p>
              </w:tc>
            </w:tr>
            <w:tr w:rsidR="005524E2" w:rsidRPr="00775168" w:rsidTr="009F615D">
              <w:trPr>
                <w:jc w:val="center"/>
              </w:trPr>
              <w:tc>
                <w:tcPr>
                  <w:tcW w:w="1271" w:type="dxa"/>
                </w:tcPr>
                <w:p w:rsidR="005524E2" w:rsidRPr="00775168" w:rsidRDefault="005524E2" w:rsidP="005524E2">
                  <w:pPr>
                    <w:pStyle w:val="P68B1DB1-a09"/>
                    <w:spacing w:line="360" w:lineRule="auto"/>
                    <w:rPr>
                      <w:rFonts w:hint="default"/>
                    </w:rPr>
                  </w:pPr>
                  <w:r w:rsidRPr="00775168">
                    <w:t xml:space="preserve">Score </w:t>
                  </w:r>
                </w:p>
              </w:tc>
              <w:tc>
                <w:tcPr>
                  <w:tcW w:w="1276" w:type="dxa"/>
                </w:tcPr>
                <w:p w:rsidR="005524E2" w:rsidRPr="00775168" w:rsidRDefault="005524E2" w:rsidP="005524E2">
                  <w:pPr>
                    <w:pStyle w:val="P68B1DB1-a033"/>
                    <w:spacing w:line="360" w:lineRule="auto"/>
                    <w:jc w:val="center"/>
                  </w:pPr>
                  <w:r w:rsidRPr="00775168">
                    <w:t xml:space="preserve">0 </w:t>
                  </w:r>
                </w:p>
              </w:tc>
              <w:tc>
                <w:tcPr>
                  <w:tcW w:w="1701" w:type="dxa"/>
                </w:tcPr>
                <w:p w:rsidR="005524E2" w:rsidRPr="00775168" w:rsidRDefault="005524E2" w:rsidP="005524E2">
                  <w:pPr>
                    <w:pStyle w:val="P68B1DB1-a033"/>
                    <w:spacing w:line="360" w:lineRule="auto"/>
                    <w:jc w:val="center"/>
                  </w:pPr>
                  <w:r w:rsidRPr="00775168">
                    <w:t xml:space="preserve">1 </w:t>
                  </w:r>
                </w:p>
              </w:tc>
              <w:tc>
                <w:tcPr>
                  <w:tcW w:w="1417" w:type="dxa"/>
                </w:tcPr>
                <w:p w:rsidR="005524E2" w:rsidRPr="00775168" w:rsidRDefault="005524E2" w:rsidP="005524E2">
                  <w:pPr>
                    <w:pStyle w:val="P68B1DB1-a033"/>
                    <w:spacing w:line="360" w:lineRule="auto"/>
                    <w:jc w:val="center"/>
                  </w:pPr>
                  <w:r w:rsidRPr="00775168">
                    <w:t xml:space="preserve">2 </w:t>
                  </w:r>
                </w:p>
              </w:tc>
            </w:tr>
          </w:tbl>
          <w:p w:rsidR="005524E2" w:rsidRPr="00BE170A" w:rsidRDefault="005524E2" w:rsidP="00BE170A">
            <w:pPr>
              <w:pStyle w:val="P68B1DB1-a024"/>
              <w:adjustRightInd w:val="0"/>
              <w:snapToGrid w:val="0"/>
              <w:spacing w:line="360" w:lineRule="auto"/>
              <w:ind w:left="851"/>
              <w:jc w:val="left"/>
            </w:pPr>
            <w:r w:rsidRPr="00775168">
              <w:t xml:space="preserve">Tumor burden score (represented by non-target lesions, cumulative score): </w:t>
            </w:r>
          </w:p>
          <w:tbl>
            <w:tblPr>
              <w:tblW w:w="5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0"/>
              <w:gridCol w:w="955"/>
              <w:gridCol w:w="1276"/>
              <w:gridCol w:w="1276"/>
              <w:gridCol w:w="1134"/>
            </w:tblGrid>
            <w:tr w:rsidR="005524E2" w:rsidRPr="00775168" w:rsidTr="009F615D">
              <w:trPr>
                <w:jc w:val="center"/>
              </w:trPr>
              <w:tc>
                <w:tcPr>
                  <w:tcW w:w="1030" w:type="dxa"/>
                </w:tcPr>
                <w:p w:rsidR="005524E2" w:rsidRPr="00775168" w:rsidRDefault="005524E2" w:rsidP="005524E2">
                  <w:pPr>
                    <w:pStyle w:val="P68B1DB1-a09"/>
                    <w:spacing w:line="360" w:lineRule="auto"/>
                    <w:jc w:val="center"/>
                    <w:rPr>
                      <w:rFonts w:hint="default"/>
                    </w:rPr>
                  </w:pPr>
                  <w:r w:rsidRPr="00775168">
                    <w:t xml:space="preserve">Evaluation </w:t>
                  </w:r>
                </w:p>
                <w:p w:rsidR="005524E2" w:rsidRPr="00775168" w:rsidRDefault="005524E2" w:rsidP="005524E2">
                  <w:pPr>
                    <w:pStyle w:val="P68B1DB1-a09"/>
                    <w:spacing w:line="360" w:lineRule="auto"/>
                    <w:jc w:val="center"/>
                    <w:rPr>
                      <w:rFonts w:hint="default"/>
                    </w:rPr>
                  </w:pPr>
                  <w:r w:rsidRPr="00775168">
                    <w:t>Standar</w:t>
                  </w:r>
                  <w:r w:rsidRPr="00775168">
                    <w:lastRenderedPageBreak/>
                    <w:t xml:space="preserve">d </w:t>
                  </w:r>
                </w:p>
              </w:tc>
              <w:tc>
                <w:tcPr>
                  <w:tcW w:w="955" w:type="dxa"/>
                </w:tcPr>
                <w:p w:rsidR="005524E2" w:rsidRPr="00775168" w:rsidRDefault="005524E2" w:rsidP="005524E2">
                  <w:pPr>
                    <w:pStyle w:val="P68B1DB1-a09"/>
                    <w:spacing w:line="360" w:lineRule="auto"/>
                    <w:jc w:val="center"/>
                    <w:rPr>
                      <w:rFonts w:hint="default"/>
                    </w:rPr>
                  </w:pPr>
                  <w:r w:rsidRPr="00775168">
                    <w:lastRenderedPageBreak/>
                    <w:t>Progression of non-</w:t>
                  </w:r>
                  <w:r w:rsidRPr="00775168">
                    <w:lastRenderedPageBreak/>
                    <w:t xml:space="preserve">target lesions </w:t>
                  </w:r>
                </w:p>
              </w:tc>
              <w:tc>
                <w:tcPr>
                  <w:tcW w:w="1276" w:type="dxa"/>
                </w:tcPr>
                <w:p w:rsidR="005524E2" w:rsidRPr="00775168" w:rsidRDefault="005524E2" w:rsidP="005524E2">
                  <w:pPr>
                    <w:pStyle w:val="P68B1DB1-a09"/>
                    <w:spacing w:line="360" w:lineRule="auto"/>
                    <w:jc w:val="center"/>
                    <w:rPr>
                      <w:rFonts w:hint="default"/>
                    </w:rPr>
                  </w:pPr>
                  <w:r w:rsidRPr="00775168">
                    <w:lastRenderedPageBreak/>
                    <w:t xml:space="preserve">New intrathoracic lesions </w:t>
                  </w:r>
                </w:p>
              </w:tc>
              <w:tc>
                <w:tcPr>
                  <w:tcW w:w="1276" w:type="dxa"/>
                </w:tcPr>
                <w:p w:rsidR="005524E2" w:rsidRPr="00775168" w:rsidRDefault="005524E2" w:rsidP="005524E2">
                  <w:pPr>
                    <w:pStyle w:val="P68B1DB1-a09"/>
                    <w:spacing w:line="360" w:lineRule="auto"/>
                    <w:jc w:val="center"/>
                    <w:rPr>
                      <w:rFonts w:hint="default"/>
                    </w:rPr>
                  </w:pPr>
                  <w:r w:rsidRPr="00775168">
                    <w:t xml:space="preserve">New extrathoracic lesion </w:t>
                  </w:r>
                </w:p>
              </w:tc>
              <w:tc>
                <w:tcPr>
                  <w:tcW w:w="1134" w:type="dxa"/>
                </w:tcPr>
                <w:p w:rsidR="005524E2" w:rsidRPr="00775168" w:rsidRDefault="005524E2" w:rsidP="005524E2">
                  <w:pPr>
                    <w:pStyle w:val="P68B1DB1-a09"/>
                    <w:spacing w:line="360" w:lineRule="auto"/>
                    <w:jc w:val="center"/>
                    <w:rPr>
                      <w:rFonts w:hint="default"/>
                    </w:rPr>
                  </w:pPr>
                  <w:r w:rsidRPr="00775168">
                    <w:t xml:space="preserve">Malignant pleural effusion </w:t>
                  </w:r>
                </w:p>
              </w:tc>
            </w:tr>
            <w:tr w:rsidR="005524E2" w:rsidRPr="00775168" w:rsidTr="009F615D">
              <w:trPr>
                <w:jc w:val="center"/>
              </w:trPr>
              <w:tc>
                <w:tcPr>
                  <w:tcW w:w="1030" w:type="dxa"/>
                </w:tcPr>
                <w:p w:rsidR="005524E2" w:rsidRPr="00775168" w:rsidRDefault="005524E2" w:rsidP="005524E2">
                  <w:pPr>
                    <w:pStyle w:val="P68B1DB1-a09"/>
                    <w:spacing w:line="360" w:lineRule="auto"/>
                    <w:jc w:val="center"/>
                    <w:rPr>
                      <w:rFonts w:hint="default"/>
                    </w:rPr>
                  </w:pPr>
                  <w:r w:rsidRPr="00775168">
                    <w:lastRenderedPageBreak/>
                    <w:t xml:space="preserve">Score </w:t>
                  </w:r>
                </w:p>
              </w:tc>
              <w:tc>
                <w:tcPr>
                  <w:tcW w:w="955" w:type="dxa"/>
                </w:tcPr>
                <w:p w:rsidR="005524E2" w:rsidRPr="00775168" w:rsidRDefault="005524E2" w:rsidP="005524E2">
                  <w:pPr>
                    <w:pStyle w:val="P68B1DB1-a033"/>
                    <w:spacing w:line="360" w:lineRule="auto"/>
                    <w:jc w:val="center"/>
                  </w:pPr>
                  <w:r w:rsidRPr="00775168">
                    <w:t xml:space="preserve">1 </w:t>
                  </w:r>
                </w:p>
              </w:tc>
              <w:tc>
                <w:tcPr>
                  <w:tcW w:w="1276" w:type="dxa"/>
                </w:tcPr>
                <w:p w:rsidR="005524E2" w:rsidRPr="00775168" w:rsidRDefault="005524E2" w:rsidP="005524E2">
                  <w:pPr>
                    <w:pStyle w:val="P68B1DB1-a033"/>
                    <w:spacing w:line="360" w:lineRule="auto"/>
                    <w:jc w:val="center"/>
                  </w:pPr>
                  <w:r w:rsidRPr="00775168">
                    <w:t xml:space="preserve">1 </w:t>
                  </w:r>
                </w:p>
              </w:tc>
              <w:tc>
                <w:tcPr>
                  <w:tcW w:w="1276" w:type="dxa"/>
                </w:tcPr>
                <w:p w:rsidR="005524E2" w:rsidRPr="00775168" w:rsidRDefault="005524E2" w:rsidP="005524E2">
                  <w:pPr>
                    <w:pStyle w:val="P68B1DB1-a033"/>
                    <w:spacing w:line="360" w:lineRule="auto"/>
                    <w:jc w:val="center"/>
                  </w:pPr>
                  <w:r w:rsidRPr="00775168">
                    <w:t xml:space="preserve">1 </w:t>
                  </w:r>
                </w:p>
              </w:tc>
              <w:tc>
                <w:tcPr>
                  <w:tcW w:w="1134" w:type="dxa"/>
                </w:tcPr>
                <w:p w:rsidR="005524E2" w:rsidRPr="00775168" w:rsidRDefault="005524E2" w:rsidP="005524E2">
                  <w:pPr>
                    <w:pStyle w:val="P68B1DB1-a033"/>
                    <w:spacing w:line="360" w:lineRule="auto"/>
                    <w:jc w:val="center"/>
                  </w:pPr>
                  <w:r w:rsidRPr="00775168">
                    <w:t xml:space="preserve">1 </w:t>
                  </w:r>
                </w:p>
              </w:tc>
            </w:tr>
          </w:tbl>
          <w:p w:rsidR="005524E2" w:rsidRPr="00775168" w:rsidRDefault="005524E2" w:rsidP="005524E2">
            <w:pPr>
              <w:pStyle w:val="P68B1DB1-a024"/>
              <w:numPr>
                <w:ilvl w:val="1"/>
                <w:numId w:val="13"/>
              </w:numPr>
              <w:adjustRightInd w:val="0"/>
              <w:snapToGrid w:val="0"/>
              <w:spacing w:line="360" w:lineRule="auto"/>
              <w:ind w:left="851" w:hanging="851"/>
              <w:jc w:val="left"/>
              <w:rPr>
                <w:rFonts w:hint="default"/>
              </w:rPr>
            </w:pPr>
            <w:r w:rsidRPr="00775168">
              <w:t xml:space="preserve">At least 1 measurable target lesion according to RECIST v1.1 within the past 3 months </w:t>
            </w:r>
          </w:p>
          <w:p w:rsidR="005524E2" w:rsidRPr="00775168" w:rsidRDefault="005524E2" w:rsidP="005524E2">
            <w:pPr>
              <w:pStyle w:val="P68B1DB1-a024"/>
              <w:numPr>
                <w:ilvl w:val="1"/>
                <w:numId w:val="13"/>
              </w:numPr>
              <w:adjustRightInd w:val="0"/>
              <w:snapToGrid w:val="0"/>
              <w:spacing w:line="360" w:lineRule="auto"/>
              <w:ind w:left="851" w:hanging="851"/>
              <w:jc w:val="left"/>
              <w:rPr>
                <w:rFonts w:hint="default"/>
              </w:rPr>
            </w:pPr>
            <w:r w:rsidRPr="00775168">
              <w:t xml:space="preserve">Life expectancy of at least 3 months </w:t>
            </w:r>
          </w:p>
          <w:p w:rsidR="005524E2" w:rsidRPr="00775168" w:rsidRDefault="005524E2" w:rsidP="005524E2">
            <w:pPr>
              <w:pStyle w:val="P68B1DB1-a024"/>
              <w:numPr>
                <w:ilvl w:val="1"/>
                <w:numId w:val="13"/>
              </w:numPr>
              <w:adjustRightInd w:val="0"/>
              <w:snapToGrid w:val="0"/>
              <w:spacing w:line="360" w:lineRule="auto"/>
              <w:ind w:left="851" w:hanging="851"/>
              <w:jc w:val="left"/>
              <w:rPr>
                <w:rFonts w:hint="default"/>
              </w:rPr>
            </w:pPr>
            <w:r w:rsidRPr="00775168">
              <w:t xml:space="preserve">ECOG score: 0-2 points; </w:t>
            </w:r>
          </w:p>
          <w:p w:rsidR="005524E2" w:rsidRPr="00775168" w:rsidRDefault="005524E2" w:rsidP="005524E2">
            <w:pPr>
              <w:pStyle w:val="P68B1DB1-a09"/>
              <w:numPr>
                <w:ilvl w:val="1"/>
                <w:numId w:val="13"/>
              </w:numPr>
              <w:adjustRightInd w:val="0"/>
              <w:snapToGrid w:val="0"/>
              <w:spacing w:line="360" w:lineRule="auto"/>
              <w:ind w:left="851" w:hanging="851"/>
              <w:jc w:val="left"/>
              <w:rPr>
                <w:rFonts w:hint="default"/>
              </w:rPr>
            </w:pPr>
            <w:r w:rsidRPr="00775168">
              <w:t xml:space="preserve">Normal function of major organs, i.e. meeting the following criteria: </w:t>
            </w:r>
          </w:p>
          <w:p w:rsidR="005524E2" w:rsidRPr="00775168" w:rsidRDefault="005524E2" w:rsidP="005524E2">
            <w:pPr>
              <w:pStyle w:val="P68B1DB1-a024"/>
              <w:adjustRightInd w:val="0"/>
              <w:snapToGrid w:val="0"/>
              <w:spacing w:line="360" w:lineRule="auto"/>
              <w:ind w:left="851"/>
              <w:jc w:val="left"/>
              <w:rPr>
                <w:rFonts w:hint="default"/>
              </w:rPr>
            </w:pPr>
            <w:r w:rsidRPr="00775168">
              <w:t xml:space="preserve">(1) Blood routine examination criteria need to meet (14) no blood transfusion and blood products, no G-CSF and other hematopoietic stimulating factors correction): </w:t>
            </w:r>
          </w:p>
          <w:p w:rsidR="005524E2" w:rsidRPr="00775168" w:rsidRDefault="005524E2" w:rsidP="005524E2">
            <w:pPr>
              <w:pStyle w:val="P68B1DB1-a024"/>
              <w:adjustRightInd w:val="0"/>
              <w:snapToGrid w:val="0"/>
              <w:spacing w:line="360" w:lineRule="auto"/>
              <w:ind w:left="851"/>
              <w:jc w:val="left"/>
              <w:rPr>
                <w:rFonts w:hint="default"/>
              </w:rPr>
            </w:pPr>
            <w:r w:rsidRPr="00775168">
              <w:t xml:space="preserve">A. HB </w:t>
            </w:r>
            <w:r w:rsidRPr="00775168">
              <w:t>≥</w:t>
            </w:r>
            <w:r w:rsidRPr="00775168">
              <w:t xml:space="preserve"> 90 g/L; </w:t>
            </w:r>
          </w:p>
          <w:p w:rsidR="005524E2" w:rsidRPr="00775168" w:rsidRDefault="005524E2" w:rsidP="005524E2">
            <w:pPr>
              <w:pStyle w:val="P68B1DB1-a024"/>
              <w:adjustRightInd w:val="0"/>
              <w:snapToGrid w:val="0"/>
              <w:spacing w:line="360" w:lineRule="auto"/>
              <w:ind w:left="851"/>
              <w:jc w:val="left"/>
              <w:rPr>
                <w:rFonts w:hint="default"/>
              </w:rPr>
            </w:pPr>
            <w:r w:rsidRPr="00775168">
              <w:t xml:space="preserve">B. ANC </w:t>
            </w:r>
            <w:r w:rsidRPr="00775168">
              <w:t>≥</w:t>
            </w:r>
            <w:r w:rsidRPr="00775168">
              <w:t xml:space="preserve"> 1.5 </w:t>
            </w:r>
            <w:r w:rsidRPr="00775168">
              <w:t>×</w:t>
            </w:r>
            <w:r w:rsidRPr="00775168">
              <w:t xml:space="preserve"> 109/L; </w:t>
            </w:r>
          </w:p>
          <w:p w:rsidR="005524E2" w:rsidRPr="00775168" w:rsidRDefault="005524E2" w:rsidP="005524E2">
            <w:pPr>
              <w:pStyle w:val="P68B1DB1-a024"/>
              <w:adjustRightInd w:val="0"/>
              <w:snapToGrid w:val="0"/>
              <w:spacing w:line="360" w:lineRule="auto"/>
              <w:ind w:left="851"/>
              <w:jc w:val="left"/>
              <w:rPr>
                <w:rFonts w:hint="default"/>
              </w:rPr>
            </w:pPr>
            <w:r w:rsidRPr="00775168">
              <w:t xml:space="preserve">C. PLT </w:t>
            </w:r>
            <w:r w:rsidRPr="00775168">
              <w:t>≥</w:t>
            </w:r>
            <w:r w:rsidRPr="00775168">
              <w:t xml:space="preserve"> 80 </w:t>
            </w:r>
            <w:r w:rsidRPr="00775168">
              <w:t>×</w:t>
            </w:r>
            <w:r w:rsidRPr="00775168">
              <w:t xml:space="preserve"> 109/L; </w:t>
            </w:r>
          </w:p>
          <w:p w:rsidR="005524E2" w:rsidRPr="00775168" w:rsidRDefault="005524E2" w:rsidP="005524E2">
            <w:pPr>
              <w:pStyle w:val="P68B1DB1-a024"/>
              <w:adjustRightInd w:val="0"/>
              <w:snapToGrid w:val="0"/>
              <w:spacing w:line="360" w:lineRule="auto"/>
              <w:ind w:left="851"/>
              <w:jc w:val="left"/>
              <w:rPr>
                <w:rFonts w:hint="default"/>
              </w:rPr>
            </w:pPr>
            <w:r w:rsidRPr="00775168">
              <w:t xml:space="preserve">(2) Biochemical tests need to meet the following criteria: </w:t>
            </w:r>
          </w:p>
          <w:p w:rsidR="005524E2" w:rsidRPr="00775168" w:rsidRDefault="005524E2" w:rsidP="005524E2">
            <w:pPr>
              <w:pStyle w:val="P68B1DB1-a024"/>
              <w:adjustRightInd w:val="0"/>
              <w:snapToGrid w:val="0"/>
              <w:spacing w:line="360" w:lineRule="auto"/>
              <w:ind w:left="851"/>
              <w:jc w:val="left"/>
              <w:rPr>
                <w:rFonts w:hint="default"/>
              </w:rPr>
            </w:pPr>
            <w:r w:rsidRPr="00775168">
              <w:t xml:space="preserve">A. TBIL &lt; 1.5 </w:t>
            </w:r>
            <w:r w:rsidRPr="00775168">
              <w:sym w:font="Symbol" w:char="F0B4"/>
            </w:r>
            <w:r w:rsidRPr="00775168">
              <w:t xml:space="preserve">ULN; </w:t>
            </w:r>
          </w:p>
          <w:p w:rsidR="005524E2" w:rsidRPr="00775168" w:rsidRDefault="005524E2" w:rsidP="005524E2">
            <w:pPr>
              <w:pStyle w:val="P68B1DB1-a024"/>
              <w:adjustRightInd w:val="0"/>
              <w:snapToGrid w:val="0"/>
              <w:spacing w:line="360" w:lineRule="auto"/>
              <w:ind w:left="851"/>
              <w:jc w:val="left"/>
              <w:rPr>
                <w:rFonts w:hint="default"/>
              </w:rPr>
            </w:pPr>
            <w:r w:rsidRPr="00775168">
              <w:t xml:space="preserve">B. ALT and AST &lt; 2.5 </w:t>
            </w:r>
            <w:r w:rsidRPr="00775168">
              <w:sym w:font="Symbol" w:char="F0B4"/>
            </w:r>
            <w:r w:rsidRPr="00775168">
              <w:t xml:space="preserve">ULN and &lt; 5 for patients with liver metastases </w:t>
            </w:r>
            <w:r w:rsidRPr="00775168">
              <w:sym w:font="Symbol" w:char="F0B4"/>
            </w:r>
            <w:r w:rsidRPr="00775168">
              <w:t xml:space="preserve">ULN; </w:t>
            </w:r>
          </w:p>
          <w:p w:rsidR="005524E2" w:rsidRPr="00775168" w:rsidRDefault="005524E2" w:rsidP="005524E2">
            <w:pPr>
              <w:pStyle w:val="P68B1DB1-a024"/>
              <w:adjustRightInd w:val="0"/>
              <w:snapToGrid w:val="0"/>
              <w:spacing w:line="360" w:lineRule="auto"/>
              <w:ind w:left="851"/>
              <w:jc w:val="left"/>
              <w:rPr>
                <w:rFonts w:hint="default"/>
              </w:rPr>
            </w:pPr>
            <w:r w:rsidRPr="00775168">
              <w:t xml:space="preserve">C. serum Cr </w:t>
            </w:r>
            <w:r w:rsidRPr="00775168">
              <w:t>≤</w:t>
            </w:r>
            <w:r w:rsidRPr="00775168">
              <w:t xml:space="preserve"> 1.25 </w:t>
            </w:r>
            <w:r w:rsidRPr="00775168">
              <w:sym w:font="Symbol" w:char="F0B4"/>
            </w:r>
            <w:r w:rsidRPr="00775168">
              <w:t xml:space="preserve">ULN or endogenous creatinine clearance &gt; 45 ml/min (Cockcroft-Gault formula); </w:t>
            </w:r>
          </w:p>
          <w:p w:rsidR="005524E2" w:rsidRPr="00775168" w:rsidRDefault="005524E2" w:rsidP="005524E2">
            <w:pPr>
              <w:pStyle w:val="P68B1DB1-a033"/>
              <w:numPr>
                <w:ilvl w:val="1"/>
                <w:numId w:val="13"/>
              </w:numPr>
              <w:adjustRightInd w:val="0"/>
              <w:snapToGrid w:val="0"/>
              <w:spacing w:line="360" w:lineRule="auto"/>
              <w:ind w:left="851" w:hanging="851"/>
              <w:jc w:val="left"/>
            </w:pPr>
            <w:r w:rsidRPr="00775168">
              <w:rPr>
                <w:rFonts w:hint="eastAsia"/>
              </w:rPr>
              <w:t xml:space="preserve">Women of childbearing potential must have used reliable contraception and had a negative pregnancy test (serum or urine) within 14 days before enrollment and be willing to use an appropriate method of contraception during the trial and for 8 weeks after administration of the trial drug. For men, agree to use an appropriate method of contraception or have been surgically sterilized during the trial and </w:t>
            </w:r>
            <w:r w:rsidRPr="00775168">
              <w:rPr>
                <w:rFonts w:hint="eastAsia"/>
              </w:rPr>
              <w:lastRenderedPageBreak/>
              <w:t xml:space="preserve">for 8 weeks after receiving study drug; </w:t>
            </w:r>
          </w:p>
          <w:p w:rsidR="005524E2" w:rsidRPr="00F62A17" w:rsidRDefault="005524E2" w:rsidP="00F62A17">
            <w:pPr>
              <w:pStyle w:val="P68B1DB1-Default44"/>
              <w:spacing w:line="360" w:lineRule="auto"/>
              <w:jc w:val="both"/>
              <w:rPr>
                <w:rFonts w:hint="default"/>
              </w:rPr>
            </w:pPr>
            <w:r w:rsidRPr="00F62A17">
              <w:t>Exclusion Criteria</w:t>
            </w:r>
          </w:p>
          <w:p w:rsidR="005524E2" w:rsidRPr="00775168" w:rsidRDefault="005524E2" w:rsidP="00BE170A">
            <w:pPr>
              <w:pStyle w:val="P68B1DB1-a033"/>
              <w:numPr>
                <w:ilvl w:val="1"/>
                <w:numId w:val="42"/>
              </w:numPr>
              <w:adjustRightInd w:val="0"/>
              <w:snapToGrid w:val="0"/>
              <w:spacing w:line="360" w:lineRule="auto"/>
              <w:jc w:val="left"/>
            </w:pPr>
            <w:r w:rsidRPr="00775168">
              <w:t xml:space="preserve">Small cell lung cancer (including mixed small cell lung cancer and non-small cell lung cancer); </w:t>
            </w:r>
          </w:p>
          <w:p w:rsidR="005524E2" w:rsidRPr="00775168" w:rsidRDefault="005524E2" w:rsidP="00BE170A">
            <w:pPr>
              <w:pStyle w:val="P68B1DB1-a033"/>
              <w:numPr>
                <w:ilvl w:val="1"/>
                <w:numId w:val="42"/>
              </w:numPr>
              <w:adjustRightInd w:val="0"/>
              <w:snapToGrid w:val="0"/>
              <w:spacing w:line="360" w:lineRule="auto"/>
              <w:ind w:left="851" w:hanging="851"/>
              <w:jc w:val="left"/>
            </w:pPr>
            <w:r w:rsidRPr="00775168">
              <w:t xml:space="preserve">Patients with primary resistance to EGFR-TKIs (treatment time &lt; 3 months); </w:t>
            </w:r>
          </w:p>
          <w:p w:rsidR="005524E2" w:rsidRPr="00775168" w:rsidRDefault="005524E2" w:rsidP="00BE170A">
            <w:pPr>
              <w:pStyle w:val="P68B1DB1-a033"/>
              <w:numPr>
                <w:ilvl w:val="1"/>
                <w:numId w:val="42"/>
              </w:numPr>
              <w:adjustRightInd w:val="0"/>
              <w:snapToGrid w:val="0"/>
              <w:spacing w:line="360" w:lineRule="auto"/>
              <w:ind w:left="851" w:hanging="851"/>
              <w:jc w:val="left"/>
            </w:pPr>
            <w:r w:rsidRPr="00775168">
              <w:t xml:space="preserve">After treatment with EGFR-TKIs, patients with dramatic progression. (Dramatic progression was defined as disease control for ≥ 3 months, rapid clinical deterioration, marked progression of target lesions compared with previous evaluation, and a tumor burden score &gt; 2); </w:t>
            </w:r>
          </w:p>
          <w:p w:rsidR="005524E2" w:rsidRPr="00775168" w:rsidRDefault="00BE170A" w:rsidP="00BE170A">
            <w:pPr>
              <w:pStyle w:val="P68B1DB1-a033"/>
              <w:adjustRightInd w:val="0"/>
              <w:snapToGrid w:val="0"/>
              <w:spacing w:line="360" w:lineRule="auto"/>
              <w:ind w:left="851"/>
              <w:jc w:val="left"/>
            </w:pPr>
            <w:r>
              <w:t>Symptom score:</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701"/>
              <w:gridCol w:w="1417"/>
            </w:tblGrid>
            <w:tr w:rsidR="005524E2" w:rsidRPr="00775168" w:rsidTr="009F615D">
              <w:trPr>
                <w:jc w:val="center"/>
              </w:trPr>
              <w:tc>
                <w:tcPr>
                  <w:tcW w:w="1271"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rPr>
                      <w:rFonts w:hint="default"/>
                    </w:rPr>
                  </w:pPr>
                  <w:r w:rsidRPr="00775168">
                    <w:t xml:space="preserve">Evaluation Criteria </w:t>
                  </w:r>
                </w:p>
              </w:tc>
              <w:tc>
                <w:tcPr>
                  <w:tcW w:w="1276"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No symptoms </w:t>
                  </w:r>
                </w:p>
              </w:tc>
              <w:tc>
                <w:tcPr>
                  <w:tcW w:w="1701"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No change in symptoms </w:t>
                  </w:r>
                </w:p>
              </w:tc>
              <w:tc>
                <w:tcPr>
                  <w:tcW w:w="1417"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Worsening of symptoms </w:t>
                  </w:r>
                </w:p>
              </w:tc>
            </w:tr>
            <w:tr w:rsidR="005524E2" w:rsidRPr="00775168" w:rsidTr="009F615D">
              <w:trPr>
                <w:jc w:val="center"/>
              </w:trPr>
              <w:tc>
                <w:tcPr>
                  <w:tcW w:w="1271"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rPr>
                      <w:rFonts w:hint="default"/>
                    </w:rPr>
                  </w:pPr>
                  <w:r w:rsidRPr="00775168">
                    <w:t xml:space="preserve">Score </w:t>
                  </w:r>
                </w:p>
              </w:tc>
              <w:tc>
                <w:tcPr>
                  <w:tcW w:w="1276"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33"/>
                    <w:spacing w:line="360" w:lineRule="auto"/>
                    <w:jc w:val="center"/>
                  </w:pPr>
                  <w:r w:rsidRPr="00775168">
                    <w:t xml:space="preserve">0 </w:t>
                  </w:r>
                </w:p>
              </w:tc>
              <w:tc>
                <w:tcPr>
                  <w:tcW w:w="1701"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33"/>
                    <w:spacing w:line="360" w:lineRule="auto"/>
                    <w:jc w:val="center"/>
                  </w:pPr>
                  <w:r w:rsidRPr="00775168">
                    <w:t xml:space="preserve">1 </w:t>
                  </w:r>
                </w:p>
              </w:tc>
              <w:tc>
                <w:tcPr>
                  <w:tcW w:w="1417"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33"/>
                    <w:spacing w:line="360" w:lineRule="auto"/>
                    <w:jc w:val="center"/>
                  </w:pPr>
                  <w:r w:rsidRPr="00775168">
                    <w:t xml:space="preserve">2 </w:t>
                  </w:r>
                </w:p>
              </w:tc>
            </w:tr>
          </w:tbl>
          <w:p w:rsidR="005524E2" w:rsidRPr="00775168" w:rsidRDefault="005524E2" w:rsidP="00BE170A">
            <w:pPr>
              <w:pStyle w:val="P68B1DB1-a033"/>
              <w:adjustRightInd w:val="0"/>
              <w:snapToGrid w:val="0"/>
              <w:spacing w:line="360" w:lineRule="auto"/>
              <w:ind w:left="851"/>
              <w:jc w:val="left"/>
            </w:pPr>
            <w:r w:rsidRPr="00775168">
              <w:t xml:space="preserve">Tumor burden score (represented by non-target lesions, cumulative score) </w:t>
            </w:r>
            <w:r w:rsidR="00BE170A">
              <w:t>:</w:t>
            </w:r>
          </w:p>
          <w:tbl>
            <w:tblPr>
              <w:tblW w:w="5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0"/>
              <w:gridCol w:w="955"/>
              <w:gridCol w:w="1276"/>
              <w:gridCol w:w="1276"/>
              <w:gridCol w:w="1134"/>
            </w:tblGrid>
            <w:tr w:rsidR="005524E2" w:rsidRPr="00775168" w:rsidTr="009F615D">
              <w:trPr>
                <w:jc w:val="center"/>
              </w:trPr>
              <w:tc>
                <w:tcPr>
                  <w:tcW w:w="1030"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Evaluation </w:t>
                  </w:r>
                </w:p>
                <w:p w:rsidR="005524E2" w:rsidRPr="00775168" w:rsidRDefault="005524E2" w:rsidP="005524E2">
                  <w:pPr>
                    <w:pStyle w:val="P68B1DB1-a09"/>
                    <w:spacing w:line="360" w:lineRule="auto"/>
                    <w:jc w:val="center"/>
                    <w:rPr>
                      <w:rFonts w:hint="default"/>
                    </w:rPr>
                  </w:pPr>
                  <w:r w:rsidRPr="00775168">
                    <w:t xml:space="preserve">Standard </w:t>
                  </w:r>
                </w:p>
              </w:tc>
              <w:tc>
                <w:tcPr>
                  <w:tcW w:w="955"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Progression of non-target lesions </w:t>
                  </w:r>
                </w:p>
              </w:tc>
              <w:tc>
                <w:tcPr>
                  <w:tcW w:w="1276"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New intrathoracic lesions </w:t>
                  </w:r>
                </w:p>
              </w:tc>
              <w:tc>
                <w:tcPr>
                  <w:tcW w:w="1276"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New extrathoracic lesion </w:t>
                  </w:r>
                </w:p>
              </w:tc>
              <w:tc>
                <w:tcPr>
                  <w:tcW w:w="1134"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Malignant pleural effusion </w:t>
                  </w:r>
                </w:p>
              </w:tc>
            </w:tr>
            <w:tr w:rsidR="005524E2" w:rsidRPr="00775168" w:rsidTr="009F615D">
              <w:trPr>
                <w:jc w:val="center"/>
              </w:trPr>
              <w:tc>
                <w:tcPr>
                  <w:tcW w:w="1030"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9"/>
                    <w:spacing w:line="360" w:lineRule="auto"/>
                    <w:jc w:val="center"/>
                    <w:rPr>
                      <w:rFonts w:hint="default"/>
                    </w:rPr>
                  </w:pPr>
                  <w:r w:rsidRPr="00775168">
                    <w:t xml:space="preserve">Score </w:t>
                  </w:r>
                </w:p>
              </w:tc>
              <w:tc>
                <w:tcPr>
                  <w:tcW w:w="955"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33"/>
                    <w:spacing w:line="360" w:lineRule="auto"/>
                    <w:jc w:val="center"/>
                  </w:pPr>
                  <w:r w:rsidRPr="00775168">
                    <w:t xml:space="preserve">1 </w:t>
                  </w:r>
                </w:p>
              </w:tc>
              <w:tc>
                <w:tcPr>
                  <w:tcW w:w="1276"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33"/>
                    <w:spacing w:line="360" w:lineRule="auto"/>
                    <w:jc w:val="center"/>
                  </w:pPr>
                  <w:r w:rsidRPr="00775168">
                    <w:t xml:space="preserve">1 </w:t>
                  </w:r>
                </w:p>
              </w:tc>
              <w:tc>
                <w:tcPr>
                  <w:tcW w:w="1276" w:type="dxa"/>
                  <w:tcBorders>
                    <w:top w:val="single" w:sz="4" w:space="0" w:color="auto"/>
                    <w:left w:val="single" w:sz="4" w:space="0" w:color="auto"/>
                    <w:bottom w:val="single" w:sz="4" w:space="0" w:color="auto"/>
                    <w:right w:val="single" w:sz="4" w:space="0" w:color="auto"/>
                  </w:tcBorders>
                </w:tcPr>
                <w:p w:rsidR="005524E2" w:rsidRPr="00775168" w:rsidRDefault="005524E2" w:rsidP="00BE170A">
                  <w:pPr>
                    <w:pStyle w:val="P68B1DB1-a033"/>
                    <w:numPr>
                      <w:ilvl w:val="0"/>
                      <w:numId w:val="43"/>
                    </w:numPr>
                    <w:spacing w:line="360" w:lineRule="auto"/>
                    <w:jc w:val="center"/>
                  </w:pPr>
                </w:p>
              </w:tc>
              <w:tc>
                <w:tcPr>
                  <w:tcW w:w="1134" w:type="dxa"/>
                  <w:tcBorders>
                    <w:top w:val="single" w:sz="4" w:space="0" w:color="auto"/>
                    <w:left w:val="single" w:sz="4" w:space="0" w:color="auto"/>
                    <w:bottom w:val="single" w:sz="4" w:space="0" w:color="auto"/>
                    <w:right w:val="single" w:sz="4" w:space="0" w:color="auto"/>
                  </w:tcBorders>
                </w:tcPr>
                <w:p w:rsidR="005524E2" w:rsidRPr="00775168" w:rsidRDefault="005524E2" w:rsidP="005524E2">
                  <w:pPr>
                    <w:pStyle w:val="P68B1DB1-a033"/>
                    <w:spacing w:line="360" w:lineRule="auto"/>
                    <w:jc w:val="center"/>
                  </w:pPr>
                  <w:r w:rsidRPr="00775168">
                    <w:t xml:space="preserve">1 </w:t>
                  </w:r>
                </w:p>
              </w:tc>
            </w:tr>
          </w:tbl>
          <w:p w:rsidR="00BE170A" w:rsidRDefault="005524E2" w:rsidP="00BE170A">
            <w:pPr>
              <w:pStyle w:val="P68B1DB1-a033"/>
              <w:numPr>
                <w:ilvl w:val="1"/>
                <w:numId w:val="42"/>
              </w:numPr>
              <w:adjustRightInd w:val="0"/>
              <w:snapToGrid w:val="0"/>
              <w:spacing w:line="360" w:lineRule="auto"/>
              <w:ind w:left="851" w:hanging="851"/>
              <w:jc w:val="left"/>
            </w:pPr>
            <w:r w:rsidRPr="00775168">
              <w:t xml:space="preserve">Imaging (CT or MRI) scan showing tumor ≤ 5 mm away from major blood vessels, or presence of central tumor invading local major blood vessels; or presence of significant pulmonary cavitary or necrotic tumor; </w:t>
            </w:r>
          </w:p>
          <w:p w:rsidR="00BE170A" w:rsidRDefault="005524E2" w:rsidP="00BE170A">
            <w:pPr>
              <w:pStyle w:val="P68B1DB1-a033"/>
              <w:numPr>
                <w:ilvl w:val="1"/>
                <w:numId w:val="42"/>
              </w:numPr>
              <w:adjustRightInd w:val="0"/>
              <w:snapToGrid w:val="0"/>
              <w:spacing w:line="360" w:lineRule="auto"/>
              <w:ind w:left="851" w:hanging="851"/>
              <w:jc w:val="left"/>
            </w:pPr>
            <w:r w:rsidRPr="00775168">
              <w:t xml:space="preserve">Patients with active brain metastases, carcinomatous meningitis, spinal cord compression, or brain or </w:t>
            </w:r>
            <w:r w:rsidRPr="00775168">
              <w:lastRenderedPageBreak/>
              <w:t xml:space="preserve">leptomeningeal disease found by imaging CT or MRI at screening (patients with stable brain metastases who have completed treatment 14 days before enrollment can be confirmed as having no symptoms of cerebral hemorrhage by brain MRI, CT or venography evaluation); </w:t>
            </w:r>
          </w:p>
          <w:p w:rsidR="005524E2" w:rsidRPr="00775168" w:rsidRDefault="005524E2" w:rsidP="00BE170A">
            <w:pPr>
              <w:pStyle w:val="P68B1DB1-a033"/>
              <w:numPr>
                <w:ilvl w:val="1"/>
                <w:numId w:val="42"/>
              </w:numPr>
              <w:adjustRightInd w:val="0"/>
              <w:snapToGrid w:val="0"/>
              <w:spacing w:line="360" w:lineRule="auto"/>
              <w:ind w:left="851" w:hanging="851"/>
              <w:jc w:val="left"/>
            </w:pPr>
            <w:r w:rsidRPr="00775168">
              <w:t xml:space="preserve">Uncontrolled hypertension (systolic blood pressure ≥ 140 mmHg or diastolic blood pressure ≥ 90 mmHg despite optimal medical therapy); </w:t>
            </w:r>
          </w:p>
          <w:p w:rsidR="005524E2" w:rsidRPr="00775168" w:rsidRDefault="005524E2" w:rsidP="00BE170A">
            <w:pPr>
              <w:pStyle w:val="P68B1DB1-a024"/>
              <w:numPr>
                <w:ilvl w:val="1"/>
                <w:numId w:val="14"/>
              </w:numPr>
              <w:adjustRightInd w:val="0"/>
              <w:snapToGrid w:val="0"/>
              <w:spacing w:line="360" w:lineRule="auto"/>
              <w:ind w:left="851" w:hanging="851"/>
              <w:jc w:val="left"/>
              <w:rPr>
                <w:rFonts w:hint="default"/>
              </w:rPr>
            </w:pPr>
            <w:r w:rsidRPr="00775168">
              <w:t xml:space="preserve">Patient is participating in another clinical study or less than 4 weeks have elapsed since the end of treatment in the previous clinical study; </w:t>
            </w:r>
          </w:p>
          <w:p w:rsidR="005524E2" w:rsidRPr="00775168" w:rsidRDefault="005524E2" w:rsidP="005524E2">
            <w:pPr>
              <w:pStyle w:val="P68B1DB1-a09"/>
              <w:numPr>
                <w:ilvl w:val="1"/>
                <w:numId w:val="14"/>
              </w:numPr>
              <w:adjustRightInd w:val="0"/>
              <w:snapToGrid w:val="0"/>
              <w:spacing w:line="360" w:lineRule="auto"/>
              <w:ind w:left="851" w:hanging="851"/>
              <w:jc w:val="left"/>
              <w:rPr>
                <w:rFonts w:hint="default"/>
              </w:rPr>
            </w:pPr>
            <w:r w:rsidRPr="00775168">
              <w:t xml:space="preserve">Other active malignancies requiring concurrent treatment;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t xml:space="preserve">History of malignancy. Patients with cutaneous basal cell carcinoma, superficial bladder cancer, cutaneous squamous cell carcinoma, or cervical carcinoma in situ who have undergone potentially curative therapy and who have not had disease recurrence within 5 years from the start of therapy;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t xml:space="preserve">Patients with anti-tumor treatment-related adverse reactions (except alopecia) not recovered to NCI-CTCAE </w:t>
            </w:r>
            <w:r w:rsidRPr="00775168">
              <w:t>≤</w:t>
            </w:r>
            <w:r w:rsidRPr="00775168">
              <w:t xml:space="preserve"> grade 1 after previous systemic anti-tumor treatment;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t xml:space="preserve">Abnormal coagulation function (INR &gt; 1.5 or prothrombin time (PT) &gt; ULN + 4 seconds or APTT &gt; 1.5 ULN), bleeding tendency or receiving thrombolytic or anticoagulant therapy; </w:t>
            </w:r>
          </w:p>
          <w:p w:rsidR="005524E2" w:rsidRPr="00775168" w:rsidRDefault="005524E2" w:rsidP="005524E2">
            <w:pPr>
              <w:pStyle w:val="P68B1DB1-a024"/>
              <w:tabs>
                <w:tab w:val="left" w:pos="720"/>
              </w:tabs>
              <w:adjustRightInd w:val="0"/>
              <w:snapToGrid w:val="0"/>
              <w:spacing w:line="360" w:lineRule="auto"/>
              <w:ind w:left="851"/>
              <w:jc w:val="left"/>
              <w:rPr>
                <w:rFonts w:hint="default"/>
              </w:rPr>
            </w:pPr>
            <w:r w:rsidRPr="00775168">
              <w:t xml:space="preserve">Note: Under the premise of prothrombin time international normalized ratio (INR) </w:t>
            </w:r>
            <w:r w:rsidRPr="00775168">
              <w:t>≤</w:t>
            </w:r>
            <w:r w:rsidRPr="00775168">
              <w:t xml:space="preserve"> 1.5, low-dose heparin (daily dosage for adults: 60,000 ~ 12,000 U) or low-dose aspirin (daily dosage </w:t>
            </w:r>
            <w:r w:rsidRPr="00775168">
              <w:t>≤</w:t>
            </w:r>
            <w:r w:rsidRPr="00775168">
              <w:t xml:space="preserve"> 100 mg) is allowed for prevention purpose;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lastRenderedPageBreak/>
              <w:t xml:space="preserve">Renal insufficiency: urine routine showed urine protein </w:t>
            </w:r>
            <w:r w:rsidRPr="00775168">
              <w:t>≥</w:t>
            </w:r>
            <w:r w:rsidRPr="00775168">
              <w:t xml:space="preserve"> + +, or confirmed 24 h urine protein </w:t>
            </w:r>
            <w:r w:rsidRPr="00775168">
              <w:t>≥</w:t>
            </w:r>
            <w:r w:rsidRPr="00775168">
              <w:t xml:space="preserve"> 1.0g;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t xml:space="preserve">The effect of surgery or trauma has been eliminated for less than 14 days in subjects with major surgery or severe trauma; </w:t>
            </w:r>
          </w:p>
          <w:p w:rsidR="005524E2" w:rsidRPr="00775168" w:rsidRDefault="005524E2" w:rsidP="005524E2">
            <w:pPr>
              <w:pStyle w:val="P68B1DB1-a09"/>
              <w:numPr>
                <w:ilvl w:val="1"/>
                <w:numId w:val="14"/>
              </w:numPr>
              <w:adjustRightInd w:val="0"/>
              <w:snapToGrid w:val="0"/>
              <w:spacing w:line="360" w:lineRule="auto"/>
              <w:ind w:left="851" w:hanging="851"/>
              <w:jc w:val="left"/>
              <w:rPr>
                <w:rFonts w:hint="default"/>
              </w:rPr>
            </w:pPr>
            <w:r w:rsidRPr="00775168">
              <w:t xml:space="preserve">Serious acute or chronic infections requiring systemic treatment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t xml:space="preserve">Patients with severe cardiovascular diseases: myocardial ischemia or myocardial infarction above grade II, poorly controlled arrhythmia (including QTc interval </w:t>
            </w:r>
            <w:r w:rsidRPr="00775168">
              <w:t>≥</w:t>
            </w:r>
            <w:r w:rsidRPr="00775168">
              <w:t xml:space="preserve"> 450 ms for males and </w:t>
            </w:r>
            <w:r w:rsidRPr="00775168">
              <w:t>≥</w:t>
            </w:r>
            <w:r w:rsidRPr="00775168">
              <w:t xml:space="preserve"> 470 ms for females); according to NYHA criteria, grade III-IV cardiac insufficiency, or cardiac color ultrasound examination showed that the score (LVEF) was &lt; 50%;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t xml:space="preserve">Current peripheral neuropathy </w:t>
            </w:r>
            <w:r w:rsidRPr="00775168">
              <w:t>≥</w:t>
            </w:r>
            <w:r w:rsidRPr="00775168">
              <w:t xml:space="preserve"> CTCAE Grade 2, except for trauma;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t>Respiratory syndrome (</w:t>
            </w:r>
            <w:r w:rsidRPr="00775168">
              <w:t>≥</w:t>
            </w:r>
            <w:r w:rsidRPr="00775168">
              <w:t xml:space="preserve"> CTC AE Grade 2 dyspnea), serous effusion requiring surgical treatment (including pleural effusion, ascites and pericardial effusion); </w:t>
            </w:r>
          </w:p>
          <w:p w:rsidR="005524E2" w:rsidRPr="00775168" w:rsidRDefault="005524E2" w:rsidP="005524E2">
            <w:pPr>
              <w:pStyle w:val="P68B1DB1-a09"/>
              <w:numPr>
                <w:ilvl w:val="1"/>
                <w:numId w:val="14"/>
              </w:numPr>
              <w:adjustRightInd w:val="0"/>
              <w:snapToGrid w:val="0"/>
              <w:spacing w:line="360" w:lineRule="auto"/>
              <w:ind w:left="851" w:hanging="851"/>
              <w:jc w:val="left"/>
              <w:rPr>
                <w:rFonts w:hint="default"/>
              </w:rPr>
            </w:pPr>
            <w:r w:rsidRPr="00775168">
              <w:t xml:space="preserve">Wounds or fractures that have not been healed for a long time; </w:t>
            </w:r>
          </w:p>
          <w:p w:rsidR="005524E2" w:rsidRPr="00775168" w:rsidRDefault="005524E2" w:rsidP="005524E2">
            <w:pPr>
              <w:pStyle w:val="P68B1DB1-a09"/>
              <w:numPr>
                <w:ilvl w:val="1"/>
                <w:numId w:val="14"/>
              </w:numPr>
              <w:adjustRightInd w:val="0"/>
              <w:snapToGrid w:val="0"/>
              <w:spacing w:line="360" w:lineRule="auto"/>
              <w:ind w:left="851" w:hanging="851"/>
              <w:jc w:val="left"/>
              <w:rPr>
                <w:rFonts w:hint="default"/>
              </w:rPr>
            </w:pPr>
            <w:r w:rsidRPr="00775168">
              <w:t xml:space="preserve">Decompensated diabetes or other contraindications to high-dose glucocorticoid therapy; </w:t>
            </w:r>
          </w:p>
          <w:p w:rsidR="005524E2" w:rsidRPr="00775168" w:rsidRDefault="005524E2" w:rsidP="005524E2">
            <w:pPr>
              <w:pStyle w:val="P68B1DB1-a09"/>
              <w:numPr>
                <w:ilvl w:val="1"/>
                <w:numId w:val="14"/>
              </w:numPr>
              <w:adjustRightInd w:val="0"/>
              <w:snapToGrid w:val="0"/>
              <w:spacing w:line="360" w:lineRule="auto"/>
              <w:ind w:left="851" w:hanging="851"/>
              <w:jc w:val="left"/>
              <w:rPr>
                <w:rFonts w:hint="default"/>
              </w:rPr>
            </w:pPr>
            <w:r w:rsidRPr="00775168">
              <w:t xml:space="preserve">Patients with the factors significantly affecting the absorption of oral drugs, such as inability to swallow, chronic diarrhea and intestinal obstruction; </w:t>
            </w:r>
          </w:p>
          <w:p w:rsidR="005524E2" w:rsidRPr="00775168" w:rsidRDefault="005524E2" w:rsidP="005524E2">
            <w:pPr>
              <w:pStyle w:val="P68B1DB1-a024"/>
              <w:numPr>
                <w:ilvl w:val="1"/>
                <w:numId w:val="14"/>
              </w:numPr>
              <w:adjustRightInd w:val="0"/>
              <w:snapToGrid w:val="0"/>
              <w:spacing w:line="360" w:lineRule="auto"/>
              <w:ind w:left="851" w:hanging="851"/>
              <w:jc w:val="left"/>
              <w:rPr>
                <w:rFonts w:hint="default"/>
              </w:rPr>
            </w:pPr>
            <w:r w:rsidRPr="00775168">
              <w:t xml:space="preserve">Clinically significant hemoptysis (with daily hemoptysis greater than 50ml) or clinically significant bleeding symptoms or definite bleeding tendency such as gastrointestinal bleeding, </w:t>
            </w:r>
            <w:r w:rsidRPr="00775168">
              <w:lastRenderedPageBreak/>
              <w:t xml:space="preserve">hemorrhagic gastric ulcer, baseline fecal occult blood + + and above, or vasculitis within 3 months before enrollment; </w:t>
            </w:r>
          </w:p>
          <w:p w:rsidR="005524E2" w:rsidRPr="00775168" w:rsidRDefault="005524E2" w:rsidP="005524E2">
            <w:pPr>
              <w:pStyle w:val="P68B1DB1-a033"/>
              <w:numPr>
                <w:ilvl w:val="1"/>
                <w:numId w:val="14"/>
              </w:numPr>
              <w:adjustRightInd w:val="0"/>
              <w:snapToGrid w:val="0"/>
              <w:spacing w:line="360" w:lineRule="auto"/>
              <w:ind w:left="851" w:hanging="851"/>
              <w:jc w:val="left"/>
            </w:pPr>
            <w:r w:rsidRPr="00775168">
              <w:rPr>
                <w:rFonts w:hint="eastAsia"/>
              </w:rPr>
              <w:t xml:space="preserve">Arterial/venous thrombotic events occurred within 6 months before enrollment, such as cerebrovascular accident (including transient ischemic attack, cerebral hemorrhage, cerebral infarction), deep venous thrombosis and pulmonary embolism; </w:t>
            </w:r>
          </w:p>
          <w:p w:rsidR="00223BDB" w:rsidRPr="00223BDB" w:rsidRDefault="005524E2" w:rsidP="00223BDB">
            <w:pPr>
              <w:pStyle w:val="P68B1DB1-a033"/>
              <w:numPr>
                <w:ilvl w:val="1"/>
                <w:numId w:val="14"/>
              </w:numPr>
              <w:adjustRightInd w:val="0"/>
              <w:snapToGrid w:val="0"/>
              <w:spacing w:line="360" w:lineRule="auto"/>
              <w:ind w:left="851" w:hanging="851"/>
              <w:jc w:val="left"/>
              <w:rPr>
                <w:rFonts w:cs="宋体"/>
              </w:rPr>
            </w:pPr>
            <w:r w:rsidRPr="00223BDB">
              <w:rPr>
                <w:rFonts w:cs="宋体"/>
              </w:rPr>
              <w:t xml:space="preserve">Participation in a clinical trial of anti-tumor agent within 4 weeks prior to enrollment or planned systemic anti-tumor therapy, including cytotoxic therapies, signaling inhibitors, immunotherapies (or mitomycin C within 6 weeks prior to treatment with the investigational agent) within 4 weeks prior to enrollment or planned systemic anti-tumor therapy within 4 weeks prior to enrollment or during the current study period of dosing. Expanded field radiotherapy (EF-RT) within 4 weeks prior to subgrouping or field-limited radiotherapy within 2 weeks prior to subgrouping for the proposed evaluation of tumor lesions; </w:t>
            </w:r>
          </w:p>
          <w:p w:rsidR="00223BDB" w:rsidRPr="00223BDB" w:rsidRDefault="00223BDB" w:rsidP="00223BDB">
            <w:pPr>
              <w:pStyle w:val="P68B1DB1-a033"/>
              <w:numPr>
                <w:ilvl w:val="1"/>
                <w:numId w:val="14"/>
              </w:numPr>
              <w:adjustRightInd w:val="0"/>
              <w:snapToGrid w:val="0"/>
              <w:spacing w:line="360" w:lineRule="auto"/>
              <w:ind w:left="851" w:hanging="851"/>
              <w:jc w:val="left"/>
              <w:rPr>
                <w:rFonts w:cs="宋体"/>
              </w:rPr>
            </w:pPr>
            <w:r>
              <w:rPr>
                <w:rFonts w:cs="宋体"/>
              </w:rPr>
              <w:t>L</w:t>
            </w:r>
            <w:r w:rsidRPr="00223BDB">
              <w:rPr>
                <w:rFonts w:cs="宋体"/>
              </w:rPr>
              <w:t xml:space="preserve">aboratory findings </w:t>
            </w:r>
          </w:p>
          <w:p w:rsidR="00223BDB" w:rsidRPr="00223BDB" w:rsidRDefault="00223BDB" w:rsidP="00223BDB">
            <w:pPr>
              <w:pStyle w:val="P68B1DB1-a033"/>
              <w:adjustRightInd w:val="0"/>
              <w:snapToGrid w:val="0"/>
              <w:spacing w:line="360" w:lineRule="auto"/>
              <w:ind w:left="851"/>
              <w:jc w:val="left"/>
              <w:rPr>
                <w:rFonts w:cs="宋体"/>
              </w:rPr>
            </w:pPr>
            <w:r w:rsidRPr="00223BDB">
              <w:rPr>
                <w:rFonts w:cs="宋体" w:hint="eastAsia"/>
              </w:rPr>
              <w:t xml:space="preserve">Untreated active hepatitis (hepatitis B: HBsAg positive and HBV DNA </w:t>
            </w:r>
            <w:r w:rsidRPr="00223BDB">
              <w:rPr>
                <w:rFonts w:cs="宋体" w:hint="eastAsia"/>
              </w:rPr>
              <w:t>≥</w:t>
            </w:r>
            <w:r w:rsidRPr="00223BDB">
              <w:rPr>
                <w:rFonts w:cs="宋体" w:hint="eastAsia"/>
              </w:rPr>
              <w:t xml:space="preserve"> 500 IU/mL; hepatitis C: HCV RNA positive and abnormal liver function); with hepatitis B and C co-infection</w:t>
            </w:r>
          </w:p>
          <w:p w:rsidR="00223BDB" w:rsidRPr="00775168" w:rsidRDefault="00223BDB" w:rsidP="009F615D">
            <w:pPr>
              <w:pStyle w:val="P68B1DB1-a033"/>
              <w:numPr>
                <w:ilvl w:val="1"/>
                <w:numId w:val="14"/>
              </w:numPr>
              <w:adjustRightInd w:val="0"/>
              <w:snapToGrid w:val="0"/>
              <w:spacing w:line="360" w:lineRule="auto"/>
              <w:ind w:left="851" w:hanging="851"/>
              <w:jc w:val="left"/>
            </w:pPr>
            <w:r w:rsidRPr="00223BDB">
              <w:rPr>
                <w:rFonts w:cs="宋体"/>
              </w:rPr>
              <w:t xml:space="preserve">The investigator considers that the patient may have other factors that may cause the study to be </w:t>
            </w:r>
            <w:r w:rsidRPr="00775168">
              <w:t xml:space="preserve">terminated, such as other serious diseases or severe laboratory abnormalities or accompanied by other factors that may affect the safety of the subjects, or family or social factors for the collection of study data and samples; </w:t>
            </w:r>
          </w:p>
        </w:tc>
        <w:bookmarkStart w:id="8" w:name="_GoBack"/>
        <w:bookmarkEnd w:id="8"/>
      </w:tr>
      <w:tr w:rsidR="00743320" w:rsidRPr="00775168">
        <w:trPr>
          <w:cantSplit/>
          <w:jc w:val="center"/>
        </w:trPr>
        <w:tc>
          <w:tcPr>
            <w:tcW w:w="2268" w:type="dxa"/>
            <w:gridSpan w:val="2"/>
          </w:tcPr>
          <w:p w:rsidR="00743320" w:rsidRPr="00775168" w:rsidRDefault="00DF7F26">
            <w:pPr>
              <w:pStyle w:val="P68B1DB1-a017"/>
              <w:tabs>
                <w:tab w:val="left" w:pos="1418"/>
                <w:tab w:val="left" w:pos="2835"/>
                <w:tab w:val="left" w:pos="3544"/>
              </w:tabs>
              <w:spacing w:before="60" w:after="20" w:line="360" w:lineRule="exact"/>
              <w:rPr>
                <w:rFonts w:hAnsi="Times New Roman" w:hint="default"/>
              </w:rPr>
            </w:pPr>
            <w:r w:rsidRPr="00775168">
              <w:rPr>
                <w:rFonts w:hAnsi="Times New Roman"/>
              </w:rPr>
              <w:lastRenderedPageBreak/>
              <w:t xml:space="preserve">Withdrawal Criteria </w:t>
            </w:r>
          </w:p>
        </w:tc>
        <w:tc>
          <w:tcPr>
            <w:tcW w:w="6254" w:type="dxa"/>
            <w:vAlign w:val="center"/>
          </w:tcPr>
          <w:p w:rsidR="00743320" w:rsidRPr="00775168" w:rsidRDefault="00DF7F26">
            <w:pPr>
              <w:pStyle w:val="P68B1DB1-a017"/>
              <w:numPr>
                <w:ilvl w:val="3"/>
                <w:numId w:val="8"/>
              </w:numPr>
              <w:tabs>
                <w:tab w:val="left" w:pos="360"/>
                <w:tab w:val="left" w:pos="1440"/>
                <w:tab w:val="left" w:pos="2835"/>
                <w:tab w:val="left" w:pos="3544"/>
              </w:tabs>
              <w:spacing w:before="60" w:after="20" w:line="420" w:lineRule="atLeast"/>
              <w:jc w:val="left"/>
              <w:rPr>
                <w:rFonts w:hAnsi="Times New Roman" w:hint="default"/>
              </w:rPr>
            </w:pPr>
            <w:r w:rsidRPr="00775168">
              <w:rPr>
                <w:rFonts w:hAnsi="Times New Roman"/>
              </w:rPr>
              <w:t xml:space="preserve">The subject voluntarily withdraws the informed consent form at any time; </w:t>
            </w:r>
          </w:p>
          <w:p w:rsidR="00743320" w:rsidRPr="00775168" w:rsidRDefault="00DF7F26">
            <w:pPr>
              <w:pStyle w:val="P68B1DB1-a017"/>
              <w:numPr>
                <w:ilvl w:val="3"/>
                <w:numId w:val="8"/>
              </w:numPr>
              <w:tabs>
                <w:tab w:val="left" w:pos="360"/>
                <w:tab w:val="left" w:pos="1440"/>
                <w:tab w:val="left" w:pos="2835"/>
                <w:tab w:val="left" w:pos="3544"/>
              </w:tabs>
              <w:spacing w:before="60" w:after="20" w:line="420" w:lineRule="atLeast"/>
              <w:jc w:val="left"/>
              <w:rPr>
                <w:rFonts w:hAnsi="Times New Roman" w:hint="default"/>
              </w:rPr>
            </w:pPr>
            <w:r w:rsidRPr="00775168">
              <w:rPr>
                <w:rFonts w:hAnsi="Times New Roman"/>
              </w:rPr>
              <w:t xml:space="preserve">Medical imaging or clinical features indicate disease progression; </w:t>
            </w:r>
          </w:p>
          <w:p w:rsidR="00743320" w:rsidRPr="00775168" w:rsidRDefault="00DF7F26">
            <w:pPr>
              <w:pStyle w:val="P68B1DB1-a023"/>
              <w:numPr>
                <w:ilvl w:val="3"/>
                <w:numId w:val="8"/>
              </w:numPr>
              <w:tabs>
                <w:tab w:val="left" w:pos="360"/>
                <w:tab w:val="left" w:pos="1440"/>
                <w:tab w:val="left" w:pos="2835"/>
                <w:tab w:val="left" w:pos="3544"/>
              </w:tabs>
              <w:spacing w:before="60" w:after="20" w:line="420" w:lineRule="atLeast"/>
              <w:jc w:val="left"/>
              <w:rPr>
                <w:rFonts w:hAnsi="Times New Roman" w:hint="default"/>
              </w:rPr>
            </w:pPr>
            <w:r w:rsidRPr="00775168">
              <w:rPr>
                <w:rFonts w:hAnsi="Times New Roman"/>
              </w:rPr>
              <w:t xml:space="preserve">Patients who cannot tolerate the toxicity despite two dose reductions of Anlotinib or EGFR-TKIs; </w:t>
            </w:r>
          </w:p>
          <w:p w:rsidR="00743320" w:rsidRPr="00775168" w:rsidRDefault="00DF7F26">
            <w:pPr>
              <w:pStyle w:val="P68B1DB1-a017"/>
              <w:numPr>
                <w:ilvl w:val="3"/>
                <w:numId w:val="8"/>
              </w:numPr>
              <w:tabs>
                <w:tab w:val="left" w:pos="360"/>
                <w:tab w:val="left" w:pos="1440"/>
                <w:tab w:val="left" w:pos="2835"/>
                <w:tab w:val="left" w:pos="3544"/>
              </w:tabs>
              <w:spacing w:before="60" w:after="20" w:line="420" w:lineRule="atLeast"/>
              <w:jc w:val="left"/>
              <w:rPr>
                <w:rFonts w:hAnsi="Times New Roman" w:hint="default"/>
              </w:rPr>
            </w:pPr>
            <w:r w:rsidRPr="00775168">
              <w:rPr>
                <w:rFonts w:hAnsi="Times New Roman"/>
              </w:rPr>
              <w:t xml:space="preserve">The subject experiences a pregnancy event during the course of the study; </w:t>
            </w:r>
          </w:p>
          <w:p w:rsidR="00743320" w:rsidRPr="00775168" w:rsidRDefault="00DF7F26">
            <w:pPr>
              <w:pStyle w:val="P68B1DB1-a017"/>
              <w:numPr>
                <w:ilvl w:val="3"/>
                <w:numId w:val="8"/>
              </w:numPr>
              <w:tabs>
                <w:tab w:val="left" w:pos="360"/>
                <w:tab w:val="left" w:pos="1440"/>
                <w:tab w:val="left" w:pos="2835"/>
                <w:tab w:val="left" w:pos="3544"/>
              </w:tabs>
              <w:spacing w:before="60" w:after="20" w:line="420" w:lineRule="atLeast"/>
              <w:jc w:val="left"/>
              <w:rPr>
                <w:rFonts w:hAnsi="Times New Roman" w:hint="default"/>
              </w:rPr>
            </w:pPr>
            <w:r w:rsidRPr="00775168">
              <w:rPr>
                <w:rFonts w:hAnsi="Times New Roman"/>
              </w:rPr>
              <w:t xml:space="preserve">Occurrence of any clinical adverse event, laboratory abnormality, or other medical condition that would preclude the subject from benefiting from continued use; </w:t>
            </w:r>
          </w:p>
          <w:p w:rsidR="00743320" w:rsidRPr="00775168" w:rsidRDefault="00DF7F26">
            <w:pPr>
              <w:pStyle w:val="P68B1DB1-a017"/>
              <w:numPr>
                <w:ilvl w:val="3"/>
                <w:numId w:val="8"/>
              </w:numPr>
              <w:tabs>
                <w:tab w:val="left" w:pos="360"/>
                <w:tab w:val="left" w:pos="1440"/>
                <w:tab w:val="left" w:pos="2835"/>
                <w:tab w:val="left" w:pos="3544"/>
              </w:tabs>
              <w:spacing w:before="60" w:after="20" w:line="420" w:lineRule="atLeast"/>
              <w:jc w:val="left"/>
              <w:rPr>
                <w:rFonts w:hAnsi="Times New Roman" w:hint="default"/>
              </w:rPr>
            </w:pPr>
            <w:r w:rsidRPr="00775168">
              <w:rPr>
                <w:rFonts w:hAnsi="Times New Roman"/>
              </w:rPr>
              <w:t xml:space="preserve">The subject is found to be ineligible after enrollment; </w:t>
            </w:r>
          </w:p>
          <w:p w:rsidR="00743320" w:rsidRPr="00775168" w:rsidRDefault="00DF7F26">
            <w:pPr>
              <w:pStyle w:val="P68B1DB1-a017"/>
              <w:numPr>
                <w:ilvl w:val="3"/>
                <w:numId w:val="8"/>
              </w:numPr>
              <w:tabs>
                <w:tab w:val="left" w:pos="360"/>
                <w:tab w:val="left" w:pos="1440"/>
                <w:tab w:val="left" w:pos="2835"/>
                <w:tab w:val="left" w:pos="3544"/>
              </w:tabs>
              <w:spacing w:before="60" w:after="20" w:line="420" w:lineRule="atLeast"/>
              <w:jc w:val="left"/>
              <w:rPr>
                <w:rFonts w:hAnsi="Times New Roman" w:hint="default"/>
              </w:rPr>
            </w:pPr>
            <w:r w:rsidRPr="00775168">
              <w:rPr>
                <w:rFonts w:hAnsi="Times New Roman"/>
              </w:rPr>
              <w:t xml:space="preserve">Other reasons that, in the opinion of the investigator, make continuation of trial treatment impossible. </w:t>
            </w:r>
          </w:p>
        </w:tc>
      </w:tr>
      <w:tr w:rsidR="00743320" w:rsidRPr="00775168">
        <w:trPr>
          <w:cantSplit/>
          <w:jc w:val="center"/>
        </w:trPr>
        <w:tc>
          <w:tcPr>
            <w:tcW w:w="2268" w:type="dxa"/>
            <w:gridSpan w:val="2"/>
          </w:tcPr>
          <w:p w:rsidR="00743320" w:rsidRPr="00775168" w:rsidRDefault="00DF7F26" w:rsidP="00EA1C0E">
            <w:pPr>
              <w:pStyle w:val="P68B1DB1-a017"/>
              <w:tabs>
                <w:tab w:val="left" w:pos="1418"/>
                <w:tab w:val="left" w:pos="2835"/>
                <w:tab w:val="left" w:pos="3544"/>
              </w:tabs>
              <w:spacing w:before="60" w:after="20" w:line="360" w:lineRule="exact"/>
              <w:jc w:val="left"/>
              <w:rPr>
                <w:rFonts w:hAnsi="Times New Roman" w:hint="default"/>
              </w:rPr>
            </w:pPr>
            <w:r w:rsidRPr="00775168">
              <w:rPr>
                <w:rFonts w:hAnsi="Times New Roman"/>
              </w:rPr>
              <w:t xml:space="preserve">Study termination criteria </w:t>
            </w:r>
          </w:p>
        </w:tc>
        <w:tc>
          <w:tcPr>
            <w:tcW w:w="6254" w:type="dxa"/>
            <w:vAlign w:val="center"/>
          </w:tcPr>
          <w:p w:rsidR="00743320" w:rsidRPr="00775168" w:rsidRDefault="00DF7F26">
            <w:pPr>
              <w:pStyle w:val="P68B1DB1-a017"/>
              <w:tabs>
                <w:tab w:val="left" w:pos="720"/>
                <w:tab w:val="left" w:pos="1440"/>
                <w:tab w:val="left" w:pos="2835"/>
                <w:tab w:val="left" w:pos="3544"/>
              </w:tabs>
              <w:spacing w:before="60" w:after="20" w:line="420" w:lineRule="atLeast"/>
              <w:rPr>
                <w:rFonts w:hAnsi="Times New Roman" w:hint="default"/>
              </w:rPr>
            </w:pPr>
            <w:r w:rsidRPr="00775168">
              <w:rPr>
                <w:rFonts w:hAnsi="Times New Roman"/>
              </w:rPr>
              <w:t xml:space="preserve">A subject must discontinue study drug when any of the following occur, including but not limited to: </w:t>
            </w:r>
          </w:p>
          <w:p w:rsidR="00743320" w:rsidRPr="00775168" w:rsidRDefault="00DF7F26">
            <w:pPr>
              <w:pStyle w:val="P68B1DB1-1538"/>
              <w:numPr>
                <w:ilvl w:val="0"/>
                <w:numId w:val="9"/>
              </w:numPr>
              <w:tabs>
                <w:tab w:val="left" w:pos="720"/>
                <w:tab w:val="left" w:pos="1440"/>
                <w:tab w:val="left" w:pos="2835"/>
                <w:tab w:val="left" w:pos="3544"/>
              </w:tabs>
              <w:spacing w:before="60" w:after="20" w:line="420" w:lineRule="atLeast"/>
              <w:ind w:firstLineChars="0"/>
              <w:rPr>
                <w:rFonts w:hAnsi="Times New Roman" w:hint="default"/>
              </w:rPr>
            </w:pPr>
            <w:r w:rsidRPr="00775168">
              <w:rPr>
                <w:rFonts w:hAnsi="Times New Roman"/>
              </w:rPr>
              <w:t xml:space="preserve">The discovery of an unexpected, significant, or unacceptable risk to subjects; </w:t>
            </w:r>
          </w:p>
          <w:p w:rsidR="00743320" w:rsidRPr="00775168" w:rsidRDefault="00DF7F26">
            <w:pPr>
              <w:pStyle w:val="P68B1DB1-1538"/>
              <w:numPr>
                <w:ilvl w:val="0"/>
                <w:numId w:val="9"/>
              </w:numPr>
              <w:tabs>
                <w:tab w:val="left" w:pos="720"/>
                <w:tab w:val="left" w:pos="1440"/>
                <w:tab w:val="left" w:pos="2835"/>
                <w:tab w:val="left" w:pos="3544"/>
              </w:tabs>
              <w:spacing w:before="60" w:after="20" w:line="420" w:lineRule="atLeast"/>
              <w:ind w:firstLineChars="0"/>
              <w:rPr>
                <w:rFonts w:hAnsi="Times New Roman" w:hint="default"/>
              </w:rPr>
            </w:pPr>
            <w:r w:rsidRPr="00775168">
              <w:rPr>
                <w:rFonts w:hAnsi="Times New Roman"/>
              </w:rPr>
              <w:t xml:space="preserve">Major errors in the protocol are found during the trial; </w:t>
            </w:r>
          </w:p>
          <w:p w:rsidR="00743320" w:rsidRPr="00775168" w:rsidRDefault="00DF7F26">
            <w:pPr>
              <w:pStyle w:val="P68B1DB1-1539"/>
              <w:numPr>
                <w:ilvl w:val="0"/>
                <w:numId w:val="9"/>
              </w:numPr>
              <w:tabs>
                <w:tab w:val="left" w:pos="720"/>
                <w:tab w:val="left" w:pos="1440"/>
                <w:tab w:val="left" w:pos="2835"/>
                <w:tab w:val="left" w:pos="3544"/>
              </w:tabs>
              <w:spacing w:before="60" w:after="20" w:line="420" w:lineRule="atLeast"/>
              <w:ind w:firstLineChars="0"/>
              <w:rPr>
                <w:rFonts w:hAnsi="Times New Roman" w:hint="default"/>
              </w:rPr>
            </w:pPr>
            <w:r w:rsidRPr="00775168">
              <w:rPr>
                <w:rFonts w:hAnsi="Times New Roman"/>
              </w:rPr>
              <w:t xml:space="preserve">The investigational drug/treatment is ineffective or the continuation of the trial is meaningless; </w:t>
            </w:r>
          </w:p>
          <w:p w:rsidR="00743320" w:rsidRPr="00775168" w:rsidRDefault="00DF7F26">
            <w:pPr>
              <w:pStyle w:val="P68B1DB1-1538"/>
              <w:numPr>
                <w:ilvl w:val="0"/>
                <w:numId w:val="9"/>
              </w:numPr>
              <w:tabs>
                <w:tab w:val="left" w:pos="720"/>
                <w:tab w:val="left" w:pos="1440"/>
                <w:tab w:val="left" w:pos="2835"/>
                <w:tab w:val="left" w:pos="3544"/>
              </w:tabs>
              <w:spacing w:before="60" w:after="20" w:line="420" w:lineRule="atLeast"/>
              <w:ind w:firstLineChars="0"/>
              <w:rPr>
                <w:rFonts w:hAnsi="Times New Roman" w:hint="default"/>
              </w:rPr>
            </w:pPr>
            <w:r w:rsidRPr="00775168">
              <w:rPr>
                <w:rFonts w:hAnsi="Times New Roman"/>
              </w:rPr>
              <w:t xml:space="preserve">It is extremely difficult to complete the trial due to severe hysteresis or frequent protocol deviations of the subjects. </w:t>
            </w:r>
          </w:p>
        </w:tc>
      </w:tr>
      <w:tr w:rsidR="00743320" w:rsidRPr="00775168">
        <w:trPr>
          <w:cantSplit/>
          <w:jc w:val="center"/>
        </w:trPr>
        <w:tc>
          <w:tcPr>
            <w:tcW w:w="2268" w:type="dxa"/>
            <w:gridSpan w:val="2"/>
          </w:tcPr>
          <w:p w:rsidR="00743320" w:rsidRPr="00775168" w:rsidRDefault="00DF7F26" w:rsidP="00EA1C0E">
            <w:pPr>
              <w:pStyle w:val="P68B1DB1-a017"/>
              <w:tabs>
                <w:tab w:val="left" w:pos="1418"/>
                <w:tab w:val="left" w:pos="2835"/>
                <w:tab w:val="left" w:pos="3544"/>
              </w:tabs>
              <w:spacing w:before="60" w:after="20" w:line="360" w:lineRule="exact"/>
              <w:jc w:val="left"/>
              <w:rPr>
                <w:rFonts w:hAnsi="Times New Roman" w:hint="default"/>
              </w:rPr>
            </w:pPr>
            <w:r w:rsidRPr="00775168">
              <w:rPr>
                <w:rFonts w:hAnsi="Times New Roman"/>
              </w:rPr>
              <w:lastRenderedPageBreak/>
              <w:t xml:space="preserve">Determination of Sample Size </w:t>
            </w:r>
          </w:p>
        </w:tc>
        <w:tc>
          <w:tcPr>
            <w:tcW w:w="6254" w:type="dxa"/>
            <w:vAlign w:val="center"/>
          </w:tcPr>
          <w:p w:rsidR="00743320" w:rsidRPr="00775168" w:rsidRDefault="009D35CC">
            <w:pPr>
              <w:pStyle w:val="P68B1DB1-a033"/>
              <w:tabs>
                <w:tab w:val="left" w:pos="720"/>
                <w:tab w:val="left" w:pos="1418"/>
                <w:tab w:val="left" w:pos="2835"/>
                <w:tab w:val="left" w:pos="3544"/>
              </w:tabs>
              <w:spacing w:before="60" w:after="20" w:line="420" w:lineRule="atLeast"/>
            </w:pPr>
            <w:bookmarkStart w:id="9" w:name="OLE_LINK54"/>
            <w:bookmarkStart w:id="10" w:name="OLE_LINK55"/>
            <w:r w:rsidRPr="00775168">
              <w:t>The primary endpoint is progression-free survival (PFS) of anlotinib combined with EGFR-TKIs after EGFR-TKIs progression. Referring to the mPFS of continuing erlotinib after first-line erlotinib progression is 3.1 months, combining with ALTER0303 study, ALTER0303 study and the requirements of the current clinical practice, it is assumed that the mPFS of anlotinib combined with EGFR-TKIs after previous EGFR-TKIs treatment is 6 months, and that the mPFS of the historical control is 4 months, and the one-sided α= 0.025, β=0.2, enrollment time of 12 months, follow-up time of 12 months, and assuming that the survival curve obeys an exponential distribution, the sample size was calculated to be 107 cases, and taking into account a 15% dropout rate, 126 subjects were proposed to be enrolled in this study.</w:t>
            </w:r>
            <w:r w:rsidR="00DF7F26" w:rsidRPr="00775168">
              <w:rPr>
                <w:rFonts w:hint="eastAsia"/>
              </w:rPr>
              <w:t xml:space="preserve">. </w:t>
            </w:r>
            <w:bookmarkEnd w:id="9"/>
            <w:bookmarkEnd w:id="10"/>
          </w:p>
        </w:tc>
      </w:tr>
      <w:tr w:rsidR="00743320" w:rsidRPr="00775168">
        <w:trPr>
          <w:cantSplit/>
          <w:jc w:val="center"/>
        </w:trPr>
        <w:tc>
          <w:tcPr>
            <w:tcW w:w="2268" w:type="dxa"/>
            <w:gridSpan w:val="2"/>
          </w:tcPr>
          <w:p w:rsidR="00743320" w:rsidRPr="00775168" w:rsidRDefault="00DF7F26" w:rsidP="00EA1C0E">
            <w:pPr>
              <w:pStyle w:val="P68B1DB1-a017"/>
              <w:tabs>
                <w:tab w:val="left" w:pos="1418"/>
                <w:tab w:val="left" w:pos="2835"/>
                <w:tab w:val="left" w:pos="3544"/>
              </w:tabs>
              <w:spacing w:before="60" w:after="20" w:line="360" w:lineRule="exact"/>
              <w:jc w:val="left"/>
              <w:rPr>
                <w:rFonts w:hAnsi="Times New Roman" w:hint="default"/>
              </w:rPr>
            </w:pPr>
            <w:r w:rsidRPr="00775168">
              <w:rPr>
                <w:rFonts w:hAnsi="Times New Roman"/>
              </w:rPr>
              <w:t xml:space="preserve">Study Duration </w:t>
            </w:r>
          </w:p>
        </w:tc>
        <w:tc>
          <w:tcPr>
            <w:tcW w:w="6254" w:type="dxa"/>
            <w:vAlign w:val="center"/>
          </w:tcPr>
          <w:p w:rsidR="00EA1C0E" w:rsidRPr="00EA1C0E" w:rsidRDefault="00EA1C0E" w:rsidP="00EA1C0E">
            <w:pPr>
              <w:pStyle w:val="P68B1DB1-a033"/>
              <w:tabs>
                <w:tab w:val="left" w:pos="720"/>
                <w:tab w:val="left" w:pos="1440"/>
                <w:tab w:val="left" w:pos="2835"/>
                <w:tab w:val="left" w:pos="3544"/>
              </w:tabs>
              <w:spacing w:before="60" w:after="20" w:line="420" w:lineRule="atLeast"/>
              <w:rPr>
                <w:rFonts w:cs="宋体"/>
              </w:rPr>
            </w:pPr>
            <w:r w:rsidRPr="00EA1C0E">
              <w:rPr>
                <w:rFonts w:cs="宋体"/>
              </w:rPr>
              <w:t xml:space="preserve">Time of the first subject: September 2018; </w:t>
            </w:r>
          </w:p>
          <w:p w:rsidR="00EA1C0E" w:rsidRPr="00EA1C0E" w:rsidRDefault="00EA1C0E" w:rsidP="00EA1C0E">
            <w:pPr>
              <w:pStyle w:val="P68B1DB1-a033"/>
              <w:tabs>
                <w:tab w:val="left" w:pos="720"/>
                <w:tab w:val="left" w:pos="1440"/>
                <w:tab w:val="left" w:pos="2835"/>
                <w:tab w:val="left" w:pos="3544"/>
              </w:tabs>
              <w:spacing w:before="60" w:after="20" w:line="420" w:lineRule="atLeast"/>
              <w:rPr>
                <w:rFonts w:cs="宋体"/>
              </w:rPr>
            </w:pPr>
            <w:r w:rsidRPr="00EA1C0E">
              <w:rPr>
                <w:rFonts w:cs="宋体"/>
              </w:rPr>
              <w:t xml:space="preserve">Estimated time for the last subject: September 2019; </w:t>
            </w:r>
          </w:p>
          <w:p w:rsidR="00743320" w:rsidRPr="00775168" w:rsidRDefault="00EA1C0E" w:rsidP="00EA1C0E">
            <w:pPr>
              <w:pStyle w:val="P68B1DB1-a033"/>
              <w:tabs>
                <w:tab w:val="left" w:pos="720"/>
                <w:tab w:val="left" w:pos="1440"/>
                <w:tab w:val="left" w:pos="2835"/>
                <w:tab w:val="left" w:pos="3544"/>
              </w:tabs>
              <w:spacing w:before="60" w:after="20" w:line="420" w:lineRule="atLeast"/>
            </w:pPr>
            <w:r w:rsidRPr="00EA1C0E">
              <w:rPr>
                <w:rFonts w:cs="宋体"/>
              </w:rPr>
              <w:t>Estimated end time of study: September 2020;</w:t>
            </w:r>
          </w:p>
        </w:tc>
      </w:tr>
      <w:tr w:rsidR="00743320" w:rsidRPr="00775168">
        <w:trPr>
          <w:cantSplit/>
          <w:jc w:val="center"/>
        </w:trPr>
        <w:tc>
          <w:tcPr>
            <w:tcW w:w="2268" w:type="dxa"/>
            <w:gridSpan w:val="2"/>
          </w:tcPr>
          <w:p w:rsidR="00743320" w:rsidRPr="00775168" w:rsidRDefault="00DF7F26" w:rsidP="00EA1C0E">
            <w:pPr>
              <w:pStyle w:val="P68B1DB1-a017"/>
              <w:tabs>
                <w:tab w:val="left" w:pos="1418"/>
                <w:tab w:val="left" w:pos="2835"/>
                <w:tab w:val="left" w:pos="3544"/>
              </w:tabs>
              <w:spacing w:before="60" w:after="20" w:line="360" w:lineRule="exact"/>
              <w:jc w:val="left"/>
              <w:rPr>
                <w:rFonts w:hAnsi="Times New Roman" w:hint="default"/>
              </w:rPr>
            </w:pPr>
            <w:r w:rsidRPr="00775168">
              <w:rPr>
                <w:rFonts w:hAnsi="Times New Roman"/>
              </w:rPr>
              <w:t xml:space="preserve">Mode of administration </w:t>
            </w:r>
          </w:p>
          <w:p w:rsidR="00743320" w:rsidRPr="00775168" w:rsidRDefault="00743320">
            <w:pPr>
              <w:tabs>
                <w:tab w:val="left" w:pos="1418"/>
                <w:tab w:val="left" w:pos="2835"/>
                <w:tab w:val="left" w:pos="3544"/>
              </w:tabs>
              <w:spacing w:before="60" w:after="20" w:line="360" w:lineRule="exact"/>
              <w:rPr>
                <w:sz w:val="24"/>
              </w:rPr>
            </w:pPr>
          </w:p>
        </w:tc>
        <w:tc>
          <w:tcPr>
            <w:tcW w:w="6254" w:type="dxa"/>
          </w:tcPr>
          <w:p w:rsidR="00743320" w:rsidRPr="00775168" w:rsidRDefault="00DF7F26">
            <w:pPr>
              <w:pStyle w:val="P68B1DB1-a024"/>
              <w:tabs>
                <w:tab w:val="left" w:pos="1418"/>
                <w:tab w:val="left" w:pos="2835"/>
                <w:tab w:val="left" w:pos="3544"/>
              </w:tabs>
              <w:spacing w:before="60" w:after="20" w:line="420" w:lineRule="atLeast"/>
              <w:rPr>
                <w:rFonts w:hint="default"/>
              </w:rPr>
            </w:pPr>
            <w:r w:rsidRPr="00775168">
              <w:t xml:space="preserve">Anlotinib, 12 mg, po, qd, for 2 weeks followed by 1-week break, in 3-week cycles; until disease progression; </w:t>
            </w:r>
          </w:p>
          <w:p w:rsidR="00743320" w:rsidRPr="00775168" w:rsidRDefault="00DF7F26">
            <w:pPr>
              <w:pStyle w:val="P68B1DB1-a023"/>
              <w:tabs>
                <w:tab w:val="left" w:pos="1418"/>
                <w:tab w:val="left" w:pos="2835"/>
                <w:tab w:val="left" w:pos="3544"/>
              </w:tabs>
              <w:spacing w:before="60" w:after="20" w:line="420" w:lineRule="atLeast"/>
              <w:rPr>
                <w:rFonts w:hAnsi="Times New Roman" w:hint="default"/>
              </w:rPr>
            </w:pPr>
            <w:r w:rsidRPr="00775168">
              <w:rPr>
                <w:rFonts w:hAnsi="Times New Roman"/>
              </w:rPr>
              <w:t xml:space="preserve">EGFR-TKIs will be administered according to the instructions </w:t>
            </w:r>
          </w:p>
        </w:tc>
      </w:tr>
      <w:bookmarkEnd w:id="0"/>
    </w:tbl>
    <w:p w:rsidR="00EA1C0E" w:rsidRDefault="00EA1C0E">
      <w:pPr>
        <w:widowControl/>
        <w:jc w:val="left"/>
        <w:rPr>
          <w:b/>
          <w:sz w:val="24"/>
        </w:rPr>
      </w:pPr>
    </w:p>
    <w:p w:rsidR="00EA1C0E" w:rsidRDefault="00EA1C0E">
      <w:pPr>
        <w:widowControl/>
        <w:jc w:val="left"/>
        <w:rPr>
          <w:b/>
          <w:sz w:val="24"/>
        </w:rPr>
      </w:pPr>
      <w:r>
        <w:rPr>
          <w:b/>
          <w:sz w:val="24"/>
        </w:rPr>
        <w:br w:type="page"/>
      </w:r>
    </w:p>
    <w:p w:rsidR="00743320" w:rsidRPr="00775168" w:rsidRDefault="00DF7F26">
      <w:pPr>
        <w:pStyle w:val="P68B1DB1-146"/>
        <w:rPr>
          <w:rFonts w:ascii="Times New Roman" w:hAnsi="Times New Roman" w:cs="Times New Roman" w:hint="default"/>
        </w:rPr>
      </w:pPr>
      <w:bookmarkStart w:id="11" w:name="_Toc178589650"/>
      <w:bookmarkStart w:id="12" w:name="_Toc512940914"/>
      <w:bookmarkStart w:id="13" w:name="_Toc512941675"/>
      <w:r w:rsidRPr="00775168">
        <w:rPr>
          <w:rFonts w:ascii="Times New Roman" w:hAnsi="Times New Roman"/>
        </w:rPr>
        <w:lastRenderedPageBreak/>
        <w:t>Dose Modification Rule</w:t>
      </w:r>
      <w:bookmarkEnd w:id="11"/>
      <w:r w:rsidRPr="00775168">
        <w:rPr>
          <w:rFonts w:ascii="Times New Roman" w:hAnsi="Times New Roman"/>
        </w:rPr>
        <w:t xml:space="preserve"> </w:t>
      </w:r>
      <w:bookmarkEnd w:id="12"/>
      <w:bookmarkEnd w:id="13"/>
    </w:p>
    <w:tbl>
      <w:tblPr>
        <w:tblW w:w="8758"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firstRow="1" w:lastRow="0" w:firstColumn="1" w:lastColumn="0" w:noHBand="0" w:noVBand="1"/>
      </w:tblPr>
      <w:tblGrid>
        <w:gridCol w:w="2377"/>
        <w:gridCol w:w="6381"/>
      </w:tblGrid>
      <w:tr w:rsidR="00743320" w:rsidRPr="00775168">
        <w:trPr>
          <w:trHeight w:val="469"/>
          <w:jc w:val="center"/>
        </w:trPr>
        <w:tc>
          <w:tcPr>
            <w:tcW w:w="2377" w:type="dxa"/>
            <w:tcBorders>
              <w:right w:val="single" w:sz="6" w:space="0" w:color="000000"/>
            </w:tcBorders>
          </w:tcPr>
          <w:p w:rsidR="00743320" w:rsidRPr="00775168" w:rsidRDefault="00DF7F26">
            <w:pPr>
              <w:pStyle w:val="P68B1DB1-TableParagraph47"/>
              <w:spacing w:line="449" w:lineRule="exact"/>
              <w:ind w:left="107"/>
              <w:rPr>
                <w:rFonts w:ascii="Times New Roman" w:hAnsi="Times New Roman" w:cs="Times New Roman"/>
              </w:rPr>
            </w:pPr>
            <w:r w:rsidRPr="00775168">
              <w:rPr>
                <w:rFonts w:ascii="Times New Roman" w:hAnsi="Times New Roman" w:cs="宋体"/>
                <w:b/>
              </w:rPr>
              <w:t xml:space="preserve">NCI Toxicity Grade </w:t>
            </w:r>
          </w:p>
        </w:tc>
        <w:tc>
          <w:tcPr>
            <w:tcW w:w="6381" w:type="dxa"/>
            <w:tcBorders>
              <w:left w:val="single" w:sz="6" w:space="0" w:color="000000"/>
            </w:tcBorders>
          </w:tcPr>
          <w:p w:rsidR="00743320" w:rsidRPr="00775168" w:rsidRDefault="00DF7F26">
            <w:pPr>
              <w:pStyle w:val="P68B1DB1-TableParagraph10"/>
              <w:spacing w:line="449" w:lineRule="exact"/>
              <w:ind w:left="1991"/>
              <w:rPr>
                <w:rFonts w:ascii="Times New Roman" w:hAnsi="Times New Roman" w:cs="Times New Roman" w:hint="default"/>
              </w:rPr>
            </w:pPr>
            <w:r w:rsidRPr="00775168">
              <w:rPr>
                <w:rFonts w:ascii="Times New Roman" w:hAnsi="Times New Roman"/>
              </w:rPr>
              <w:t xml:space="preserve">Dose Modifications for Hematologic Toxicities </w:t>
            </w:r>
          </w:p>
        </w:tc>
      </w:tr>
      <w:tr w:rsidR="00743320" w:rsidRPr="00775168">
        <w:trPr>
          <w:trHeight w:val="467"/>
          <w:jc w:val="center"/>
        </w:trPr>
        <w:tc>
          <w:tcPr>
            <w:tcW w:w="2377" w:type="dxa"/>
            <w:tcBorders>
              <w:bottom w:val="single" w:sz="6" w:space="0" w:color="000000"/>
              <w:right w:val="single" w:sz="6" w:space="0" w:color="000000"/>
            </w:tcBorders>
          </w:tcPr>
          <w:p w:rsidR="00743320" w:rsidRPr="00775168" w:rsidRDefault="00DF7F26">
            <w:pPr>
              <w:pStyle w:val="P68B1DB1-TableParagraph10"/>
              <w:spacing w:line="447" w:lineRule="exact"/>
              <w:ind w:left="107"/>
              <w:rPr>
                <w:rFonts w:ascii="Times New Roman" w:hAnsi="Times New Roman" w:cs="Times New Roman" w:hint="default"/>
              </w:rPr>
            </w:pPr>
            <w:r w:rsidRPr="00775168">
              <w:rPr>
                <w:rFonts w:ascii="Times New Roman" w:hAnsi="Times New Roman"/>
              </w:rPr>
              <w:t xml:space="preserve">Grade I hematological toxicity </w:t>
            </w:r>
          </w:p>
        </w:tc>
        <w:tc>
          <w:tcPr>
            <w:tcW w:w="6381" w:type="dxa"/>
            <w:tcBorders>
              <w:left w:val="single" w:sz="6" w:space="0" w:color="000000"/>
              <w:bottom w:val="single" w:sz="6" w:space="0" w:color="000000"/>
            </w:tcBorders>
          </w:tcPr>
          <w:p w:rsidR="00743320" w:rsidRPr="00775168" w:rsidRDefault="00DF7F26">
            <w:pPr>
              <w:pStyle w:val="P68B1DB1-TableParagraph10"/>
              <w:spacing w:line="447" w:lineRule="exact"/>
              <w:ind w:left="114"/>
              <w:rPr>
                <w:rFonts w:ascii="Times New Roman" w:hAnsi="Times New Roman" w:cs="Times New Roman" w:hint="default"/>
              </w:rPr>
            </w:pPr>
            <w:r w:rsidRPr="00775168">
              <w:rPr>
                <w:rFonts w:ascii="Times New Roman" w:hAnsi="Times New Roman"/>
              </w:rPr>
              <w:t xml:space="preserve">Maintain original dose level (appropriate symptomatic treatment) </w:t>
            </w:r>
          </w:p>
        </w:tc>
      </w:tr>
      <w:tr w:rsidR="00743320" w:rsidRPr="00775168">
        <w:trPr>
          <w:trHeight w:val="469"/>
          <w:jc w:val="center"/>
        </w:trPr>
        <w:tc>
          <w:tcPr>
            <w:tcW w:w="2377" w:type="dxa"/>
            <w:tcBorders>
              <w:top w:val="single" w:sz="6" w:space="0" w:color="000000"/>
              <w:bottom w:val="single" w:sz="6" w:space="0" w:color="000000"/>
              <w:right w:val="single" w:sz="6" w:space="0" w:color="000000"/>
            </w:tcBorders>
          </w:tcPr>
          <w:p w:rsidR="00743320" w:rsidRPr="00775168" w:rsidRDefault="00DF7F26">
            <w:pPr>
              <w:pStyle w:val="P68B1DB1-TableParagraph10"/>
              <w:spacing w:line="450" w:lineRule="exact"/>
              <w:ind w:left="107"/>
              <w:rPr>
                <w:rFonts w:ascii="Times New Roman" w:hAnsi="Times New Roman" w:cs="Times New Roman" w:hint="default"/>
              </w:rPr>
            </w:pPr>
            <w:r w:rsidRPr="00775168">
              <w:rPr>
                <w:rFonts w:ascii="Times New Roman" w:hAnsi="Times New Roman"/>
              </w:rPr>
              <w:t xml:space="preserve">Grade II hematologic toxicity </w:t>
            </w:r>
          </w:p>
        </w:tc>
        <w:tc>
          <w:tcPr>
            <w:tcW w:w="6381" w:type="dxa"/>
            <w:tcBorders>
              <w:top w:val="single" w:sz="6" w:space="0" w:color="000000"/>
              <w:left w:val="single" w:sz="6" w:space="0" w:color="000000"/>
              <w:bottom w:val="single" w:sz="6" w:space="0" w:color="000000"/>
            </w:tcBorders>
          </w:tcPr>
          <w:p w:rsidR="00743320" w:rsidRPr="00775168" w:rsidRDefault="00DF7F26">
            <w:pPr>
              <w:pStyle w:val="P68B1DB1-TableParagraph10"/>
              <w:spacing w:line="450" w:lineRule="exact"/>
              <w:ind w:left="114"/>
              <w:rPr>
                <w:rFonts w:ascii="Times New Roman" w:hAnsi="Times New Roman" w:cs="Times New Roman" w:hint="default"/>
              </w:rPr>
            </w:pPr>
            <w:r w:rsidRPr="00775168">
              <w:rPr>
                <w:rFonts w:ascii="Times New Roman" w:hAnsi="Times New Roman"/>
              </w:rPr>
              <w:t xml:space="preserve">Maintain original dose level (appropriate symptomatic treatment) </w:t>
            </w:r>
          </w:p>
        </w:tc>
      </w:tr>
      <w:tr w:rsidR="00743320" w:rsidRPr="00775168">
        <w:trPr>
          <w:trHeight w:val="935"/>
          <w:jc w:val="center"/>
        </w:trPr>
        <w:tc>
          <w:tcPr>
            <w:tcW w:w="2377" w:type="dxa"/>
            <w:tcBorders>
              <w:top w:val="single" w:sz="6" w:space="0" w:color="000000"/>
              <w:bottom w:val="single" w:sz="6" w:space="0" w:color="000000"/>
              <w:right w:val="single" w:sz="6" w:space="0" w:color="000000"/>
            </w:tcBorders>
          </w:tcPr>
          <w:p w:rsidR="00743320" w:rsidRPr="00775168" w:rsidRDefault="00DF7F26">
            <w:pPr>
              <w:pStyle w:val="P68B1DB1-TableParagraph10"/>
              <w:spacing w:before="196"/>
              <w:ind w:left="107"/>
              <w:rPr>
                <w:rFonts w:ascii="Times New Roman" w:hAnsi="Times New Roman" w:cs="Times New Roman" w:hint="default"/>
              </w:rPr>
            </w:pPr>
            <w:r w:rsidRPr="00775168">
              <w:rPr>
                <w:rFonts w:ascii="Times New Roman" w:hAnsi="Times New Roman"/>
              </w:rPr>
              <w:t xml:space="preserve">Grade III hematological toxicity </w:t>
            </w:r>
          </w:p>
        </w:tc>
        <w:tc>
          <w:tcPr>
            <w:tcW w:w="6381" w:type="dxa"/>
            <w:tcBorders>
              <w:top w:val="single" w:sz="6" w:space="0" w:color="000000"/>
              <w:left w:val="single" w:sz="6" w:space="0" w:color="000000"/>
              <w:bottom w:val="single" w:sz="6" w:space="0" w:color="000000"/>
            </w:tcBorders>
          </w:tcPr>
          <w:p w:rsidR="00743320" w:rsidRPr="00775168" w:rsidRDefault="00DF7F26">
            <w:pPr>
              <w:pStyle w:val="P68B1DB1-TableParagraph10"/>
              <w:spacing w:line="452" w:lineRule="exact"/>
              <w:ind w:left="114"/>
              <w:rPr>
                <w:rFonts w:ascii="Times New Roman" w:hAnsi="Times New Roman" w:cs="Times New Roman" w:hint="default"/>
              </w:rPr>
            </w:pPr>
            <w:r w:rsidRPr="00775168">
              <w:rPr>
                <w:rFonts w:ascii="Times New Roman" w:hAnsi="Times New Roman"/>
              </w:rPr>
              <w:t xml:space="preserve">First suspend the drug and treat symptomatically, and then treat according to the original agent after the toxicity recovers to </w:t>
            </w:r>
            <w:r w:rsidRPr="00775168">
              <w:rPr>
                <w:rFonts w:ascii="Times New Roman" w:hAnsi="Times New Roman"/>
              </w:rPr>
              <w:t>≤</w:t>
            </w:r>
            <w:r w:rsidRPr="00775168">
              <w:rPr>
                <w:rFonts w:ascii="Times New Roman" w:hAnsi="Times New Roman"/>
              </w:rPr>
              <w:t xml:space="preserve"> grade II </w:t>
            </w:r>
          </w:p>
          <w:p w:rsidR="00743320" w:rsidRPr="00775168" w:rsidRDefault="00DF7F26">
            <w:pPr>
              <w:pStyle w:val="P68B1DB1-TableParagraph10"/>
              <w:spacing w:line="463" w:lineRule="exact"/>
              <w:ind w:left="114"/>
              <w:rPr>
                <w:rFonts w:ascii="Times New Roman" w:hAnsi="Times New Roman" w:cs="Times New Roman" w:hint="default"/>
              </w:rPr>
            </w:pPr>
            <w:r w:rsidRPr="00775168">
              <w:rPr>
                <w:rFonts w:ascii="Times New Roman" w:hAnsi="Times New Roman"/>
              </w:rPr>
              <w:t xml:space="preserve">Volume Continue Treatment </w:t>
            </w:r>
          </w:p>
        </w:tc>
      </w:tr>
      <w:tr w:rsidR="00743320" w:rsidRPr="00775168">
        <w:trPr>
          <w:trHeight w:val="935"/>
          <w:jc w:val="center"/>
        </w:trPr>
        <w:tc>
          <w:tcPr>
            <w:tcW w:w="2377" w:type="dxa"/>
            <w:tcBorders>
              <w:top w:val="single" w:sz="6" w:space="0" w:color="000000"/>
              <w:right w:val="single" w:sz="6" w:space="0" w:color="000000"/>
            </w:tcBorders>
          </w:tcPr>
          <w:p w:rsidR="00743320" w:rsidRPr="00775168" w:rsidRDefault="00DF7F26">
            <w:pPr>
              <w:pStyle w:val="P68B1DB1-TableParagraph10"/>
              <w:spacing w:before="199"/>
              <w:ind w:left="107"/>
              <w:rPr>
                <w:rFonts w:ascii="Times New Roman" w:hAnsi="Times New Roman" w:cs="Times New Roman" w:hint="default"/>
              </w:rPr>
            </w:pPr>
            <w:r w:rsidRPr="00775168">
              <w:rPr>
                <w:rFonts w:ascii="Times New Roman" w:hAnsi="Times New Roman"/>
              </w:rPr>
              <w:t xml:space="preserve">Grade IV hematologic toxicity </w:t>
            </w:r>
          </w:p>
        </w:tc>
        <w:tc>
          <w:tcPr>
            <w:tcW w:w="6381" w:type="dxa"/>
            <w:tcBorders>
              <w:top w:val="single" w:sz="6" w:space="0" w:color="000000"/>
              <w:left w:val="single" w:sz="6" w:space="0" w:color="000000"/>
            </w:tcBorders>
          </w:tcPr>
          <w:p w:rsidR="00743320" w:rsidRPr="00775168" w:rsidRDefault="00DF7F26">
            <w:pPr>
              <w:pStyle w:val="P68B1DB1-TableParagraph10"/>
              <w:spacing w:line="453" w:lineRule="exact"/>
              <w:ind w:left="114"/>
              <w:rPr>
                <w:rFonts w:ascii="Times New Roman" w:hAnsi="Times New Roman" w:cs="Times New Roman" w:hint="default"/>
              </w:rPr>
            </w:pPr>
            <w:r w:rsidRPr="00775168">
              <w:rPr>
                <w:rFonts w:ascii="Times New Roman" w:hAnsi="Times New Roman"/>
              </w:rPr>
              <w:t xml:space="preserve">Withhold the drug and give symptomatic treatment, and reduce the dose by one when the toxicity recovers to </w:t>
            </w:r>
            <w:r w:rsidRPr="00775168">
              <w:rPr>
                <w:rFonts w:ascii="Times New Roman" w:hAnsi="Times New Roman"/>
              </w:rPr>
              <w:t>≤</w:t>
            </w:r>
            <w:r w:rsidRPr="00775168">
              <w:rPr>
                <w:rFonts w:ascii="Times New Roman" w:hAnsi="Times New Roman"/>
              </w:rPr>
              <w:t xml:space="preserve"> Grade II </w:t>
            </w:r>
          </w:p>
          <w:p w:rsidR="00743320" w:rsidRPr="00775168" w:rsidRDefault="00DF7F26">
            <w:pPr>
              <w:pStyle w:val="P68B1DB1-TableParagraph10"/>
              <w:spacing w:line="463" w:lineRule="exact"/>
              <w:ind w:left="114"/>
              <w:rPr>
                <w:rFonts w:ascii="Times New Roman" w:hAnsi="Times New Roman" w:cs="Times New Roman" w:hint="default"/>
              </w:rPr>
            </w:pPr>
            <w:r w:rsidRPr="00775168">
              <w:rPr>
                <w:rFonts w:ascii="Times New Roman" w:hAnsi="Times New Roman"/>
              </w:rPr>
              <w:t xml:space="preserve">Horizontal continuation </w:t>
            </w:r>
          </w:p>
        </w:tc>
      </w:tr>
      <w:tr w:rsidR="00743320" w:rsidRPr="00775168">
        <w:trPr>
          <w:trHeight w:val="469"/>
          <w:jc w:val="center"/>
        </w:trPr>
        <w:tc>
          <w:tcPr>
            <w:tcW w:w="2377" w:type="dxa"/>
            <w:tcBorders>
              <w:right w:val="single" w:sz="6" w:space="0" w:color="000000"/>
            </w:tcBorders>
          </w:tcPr>
          <w:p w:rsidR="00743320" w:rsidRPr="00775168" w:rsidRDefault="00743320">
            <w:pPr>
              <w:pStyle w:val="TableParagraph"/>
              <w:rPr>
                <w:rFonts w:ascii="Times New Roman" w:hAnsi="Times New Roman" w:cs="Times New Roman"/>
              </w:rPr>
            </w:pPr>
          </w:p>
        </w:tc>
        <w:tc>
          <w:tcPr>
            <w:tcW w:w="6381" w:type="dxa"/>
            <w:tcBorders>
              <w:left w:val="single" w:sz="6" w:space="0" w:color="000000"/>
            </w:tcBorders>
          </w:tcPr>
          <w:p w:rsidR="00743320" w:rsidRPr="00775168" w:rsidRDefault="00DF7F26">
            <w:pPr>
              <w:pStyle w:val="P68B1DB1-TableParagraph10"/>
              <w:spacing w:line="449" w:lineRule="exact"/>
              <w:ind w:left="1871"/>
              <w:rPr>
                <w:rFonts w:ascii="Times New Roman" w:hAnsi="Times New Roman" w:cs="Times New Roman" w:hint="default"/>
              </w:rPr>
            </w:pPr>
            <w:r w:rsidRPr="00775168">
              <w:rPr>
                <w:rFonts w:ascii="Times New Roman" w:hAnsi="Times New Roman"/>
              </w:rPr>
              <w:t xml:space="preserve">Dose Modifications for Non-Hematologic Toxicities </w:t>
            </w:r>
          </w:p>
        </w:tc>
      </w:tr>
      <w:tr w:rsidR="00743320" w:rsidRPr="00775168">
        <w:trPr>
          <w:trHeight w:val="467"/>
          <w:jc w:val="center"/>
        </w:trPr>
        <w:tc>
          <w:tcPr>
            <w:tcW w:w="2377" w:type="dxa"/>
            <w:tcBorders>
              <w:bottom w:val="single" w:sz="6" w:space="0" w:color="000000"/>
              <w:right w:val="single" w:sz="6" w:space="0" w:color="000000"/>
            </w:tcBorders>
          </w:tcPr>
          <w:p w:rsidR="00743320" w:rsidRPr="00775168" w:rsidRDefault="00DF7F26">
            <w:pPr>
              <w:pStyle w:val="P68B1DB1-TableParagraph10"/>
              <w:spacing w:line="447" w:lineRule="exact"/>
              <w:ind w:left="107"/>
              <w:rPr>
                <w:rFonts w:ascii="Times New Roman" w:hAnsi="Times New Roman" w:cs="Times New Roman" w:hint="default"/>
              </w:rPr>
            </w:pPr>
            <w:r w:rsidRPr="00775168">
              <w:rPr>
                <w:rFonts w:ascii="Times New Roman" w:hAnsi="Times New Roman"/>
              </w:rPr>
              <w:t xml:space="preserve">Grade I non-hematological toxicity </w:t>
            </w:r>
          </w:p>
        </w:tc>
        <w:tc>
          <w:tcPr>
            <w:tcW w:w="6381" w:type="dxa"/>
            <w:tcBorders>
              <w:left w:val="single" w:sz="6" w:space="0" w:color="000000"/>
              <w:bottom w:val="single" w:sz="6" w:space="0" w:color="000000"/>
            </w:tcBorders>
          </w:tcPr>
          <w:p w:rsidR="00743320" w:rsidRPr="00775168" w:rsidRDefault="00DF7F26">
            <w:pPr>
              <w:pStyle w:val="P68B1DB1-TableParagraph10"/>
              <w:spacing w:line="447" w:lineRule="exact"/>
              <w:ind w:left="114"/>
              <w:rPr>
                <w:rFonts w:ascii="Times New Roman" w:hAnsi="Times New Roman" w:cs="Times New Roman" w:hint="default"/>
              </w:rPr>
            </w:pPr>
            <w:r w:rsidRPr="00775168">
              <w:rPr>
                <w:rFonts w:ascii="Times New Roman" w:hAnsi="Times New Roman"/>
              </w:rPr>
              <w:t xml:space="preserve">Maintain original dose level (appropriate symptomatic treatment) </w:t>
            </w:r>
          </w:p>
        </w:tc>
      </w:tr>
      <w:tr w:rsidR="00743320" w:rsidRPr="00775168">
        <w:trPr>
          <w:trHeight w:val="1403"/>
          <w:jc w:val="center"/>
        </w:trPr>
        <w:tc>
          <w:tcPr>
            <w:tcW w:w="2377" w:type="dxa"/>
            <w:tcBorders>
              <w:top w:val="single" w:sz="6" w:space="0" w:color="000000"/>
              <w:bottom w:val="single" w:sz="6" w:space="0" w:color="000000"/>
              <w:right w:val="single" w:sz="6" w:space="0" w:color="000000"/>
            </w:tcBorders>
          </w:tcPr>
          <w:p w:rsidR="00743320" w:rsidRPr="00775168" w:rsidRDefault="00743320">
            <w:pPr>
              <w:pStyle w:val="TableParagraph"/>
              <w:spacing w:before="7"/>
              <w:rPr>
                <w:rFonts w:ascii="Times New Roman" w:hAnsi="Times New Roman" w:cs="Times New Roman"/>
                <w:sz w:val="20"/>
              </w:rPr>
            </w:pPr>
          </w:p>
          <w:p w:rsidR="00743320" w:rsidRPr="00775168" w:rsidRDefault="00DF7F26">
            <w:pPr>
              <w:pStyle w:val="P68B1DB1-TableParagraph10"/>
              <w:ind w:left="107"/>
              <w:rPr>
                <w:rFonts w:ascii="Times New Roman" w:hAnsi="Times New Roman" w:cs="Times New Roman" w:hint="default"/>
              </w:rPr>
            </w:pPr>
            <w:r w:rsidRPr="00775168">
              <w:rPr>
                <w:rFonts w:ascii="Times New Roman" w:hAnsi="Times New Roman"/>
              </w:rPr>
              <w:t xml:space="preserve">Grade II non-hematological toxicity </w:t>
            </w:r>
          </w:p>
        </w:tc>
        <w:tc>
          <w:tcPr>
            <w:tcW w:w="6381" w:type="dxa"/>
            <w:tcBorders>
              <w:top w:val="single" w:sz="6" w:space="0" w:color="000000"/>
              <w:left w:val="single" w:sz="6" w:space="0" w:color="000000"/>
              <w:bottom w:val="single" w:sz="6" w:space="0" w:color="000000"/>
            </w:tcBorders>
          </w:tcPr>
          <w:p w:rsidR="00743320" w:rsidRPr="00775168" w:rsidRDefault="00DF7F26">
            <w:pPr>
              <w:pStyle w:val="P68B1DB1-TableParagraph10"/>
              <w:spacing w:line="220" w:lineRule="auto"/>
              <w:ind w:left="114" w:right="2"/>
              <w:rPr>
                <w:rFonts w:ascii="Times New Roman" w:hAnsi="Times New Roman" w:cs="Times New Roman" w:hint="default"/>
              </w:rPr>
            </w:pPr>
            <w:r w:rsidRPr="00775168">
              <w:rPr>
                <w:rFonts w:ascii="Times New Roman" w:hAnsi="Times New Roman"/>
              </w:rPr>
              <w:t xml:space="preserve">Treat symptomatically, and continue medication if the toxicity recovers to </w:t>
            </w:r>
            <w:r w:rsidRPr="00775168">
              <w:rPr>
                <w:rFonts w:ascii="Times New Roman" w:hAnsi="Times New Roman"/>
              </w:rPr>
              <w:t>≤</w:t>
            </w:r>
            <w:r w:rsidRPr="00775168">
              <w:rPr>
                <w:rFonts w:ascii="Times New Roman" w:hAnsi="Times New Roman"/>
              </w:rPr>
              <w:t xml:space="preserve"> Grade I one week later; if the toxicity is not improved or aggravated, suspend the medication until the toxicity recovers to </w:t>
            </w:r>
          </w:p>
          <w:p w:rsidR="00743320" w:rsidRPr="00775168" w:rsidRDefault="00DF7F26">
            <w:pPr>
              <w:pStyle w:val="P68B1DB1-TableParagraph10"/>
              <w:spacing w:line="455" w:lineRule="exact"/>
              <w:ind w:left="114"/>
              <w:rPr>
                <w:rFonts w:ascii="Times New Roman" w:hAnsi="Times New Roman" w:cs="Times New Roman" w:hint="default"/>
              </w:rPr>
            </w:pPr>
            <w:r w:rsidRPr="00775168">
              <w:rPr>
                <w:rFonts w:ascii="Times New Roman" w:hAnsi="Times New Roman"/>
              </w:rPr>
              <w:t>≤</w:t>
            </w:r>
            <w:r w:rsidRPr="00775168">
              <w:rPr>
                <w:rFonts w:ascii="Times New Roman" w:hAnsi="Times New Roman"/>
              </w:rPr>
              <w:t xml:space="preserve"> Grade I, and then continue the treatment at the original dose level </w:t>
            </w:r>
          </w:p>
        </w:tc>
      </w:tr>
      <w:tr w:rsidR="00743320" w:rsidRPr="00775168">
        <w:trPr>
          <w:trHeight w:val="938"/>
          <w:jc w:val="center"/>
        </w:trPr>
        <w:tc>
          <w:tcPr>
            <w:tcW w:w="2377" w:type="dxa"/>
            <w:tcBorders>
              <w:top w:val="single" w:sz="6" w:space="0" w:color="000000"/>
              <w:bottom w:val="single" w:sz="6" w:space="0" w:color="000000"/>
              <w:right w:val="single" w:sz="6" w:space="0" w:color="000000"/>
            </w:tcBorders>
          </w:tcPr>
          <w:p w:rsidR="00743320" w:rsidRPr="00775168" w:rsidRDefault="00DF7F26">
            <w:pPr>
              <w:pStyle w:val="P68B1DB1-TableParagraph10"/>
              <w:spacing w:before="199"/>
              <w:ind w:left="107"/>
              <w:rPr>
                <w:rFonts w:ascii="Times New Roman" w:hAnsi="Times New Roman" w:cs="Times New Roman" w:hint="default"/>
              </w:rPr>
            </w:pPr>
            <w:r w:rsidRPr="00775168">
              <w:rPr>
                <w:rFonts w:ascii="Times New Roman" w:hAnsi="Times New Roman"/>
              </w:rPr>
              <w:t xml:space="preserve">Grade III non-hematological toxicity </w:t>
            </w:r>
          </w:p>
        </w:tc>
        <w:tc>
          <w:tcPr>
            <w:tcW w:w="6381" w:type="dxa"/>
            <w:tcBorders>
              <w:top w:val="single" w:sz="6" w:space="0" w:color="000000"/>
              <w:left w:val="single" w:sz="6" w:space="0" w:color="000000"/>
              <w:bottom w:val="single" w:sz="6" w:space="0" w:color="000000"/>
            </w:tcBorders>
          </w:tcPr>
          <w:p w:rsidR="00743320" w:rsidRPr="00775168" w:rsidRDefault="00DF7F26">
            <w:pPr>
              <w:pStyle w:val="P68B1DB1-TableParagraph10"/>
              <w:spacing w:line="455" w:lineRule="exact"/>
              <w:ind w:left="114"/>
              <w:rPr>
                <w:rFonts w:ascii="Times New Roman" w:hAnsi="Times New Roman" w:cs="Times New Roman" w:hint="default"/>
              </w:rPr>
            </w:pPr>
            <w:r w:rsidRPr="00775168">
              <w:rPr>
                <w:rFonts w:ascii="Times New Roman" w:hAnsi="Times New Roman"/>
              </w:rPr>
              <w:t xml:space="preserve">Withhold the drug and give symptomatic treatment, and continue to follow the original instructions after the toxicity recovers to </w:t>
            </w:r>
            <w:r w:rsidRPr="00775168">
              <w:rPr>
                <w:rFonts w:ascii="Times New Roman" w:hAnsi="Times New Roman"/>
              </w:rPr>
              <w:t>≤</w:t>
            </w:r>
            <w:r w:rsidRPr="00775168">
              <w:rPr>
                <w:rFonts w:ascii="Times New Roman" w:hAnsi="Times New Roman"/>
              </w:rPr>
              <w:t xml:space="preserve"> Grade I </w:t>
            </w:r>
          </w:p>
          <w:p w:rsidR="00743320" w:rsidRPr="00775168" w:rsidRDefault="00DF7F26">
            <w:pPr>
              <w:pStyle w:val="P68B1DB1-TableParagraph10"/>
              <w:spacing w:line="463" w:lineRule="exact"/>
              <w:ind w:left="114"/>
              <w:rPr>
                <w:rFonts w:ascii="Times New Roman" w:hAnsi="Times New Roman" w:cs="Times New Roman" w:hint="default"/>
              </w:rPr>
            </w:pPr>
            <w:r w:rsidRPr="00775168">
              <w:rPr>
                <w:rFonts w:ascii="Times New Roman" w:hAnsi="Times New Roman"/>
              </w:rPr>
              <w:t xml:space="preserve">Dose treatment, or dose reduction by 1 dose level to continue at the discretion of the investigator </w:t>
            </w:r>
          </w:p>
        </w:tc>
      </w:tr>
      <w:tr w:rsidR="00743320" w:rsidRPr="00775168">
        <w:trPr>
          <w:trHeight w:val="2339"/>
          <w:jc w:val="center"/>
        </w:trPr>
        <w:tc>
          <w:tcPr>
            <w:tcW w:w="2377" w:type="dxa"/>
            <w:tcBorders>
              <w:top w:val="single" w:sz="6" w:space="0" w:color="000000"/>
              <w:right w:val="single" w:sz="6" w:space="0" w:color="000000"/>
            </w:tcBorders>
          </w:tcPr>
          <w:p w:rsidR="00743320" w:rsidRPr="00775168" w:rsidRDefault="00743320">
            <w:pPr>
              <w:pStyle w:val="TableParagraph"/>
              <w:rPr>
                <w:rFonts w:ascii="Times New Roman" w:hAnsi="Times New Roman" w:cs="Times New Roman"/>
                <w:sz w:val="24"/>
              </w:rPr>
            </w:pPr>
          </w:p>
          <w:p w:rsidR="00743320" w:rsidRPr="00775168" w:rsidRDefault="00743320">
            <w:pPr>
              <w:pStyle w:val="TableParagraph"/>
              <w:spacing w:before="9"/>
              <w:rPr>
                <w:rFonts w:ascii="Times New Roman" w:hAnsi="Times New Roman" w:cs="Times New Roman"/>
                <w:sz w:val="18"/>
              </w:rPr>
            </w:pPr>
          </w:p>
          <w:p w:rsidR="00743320" w:rsidRPr="00775168" w:rsidRDefault="00DF7F26">
            <w:pPr>
              <w:pStyle w:val="P68B1DB1-TableParagraph10"/>
              <w:ind w:left="107"/>
              <w:rPr>
                <w:rFonts w:ascii="Times New Roman" w:hAnsi="Times New Roman" w:cs="Times New Roman" w:hint="default"/>
              </w:rPr>
            </w:pPr>
            <w:r w:rsidRPr="00775168">
              <w:rPr>
                <w:rFonts w:ascii="Times New Roman" w:hAnsi="Times New Roman"/>
              </w:rPr>
              <w:t xml:space="preserve">Grade IV non-hematological toxicity </w:t>
            </w:r>
          </w:p>
        </w:tc>
        <w:tc>
          <w:tcPr>
            <w:tcW w:w="6381" w:type="dxa"/>
            <w:tcBorders>
              <w:top w:val="single" w:sz="6" w:space="0" w:color="000000"/>
              <w:left w:val="single" w:sz="6" w:space="0" w:color="000000"/>
            </w:tcBorders>
          </w:tcPr>
          <w:p w:rsidR="00743320" w:rsidRPr="00775168" w:rsidRDefault="00DF7F26">
            <w:pPr>
              <w:pStyle w:val="P68B1DB1-TableParagraph10"/>
              <w:spacing w:line="220" w:lineRule="auto"/>
              <w:ind w:left="114" w:right="-44"/>
              <w:jc w:val="both"/>
              <w:rPr>
                <w:rFonts w:ascii="Times New Roman" w:hAnsi="Times New Roman" w:cs="Times New Roman" w:hint="default"/>
              </w:rPr>
            </w:pPr>
            <w:r w:rsidRPr="00775168">
              <w:rPr>
                <w:rFonts w:ascii="Times New Roman" w:hAnsi="Times New Roman"/>
              </w:rPr>
              <w:t xml:space="preserve">Dose interruption and symptomatic treatment. After the toxicity recovered to </w:t>
            </w:r>
            <w:r w:rsidRPr="00775168">
              <w:rPr>
                <w:rFonts w:ascii="Times New Roman" w:hAnsi="Times New Roman"/>
              </w:rPr>
              <w:t>≤</w:t>
            </w:r>
            <w:r w:rsidRPr="00775168">
              <w:rPr>
                <w:rFonts w:ascii="Times New Roman" w:hAnsi="Times New Roman"/>
              </w:rPr>
              <w:t xml:space="preserve"> grade I, resume the treatment at a lower dose level. If grade IV toxicity recurs, terminate the treatment and withdraw from the clinical study (immediately terminate the treatment and withdraw from the clinical study if grade IV renal impairment, neurotoxicity, cardiotoxicity, hepatotoxicity and other life-threatening adverse reactions occur </w:t>
            </w:r>
          </w:p>
          <w:p w:rsidR="00743320" w:rsidRPr="00775168" w:rsidRDefault="00DF7F26">
            <w:pPr>
              <w:pStyle w:val="P68B1DB1-TableParagraph10"/>
              <w:spacing w:line="455" w:lineRule="exact"/>
              <w:ind w:left="114"/>
              <w:jc w:val="both"/>
              <w:rPr>
                <w:rFonts w:ascii="Times New Roman" w:hAnsi="Times New Roman" w:cs="Times New Roman" w:hint="default"/>
              </w:rPr>
            </w:pPr>
            <w:r w:rsidRPr="00775168">
              <w:rPr>
                <w:rFonts w:ascii="Times New Roman" w:hAnsi="Times New Roman"/>
              </w:rPr>
              <w:t xml:space="preserve">Study) </w:t>
            </w:r>
          </w:p>
        </w:tc>
      </w:tr>
      <w:tr w:rsidR="00743320" w:rsidRPr="00775168">
        <w:trPr>
          <w:trHeight w:val="467"/>
          <w:jc w:val="center"/>
        </w:trPr>
        <w:tc>
          <w:tcPr>
            <w:tcW w:w="8758" w:type="dxa"/>
            <w:gridSpan w:val="2"/>
          </w:tcPr>
          <w:p w:rsidR="00743320" w:rsidRPr="00775168" w:rsidRDefault="00DF7F26">
            <w:pPr>
              <w:pStyle w:val="P68B1DB1-TableParagraph10"/>
              <w:spacing w:line="447" w:lineRule="exact"/>
              <w:ind w:left="3277" w:right="3251"/>
              <w:jc w:val="center"/>
              <w:rPr>
                <w:rFonts w:ascii="Times New Roman" w:hAnsi="Times New Roman" w:cs="Times New Roman" w:hint="default"/>
              </w:rPr>
            </w:pPr>
            <w:r w:rsidRPr="00775168">
              <w:rPr>
                <w:rFonts w:ascii="Times New Roman" w:hAnsi="Times New Roman"/>
              </w:rPr>
              <w:t xml:space="preserve">Adverse Reactions of Special Concern </w:t>
            </w:r>
          </w:p>
        </w:tc>
      </w:tr>
      <w:tr w:rsidR="00743320" w:rsidRPr="00775168">
        <w:trPr>
          <w:trHeight w:val="1221"/>
          <w:jc w:val="center"/>
        </w:trPr>
        <w:tc>
          <w:tcPr>
            <w:tcW w:w="8758" w:type="dxa"/>
            <w:gridSpan w:val="2"/>
          </w:tcPr>
          <w:p w:rsidR="00743320" w:rsidRPr="00775168" w:rsidRDefault="00DF7F26">
            <w:pPr>
              <w:pStyle w:val="P68B1DB1-TableParagraph10"/>
              <w:spacing w:line="220" w:lineRule="auto"/>
              <w:ind w:left="107" w:right="76" w:hanging="2"/>
              <w:jc w:val="center"/>
              <w:rPr>
                <w:rFonts w:ascii="Times New Roman" w:hAnsi="Times New Roman" w:cs="Times New Roman" w:hint="default"/>
              </w:rPr>
            </w:pPr>
            <w:r w:rsidRPr="00775168">
              <w:rPr>
                <w:rFonts w:ascii="Times New Roman" w:hAnsi="Times New Roman"/>
              </w:rPr>
              <w:t xml:space="preserve">Once hypertensive crisis, cerebral hemorrhage, </w:t>
            </w:r>
            <w:r w:rsidRPr="00775168">
              <w:rPr>
                <w:rFonts w:ascii="Times New Roman" w:hAnsi="Times New Roman"/>
              </w:rPr>
              <w:t>≥</w:t>
            </w:r>
            <w:r w:rsidRPr="00775168">
              <w:rPr>
                <w:rFonts w:ascii="Times New Roman" w:hAnsi="Times New Roman"/>
              </w:rPr>
              <w:t xml:space="preserve"> grade II pulmonary hemorrhage, </w:t>
            </w:r>
            <w:r w:rsidRPr="00775168">
              <w:rPr>
                <w:rFonts w:ascii="Times New Roman" w:hAnsi="Times New Roman"/>
              </w:rPr>
              <w:t>≥</w:t>
            </w:r>
            <w:r w:rsidRPr="00775168">
              <w:rPr>
                <w:rFonts w:ascii="Times New Roman" w:hAnsi="Times New Roman"/>
              </w:rPr>
              <w:t xml:space="preserve"> grade III other hemorrhage, arterial thrombosis, grade IV venous thrombosis, leukoencephalopathy syndrome and gastrointestinal perforation occur, the treatment should be terminated, the patient should withdraw from the clinical study and receive active symptomatic treatment </w:t>
            </w:r>
          </w:p>
          <w:p w:rsidR="00743320" w:rsidRPr="00775168" w:rsidRDefault="00DF7F26">
            <w:pPr>
              <w:pStyle w:val="P68B1DB1-TableParagraph10"/>
              <w:spacing w:line="452" w:lineRule="exact"/>
              <w:ind w:left="3277" w:right="3250"/>
              <w:jc w:val="center"/>
              <w:rPr>
                <w:rFonts w:ascii="Times New Roman" w:hAnsi="Times New Roman" w:cs="Times New Roman" w:hint="default"/>
              </w:rPr>
            </w:pPr>
            <w:r w:rsidRPr="00775168">
              <w:rPr>
                <w:rFonts w:ascii="Times New Roman" w:hAnsi="Times New Roman"/>
              </w:rPr>
              <w:t xml:space="preserve">Treatment </w:t>
            </w:r>
          </w:p>
        </w:tc>
      </w:tr>
    </w:tbl>
    <w:p w:rsidR="00743320" w:rsidRPr="00775168" w:rsidRDefault="00743320">
      <w:pPr>
        <w:widowControl/>
        <w:jc w:val="left"/>
        <w:rPr>
          <w:b/>
          <w:sz w:val="24"/>
        </w:rPr>
        <w:sectPr w:rsidR="00743320" w:rsidRPr="00775168">
          <w:footerReference w:type="default" r:id="rId9"/>
          <w:pgSz w:w="11906" w:h="16838"/>
          <w:pgMar w:top="1440" w:right="1800" w:bottom="1440" w:left="1800" w:header="879" w:footer="1003" w:gutter="0"/>
          <w:cols w:space="425"/>
          <w:docGrid w:type="lines" w:linePitch="312"/>
        </w:sectPr>
      </w:pPr>
    </w:p>
    <w:p w:rsidR="00743320" w:rsidRPr="00775168" w:rsidRDefault="00743320">
      <w:pPr>
        <w:widowControl/>
        <w:jc w:val="left"/>
        <w:rPr>
          <w:b/>
          <w:sz w:val="24"/>
        </w:rPr>
      </w:pPr>
    </w:p>
    <w:p w:rsidR="00743320" w:rsidRPr="00775168" w:rsidRDefault="00DF7F26">
      <w:pPr>
        <w:pStyle w:val="P68B1DB1-146"/>
        <w:rPr>
          <w:rFonts w:ascii="Times New Roman" w:hAnsi="Times New Roman" w:cs="Times New Roman" w:hint="default"/>
        </w:rPr>
      </w:pPr>
      <w:bookmarkStart w:id="14" w:name="_Toc178589651"/>
      <w:bookmarkStart w:id="15" w:name="_Toc512941676"/>
      <w:bookmarkStart w:id="16" w:name="_Toc512940915"/>
      <w:r w:rsidRPr="00775168">
        <w:rPr>
          <w:rFonts w:ascii="Times New Roman" w:hAnsi="Times New Roman"/>
        </w:rPr>
        <w:t>Clinical Study Flow Chart</w:t>
      </w:r>
      <w:bookmarkEnd w:id="14"/>
      <w:r w:rsidRPr="00775168">
        <w:rPr>
          <w:rFonts w:ascii="Times New Roman" w:hAnsi="Times New Roman"/>
        </w:rPr>
        <w:t xml:space="preserve"> </w:t>
      </w:r>
      <w:bookmarkEnd w:id="15"/>
      <w:bookmarkEnd w:id="16"/>
    </w:p>
    <w:tbl>
      <w:tblPr>
        <w:tblW w:w="1394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709"/>
        <w:gridCol w:w="708"/>
        <w:gridCol w:w="579"/>
        <w:gridCol w:w="670"/>
        <w:gridCol w:w="816"/>
        <w:gridCol w:w="1026"/>
        <w:gridCol w:w="1092"/>
        <w:gridCol w:w="1482"/>
        <w:gridCol w:w="1253"/>
        <w:gridCol w:w="1465"/>
        <w:gridCol w:w="1744"/>
      </w:tblGrid>
      <w:tr w:rsidR="00743320" w:rsidRPr="00775168">
        <w:trPr>
          <w:trHeight w:val="613"/>
          <w:tblHeader/>
        </w:trPr>
        <w:tc>
          <w:tcPr>
            <w:tcW w:w="2405" w:type="dxa"/>
            <w:vMerge w:val="restart"/>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Visits </w:t>
            </w:r>
          </w:p>
        </w:tc>
        <w:tc>
          <w:tcPr>
            <w:tcW w:w="1417" w:type="dxa"/>
            <w:gridSpan w:val="2"/>
            <w:vMerge w:val="restart"/>
            <w:shd w:val="clear" w:color="auto" w:fill="FFFFFF"/>
            <w:vAlign w:val="center"/>
          </w:tcPr>
          <w:p w:rsidR="00743320" w:rsidRPr="00775168" w:rsidRDefault="00DF7F26">
            <w:pPr>
              <w:pStyle w:val="P68B1DB1-a049"/>
              <w:spacing w:line="360" w:lineRule="auto"/>
              <w:jc w:val="center"/>
              <w:rPr>
                <w:sz w:val="18"/>
              </w:rPr>
            </w:pPr>
            <w:r w:rsidRPr="00775168">
              <w:rPr>
                <w:rFonts w:cs="宋体" w:hint="eastAsia"/>
                <w:sz w:val="18"/>
              </w:rPr>
              <w:t xml:space="preserve">Screening Visit [1] </w:t>
            </w:r>
          </w:p>
        </w:tc>
        <w:tc>
          <w:tcPr>
            <w:tcW w:w="3091" w:type="dxa"/>
            <w:gridSpan w:val="4"/>
            <w:vMerge w:val="restart"/>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Treatment Period Visits </w:t>
            </w:r>
          </w:p>
        </w:tc>
        <w:tc>
          <w:tcPr>
            <w:tcW w:w="2574" w:type="dxa"/>
            <w:gridSpan w:val="2"/>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Post-Treatment Visit </w:t>
            </w:r>
          </w:p>
        </w:tc>
        <w:tc>
          <w:tcPr>
            <w:tcW w:w="4462" w:type="dxa"/>
            <w:gridSpan w:val="3"/>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Survival Follow-up </w:t>
            </w:r>
          </w:p>
        </w:tc>
      </w:tr>
      <w:tr w:rsidR="00743320" w:rsidRPr="00775168">
        <w:trPr>
          <w:trHeight w:val="404"/>
          <w:tblHeader/>
        </w:trPr>
        <w:tc>
          <w:tcPr>
            <w:tcW w:w="2405" w:type="dxa"/>
            <w:vMerge/>
            <w:shd w:val="clear" w:color="auto" w:fill="FFFFFF"/>
            <w:vAlign w:val="center"/>
          </w:tcPr>
          <w:p w:rsidR="00743320" w:rsidRPr="00775168" w:rsidRDefault="00743320">
            <w:pPr>
              <w:spacing w:line="360" w:lineRule="auto"/>
              <w:jc w:val="center"/>
              <w:rPr>
                <w:b/>
                <w:sz w:val="18"/>
              </w:rPr>
            </w:pPr>
          </w:p>
        </w:tc>
        <w:tc>
          <w:tcPr>
            <w:tcW w:w="1417" w:type="dxa"/>
            <w:gridSpan w:val="2"/>
            <w:vMerge/>
            <w:shd w:val="clear" w:color="auto" w:fill="FFFFFF"/>
            <w:vAlign w:val="center"/>
          </w:tcPr>
          <w:p w:rsidR="00743320" w:rsidRPr="00775168" w:rsidRDefault="00743320">
            <w:pPr>
              <w:spacing w:line="360" w:lineRule="auto"/>
              <w:jc w:val="center"/>
              <w:rPr>
                <w:b/>
                <w:sz w:val="18"/>
              </w:rPr>
            </w:pPr>
          </w:p>
        </w:tc>
        <w:tc>
          <w:tcPr>
            <w:tcW w:w="3091" w:type="dxa"/>
            <w:gridSpan w:val="4"/>
            <w:vMerge/>
            <w:shd w:val="clear" w:color="auto" w:fill="FFFFFF"/>
            <w:vAlign w:val="center"/>
          </w:tcPr>
          <w:p w:rsidR="00743320" w:rsidRPr="00775168" w:rsidRDefault="00743320">
            <w:pPr>
              <w:spacing w:line="360" w:lineRule="auto"/>
              <w:jc w:val="center"/>
              <w:rPr>
                <w:b/>
                <w:sz w:val="18"/>
              </w:rPr>
            </w:pPr>
          </w:p>
        </w:tc>
        <w:tc>
          <w:tcPr>
            <w:tcW w:w="1092"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Out of group visit </w:t>
            </w:r>
          </w:p>
        </w:tc>
        <w:tc>
          <w:tcPr>
            <w:tcW w:w="1482"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End-of-treatment follow-up </w:t>
            </w:r>
          </w:p>
        </w:tc>
        <w:tc>
          <w:tcPr>
            <w:tcW w:w="1253" w:type="dxa"/>
            <w:shd w:val="clear" w:color="auto" w:fill="FFFFFF"/>
            <w:vAlign w:val="center"/>
          </w:tcPr>
          <w:p w:rsidR="00743320" w:rsidRPr="00775168" w:rsidRDefault="00DF7F26">
            <w:pPr>
              <w:pStyle w:val="P68B1DB1-a049"/>
              <w:spacing w:line="360" w:lineRule="auto"/>
              <w:jc w:val="center"/>
              <w:rPr>
                <w:sz w:val="18"/>
              </w:rPr>
            </w:pPr>
            <w:r w:rsidRPr="00775168">
              <w:rPr>
                <w:rFonts w:cs="宋体" w:hint="eastAsia"/>
                <w:sz w:val="18"/>
              </w:rPr>
              <w:t xml:space="preserve">Follow-up before progression [2] </w:t>
            </w:r>
          </w:p>
        </w:tc>
        <w:tc>
          <w:tcPr>
            <w:tcW w:w="1465"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Survival follow-up after progression </w:t>
            </w:r>
          </w:p>
        </w:tc>
        <w:tc>
          <w:tcPr>
            <w:tcW w:w="1744" w:type="dxa"/>
            <w:shd w:val="clear" w:color="auto" w:fill="FFFFFF"/>
            <w:vAlign w:val="center"/>
          </w:tcPr>
          <w:p w:rsidR="00743320" w:rsidRPr="00775168" w:rsidRDefault="00DF7F26">
            <w:pPr>
              <w:pStyle w:val="P68B1DB1-a049"/>
              <w:spacing w:line="360" w:lineRule="auto"/>
              <w:jc w:val="center"/>
              <w:rPr>
                <w:sz w:val="18"/>
              </w:rPr>
            </w:pPr>
            <w:r w:rsidRPr="00775168">
              <w:rPr>
                <w:rFonts w:cs="宋体" w:hint="eastAsia"/>
                <w:sz w:val="18"/>
              </w:rPr>
              <w:t xml:space="preserve">Survival Follow-up after DCO [3] </w:t>
            </w:r>
          </w:p>
        </w:tc>
      </w:tr>
      <w:tr w:rsidR="00743320" w:rsidRPr="00775168">
        <w:trPr>
          <w:tblHeader/>
        </w:trPr>
        <w:tc>
          <w:tcPr>
            <w:tcW w:w="2405" w:type="dxa"/>
            <w:vMerge/>
            <w:shd w:val="clear" w:color="auto" w:fill="FFFFFF"/>
            <w:vAlign w:val="center"/>
          </w:tcPr>
          <w:p w:rsidR="00743320" w:rsidRPr="00775168" w:rsidRDefault="00743320">
            <w:pPr>
              <w:spacing w:line="360" w:lineRule="auto"/>
              <w:jc w:val="center"/>
              <w:rPr>
                <w:b/>
                <w:sz w:val="18"/>
              </w:rPr>
            </w:pPr>
          </w:p>
        </w:tc>
        <w:tc>
          <w:tcPr>
            <w:tcW w:w="709"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1 </w:t>
            </w:r>
          </w:p>
        </w:tc>
        <w:tc>
          <w:tcPr>
            <w:tcW w:w="708"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2 </w:t>
            </w:r>
          </w:p>
        </w:tc>
        <w:tc>
          <w:tcPr>
            <w:tcW w:w="579"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3 </w:t>
            </w:r>
          </w:p>
        </w:tc>
        <w:tc>
          <w:tcPr>
            <w:tcW w:w="670"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4 </w:t>
            </w:r>
          </w:p>
        </w:tc>
        <w:tc>
          <w:tcPr>
            <w:tcW w:w="816"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5 </w:t>
            </w:r>
          </w:p>
        </w:tc>
        <w:tc>
          <w:tcPr>
            <w:tcW w:w="1026" w:type="dxa"/>
            <w:shd w:val="clear" w:color="auto" w:fill="FFFFFF"/>
            <w:vAlign w:val="center"/>
          </w:tcPr>
          <w:p w:rsidR="00743320" w:rsidRPr="00775168" w:rsidRDefault="00DF7F26">
            <w:pPr>
              <w:pStyle w:val="P68B1DB1-a051"/>
              <w:spacing w:line="360" w:lineRule="auto"/>
              <w:jc w:val="center"/>
              <w:rPr>
                <w:rFonts w:ascii="Times New Roman" w:hAnsi="Times New Roman"/>
                <w:sz w:val="18"/>
              </w:rPr>
            </w:pPr>
            <w:r w:rsidRPr="00775168">
              <w:rPr>
                <w:rFonts w:ascii="Times New Roman" w:hAnsi="Times New Roman"/>
                <w:sz w:val="18"/>
              </w:rPr>
              <w:t xml:space="preserve">6 + [4] </w:t>
            </w:r>
          </w:p>
        </w:tc>
        <w:tc>
          <w:tcPr>
            <w:tcW w:w="1092"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482"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253"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465"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744"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r>
      <w:tr w:rsidR="00743320" w:rsidRPr="00775168">
        <w:trPr>
          <w:tblHeader/>
        </w:trPr>
        <w:tc>
          <w:tcPr>
            <w:tcW w:w="2405"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Window period </w:t>
            </w:r>
          </w:p>
        </w:tc>
        <w:tc>
          <w:tcPr>
            <w:tcW w:w="709"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- 28-0 </w:t>
            </w:r>
          </w:p>
        </w:tc>
        <w:tc>
          <w:tcPr>
            <w:tcW w:w="708"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- 14-0 </w:t>
            </w:r>
          </w:p>
        </w:tc>
        <w:tc>
          <w:tcPr>
            <w:tcW w:w="579"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w:t>
            </w:r>
            <w:r w:rsidRPr="00775168">
              <w:rPr>
                <w:rFonts w:ascii="Times New Roman" w:hAnsi="Times New Roman"/>
              </w:rPr>
              <w:t xml:space="preserve"> 3 </w:t>
            </w:r>
          </w:p>
        </w:tc>
        <w:tc>
          <w:tcPr>
            <w:tcW w:w="670"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w:t>
            </w:r>
            <w:r w:rsidRPr="00775168">
              <w:rPr>
                <w:rFonts w:ascii="Times New Roman" w:hAnsi="Times New Roman"/>
              </w:rPr>
              <w:t xml:space="preserve"> 3 </w:t>
            </w:r>
          </w:p>
        </w:tc>
        <w:tc>
          <w:tcPr>
            <w:tcW w:w="816"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w:t>
            </w:r>
            <w:r w:rsidRPr="00775168">
              <w:rPr>
                <w:rFonts w:ascii="Times New Roman" w:hAnsi="Times New Roman"/>
              </w:rPr>
              <w:t xml:space="preserve"> 3 </w:t>
            </w:r>
          </w:p>
        </w:tc>
        <w:tc>
          <w:tcPr>
            <w:tcW w:w="1026"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w:t>
            </w:r>
            <w:r w:rsidRPr="00775168">
              <w:rPr>
                <w:rFonts w:ascii="Times New Roman" w:hAnsi="Times New Roman"/>
              </w:rPr>
              <w:t xml:space="preserve"> 3 </w:t>
            </w:r>
          </w:p>
        </w:tc>
        <w:tc>
          <w:tcPr>
            <w:tcW w:w="1092"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0 </w:t>
            </w:r>
          </w:p>
        </w:tc>
        <w:tc>
          <w:tcPr>
            <w:tcW w:w="1482"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w:t>
            </w:r>
            <w:r w:rsidRPr="00775168">
              <w:rPr>
                <w:rFonts w:ascii="Times New Roman" w:hAnsi="Times New Roman"/>
              </w:rPr>
              <w:t xml:space="preserve"> 3 </w:t>
            </w:r>
          </w:p>
        </w:tc>
        <w:tc>
          <w:tcPr>
            <w:tcW w:w="1253"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w:t>
            </w:r>
            <w:r w:rsidRPr="00775168">
              <w:rPr>
                <w:rFonts w:ascii="Times New Roman" w:hAnsi="Times New Roman"/>
              </w:rPr>
              <w:t xml:space="preserve"> 3 </w:t>
            </w:r>
          </w:p>
        </w:tc>
        <w:tc>
          <w:tcPr>
            <w:tcW w:w="1465"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w:t>
            </w:r>
            <w:r w:rsidRPr="00775168">
              <w:rPr>
                <w:rFonts w:ascii="Times New Roman" w:hAnsi="Times New Roman"/>
              </w:rPr>
              <w:t xml:space="preserve"> 3 </w:t>
            </w:r>
          </w:p>
        </w:tc>
        <w:tc>
          <w:tcPr>
            <w:tcW w:w="1744"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w:t>
            </w:r>
            <w:r w:rsidRPr="00775168">
              <w:rPr>
                <w:rFonts w:ascii="Times New Roman" w:hAnsi="Times New Roman"/>
              </w:rPr>
              <w:t xml:space="preserve"> 3 </w:t>
            </w:r>
          </w:p>
        </w:tc>
      </w:tr>
      <w:tr w:rsidR="00743320" w:rsidRPr="00775168">
        <w:trPr>
          <w:trHeight w:val="181"/>
          <w:tblHeader/>
        </w:trPr>
        <w:tc>
          <w:tcPr>
            <w:tcW w:w="2405"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Treatment period </w:t>
            </w:r>
          </w:p>
        </w:tc>
        <w:tc>
          <w:tcPr>
            <w:tcW w:w="709"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708"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579"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C1D7 </w:t>
            </w:r>
          </w:p>
        </w:tc>
        <w:tc>
          <w:tcPr>
            <w:tcW w:w="670"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C1D21 </w:t>
            </w:r>
          </w:p>
        </w:tc>
        <w:tc>
          <w:tcPr>
            <w:tcW w:w="816"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C3D21 </w:t>
            </w:r>
          </w:p>
        </w:tc>
        <w:tc>
          <w:tcPr>
            <w:tcW w:w="1026"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C5D21 + </w:t>
            </w:r>
          </w:p>
        </w:tc>
        <w:tc>
          <w:tcPr>
            <w:tcW w:w="1092"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482"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253"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465"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744"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r>
      <w:tr w:rsidR="00743320" w:rsidRPr="00775168">
        <w:trPr>
          <w:trHeight w:val="630"/>
          <w:tblHeader/>
        </w:trPr>
        <w:tc>
          <w:tcPr>
            <w:tcW w:w="2405"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Study week </w:t>
            </w:r>
          </w:p>
        </w:tc>
        <w:tc>
          <w:tcPr>
            <w:tcW w:w="709"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- 4-0 </w:t>
            </w:r>
          </w:p>
        </w:tc>
        <w:tc>
          <w:tcPr>
            <w:tcW w:w="708"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0 </w:t>
            </w:r>
          </w:p>
        </w:tc>
        <w:tc>
          <w:tcPr>
            <w:tcW w:w="579"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1 </w:t>
            </w:r>
          </w:p>
        </w:tc>
        <w:tc>
          <w:tcPr>
            <w:tcW w:w="670"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3 </w:t>
            </w:r>
          </w:p>
        </w:tc>
        <w:tc>
          <w:tcPr>
            <w:tcW w:w="816"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9 </w:t>
            </w:r>
          </w:p>
        </w:tc>
        <w:tc>
          <w:tcPr>
            <w:tcW w:w="1026"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15 + </w:t>
            </w:r>
          </w:p>
        </w:tc>
        <w:tc>
          <w:tcPr>
            <w:tcW w:w="1092" w:type="dxa"/>
            <w:shd w:val="clear" w:color="auto" w:fill="FFFFFF"/>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NA </w:t>
            </w:r>
          </w:p>
        </w:tc>
        <w:tc>
          <w:tcPr>
            <w:tcW w:w="1482"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Within 21 days of treatment discontinuation </w:t>
            </w:r>
          </w:p>
        </w:tc>
        <w:tc>
          <w:tcPr>
            <w:tcW w:w="1253"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Every 8 weeks </w:t>
            </w:r>
          </w:p>
        </w:tc>
        <w:tc>
          <w:tcPr>
            <w:tcW w:w="1465"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Every 8 weeks </w:t>
            </w:r>
          </w:p>
        </w:tc>
        <w:tc>
          <w:tcPr>
            <w:tcW w:w="1744" w:type="dxa"/>
            <w:shd w:val="clear" w:color="auto" w:fill="FFFFFF"/>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Every 8 weeks </w:t>
            </w:r>
          </w:p>
        </w:tc>
      </w:tr>
      <w:tr w:rsidR="00743320" w:rsidRPr="00775168">
        <w:trPr>
          <w:trHeight w:val="630"/>
        </w:trPr>
        <w:tc>
          <w:tcPr>
            <w:tcW w:w="13949" w:type="dxa"/>
            <w:gridSpan w:val="12"/>
            <w:shd w:val="clear" w:color="auto" w:fill="E7E6E6"/>
            <w:vAlign w:val="center"/>
          </w:tcPr>
          <w:p w:rsidR="00743320" w:rsidRPr="00775168" w:rsidRDefault="00DF7F26">
            <w:pPr>
              <w:pStyle w:val="P68B1DB1-a048"/>
              <w:spacing w:line="360" w:lineRule="auto"/>
              <w:jc w:val="left"/>
              <w:rPr>
                <w:rFonts w:ascii="Times New Roman" w:hAnsi="Times New Roman" w:hint="default"/>
              </w:rPr>
            </w:pPr>
            <w:r w:rsidRPr="00775168">
              <w:rPr>
                <w:rFonts w:ascii="Times New Roman" w:hAnsi="Times New Roman"/>
              </w:rPr>
              <w:t xml:space="preserve">Baseline data </w:t>
            </w:r>
          </w:p>
        </w:tc>
      </w:tr>
      <w:tr w:rsidR="00743320" w:rsidRPr="00775168">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Signed informed consent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743320">
            <w:pPr>
              <w:spacing w:line="360" w:lineRule="auto"/>
              <w:jc w:val="center"/>
              <w:rPr>
                <w:rFonts w:cs="宋体"/>
                <w:b/>
                <w:sz w:val="18"/>
              </w:rPr>
            </w:pPr>
          </w:p>
        </w:tc>
        <w:tc>
          <w:tcPr>
            <w:tcW w:w="816" w:type="dxa"/>
            <w:vAlign w:val="center"/>
          </w:tcPr>
          <w:p w:rsidR="00743320" w:rsidRPr="00775168" w:rsidRDefault="00743320">
            <w:pPr>
              <w:spacing w:line="360" w:lineRule="auto"/>
              <w:jc w:val="center"/>
              <w:rPr>
                <w:rFonts w:cs="宋体"/>
                <w:b/>
                <w:sz w:val="18"/>
              </w:rPr>
            </w:pPr>
          </w:p>
        </w:tc>
        <w:tc>
          <w:tcPr>
            <w:tcW w:w="1026" w:type="dxa"/>
            <w:vAlign w:val="center"/>
          </w:tcPr>
          <w:p w:rsidR="00743320" w:rsidRPr="00775168" w:rsidRDefault="00743320">
            <w:pPr>
              <w:spacing w:line="360" w:lineRule="auto"/>
              <w:jc w:val="center"/>
              <w:rPr>
                <w:rFonts w:cs="宋体"/>
                <w:b/>
                <w:sz w:val="18"/>
              </w:rPr>
            </w:pPr>
          </w:p>
        </w:tc>
        <w:tc>
          <w:tcPr>
            <w:tcW w:w="1092" w:type="dxa"/>
            <w:vAlign w:val="center"/>
          </w:tcPr>
          <w:p w:rsidR="00743320" w:rsidRPr="00775168" w:rsidRDefault="00743320">
            <w:pPr>
              <w:spacing w:line="360" w:lineRule="auto"/>
              <w:jc w:val="center"/>
              <w:rPr>
                <w:rFonts w:cs="宋体"/>
                <w:b/>
                <w:sz w:val="18"/>
              </w:rPr>
            </w:pP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lastRenderedPageBreak/>
              <w:t xml:space="preserve">Demographic data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743320">
            <w:pPr>
              <w:spacing w:line="360" w:lineRule="auto"/>
              <w:jc w:val="center"/>
              <w:rPr>
                <w:rFonts w:cs="宋体"/>
                <w:b/>
                <w:sz w:val="18"/>
              </w:rPr>
            </w:pPr>
          </w:p>
        </w:tc>
        <w:tc>
          <w:tcPr>
            <w:tcW w:w="816" w:type="dxa"/>
            <w:vAlign w:val="center"/>
          </w:tcPr>
          <w:p w:rsidR="00743320" w:rsidRPr="00775168" w:rsidRDefault="00743320">
            <w:pPr>
              <w:spacing w:line="360" w:lineRule="auto"/>
              <w:jc w:val="center"/>
              <w:rPr>
                <w:rFonts w:cs="宋体"/>
                <w:b/>
                <w:sz w:val="18"/>
              </w:rPr>
            </w:pPr>
          </w:p>
        </w:tc>
        <w:tc>
          <w:tcPr>
            <w:tcW w:w="1026" w:type="dxa"/>
            <w:vAlign w:val="center"/>
          </w:tcPr>
          <w:p w:rsidR="00743320" w:rsidRPr="00775168" w:rsidRDefault="00743320">
            <w:pPr>
              <w:spacing w:line="360" w:lineRule="auto"/>
              <w:jc w:val="center"/>
              <w:rPr>
                <w:rFonts w:cs="宋体"/>
                <w:b/>
                <w:sz w:val="18"/>
              </w:rPr>
            </w:pPr>
          </w:p>
        </w:tc>
        <w:tc>
          <w:tcPr>
            <w:tcW w:w="1092" w:type="dxa"/>
            <w:vAlign w:val="center"/>
          </w:tcPr>
          <w:p w:rsidR="00743320" w:rsidRPr="00775168" w:rsidRDefault="00743320">
            <w:pPr>
              <w:spacing w:line="360" w:lineRule="auto"/>
              <w:jc w:val="center"/>
              <w:rPr>
                <w:rFonts w:cs="宋体"/>
                <w:b/>
                <w:sz w:val="18"/>
              </w:rPr>
            </w:pP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52"/>
              <w:spacing w:line="360" w:lineRule="auto"/>
              <w:jc w:val="center"/>
              <w:rPr>
                <w:rFonts w:ascii="Times New Roman" w:hint="default"/>
              </w:rPr>
            </w:pPr>
            <w:r w:rsidRPr="00775168">
              <w:rPr>
                <w:rFonts w:ascii="Times New Roman"/>
              </w:rPr>
              <w:t xml:space="preserve">Inclusion/exclusion criteria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743320">
            <w:pPr>
              <w:spacing w:line="360" w:lineRule="auto"/>
              <w:jc w:val="center"/>
              <w:rPr>
                <w:rFonts w:cs="宋体"/>
                <w:b/>
                <w:sz w:val="18"/>
              </w:rPr>
            </w:pPr>
          </w:p>
        </w:tc>
        <w:tc>
          <w:tcPr>
            <w:tcW w:w="816" w:type="dxa"/>
            <w:vAlign w:val="center"/>
          </w:tcPr>
          <w:p w:rsidR="00743320" w:rsidRPr="00775168" w:rsidRDefault="00743320">
            <w:pPr>
              <w:spacing w:line="360" w:lineRule="auto"/>
              <w:jc w:val="center"/>
              <w:rPr>
                <w:rFonts w:cs="宋体"/>
                <w:b/>
                <w:sz w:val="18"/>
              </w:rPr>
            </w:pPr>
          </w:p>
        </w:tc>
        <w:tc>
          <w:tcPr>
            <w:tcW w:w="1026" w:type="dxa"/>
            <w:vAlign w:val="center"/>
          </w:tcPr>
          <w:p w:rsidR="00743320" w:rsidRPr="00775168" w:rsidRDefault="00743320">
            <w:pPr>
              <w:spacing w:line="360" w:lineRule="auto"/>
              <w:jc w:val="center"/>
              <w:rPr>
                <w:rFonts w:cs="宋体"/>
                <w:b/>
                <w:sz w:val="18"/>
              </w:rPr>
            </w:pPr>
          </w:p>
        </w:tc>
        <w:tc>
          <w:tcPr>
            <w:tcW w:w="1092" w:type="dxa"/>
            <w:vAlign w:val="center"/>
          </w:tcPr>
          <w:p w:rsidR="00743320" w:rsidRPr="00775168" w:rsidRDefault="00743320">
            <w:pPr>
              <w:spacing w:line="360" w:lineRule="auto"/>
              <w:jc w:val="center"/>
              <w:rPr>
                <w:rFonts w:cs="宋体"/>
                <w:b/>
                <w:sz w:val="18"/>
              </w:rPr>
            </w:pP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Physical examination [5]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Vital signs [6]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Tumor history and other </w:t>
            </w:r>
            <w:r w:rsidRPr="00775168">
              <w:rPr>
                <w:rFonts w:cs="宋体" w:hint="eastAsia"/>
                <w:sz w:val="18"/>
              </w:rPr>
              <w:lastRenderedPageBreak/>
              <w:t xml:space="preserve">medical history [7]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lastRenderedPageBreak/>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743320">
            <w:pPr>
              <w:spacing w:line="360" w:lineRule="auto"/>
              <w:jc w:val="center"/>
              <w:rPr>
                <w:rFonts w:cs="宋体"/>
                <w:b/>
                <w:sz w:val="18"/>
              </w:rPr>
            </w:pPr>
          </w:p>
        </w:tc>
        <w:tc>
          <w:tcPr>
            <w:tcW w:w="816" w:type="dxa"/>
            <w:vAlign w:val="center"/>
          </w:tcPr>
          <w:p w:rsidR="00743320" w:rsidRPr="00775168" w:rsidRDefault="00743320">
            <w:pPr>
              <w:spacing w:line="360" w:lineRule="auto"/>
              <w:jc w:val="center"/>
              <w:rPr>
                <w:rFonts w:cs="宋体"/>
                <w:b/>
                <w:sz w:val="18"/>
              </w:rPr>
            </w:pPr>
          </w:p>
        </w:tc>
        <w:tc>
          <w:tcPr>
            <w:tcW w:w="1026" w:type="dxa"/>
            <w:vAlign w:val="center"/>
          </w:tcPr>
          <w:p w:rsidR="00743320" w:rsidRPr="00775168" w:rsidRDefault="00743320">
            <w:pPr>
              <w:spacing w:line="360" w:lineRule="auto"/>
              <w:jc w:val="center"/>
              <w:rPr>
                <w:rFonts w:cs="宋体"/>
                <w:b/>
                <w:sz w:val="18"/>
              </w:rPr>
            </w:pPr>
          </w:p>
        </w:tc>
        <w:tc>
          <w:tcPr>
            <w:tcW w:w="1092" w:type="dxa"/>
            <w:vAlign w:val="center"/>
          </w:tcPr>
          <w:p w:rsidR="00743320" w:rsidRPr="00775168" w:rsidRDefault="00743320">
            <w:pPr>
              <w:spacing w:line="360" w:lineRule="auto"/>
              <w:jc w:val="center"/>
              <w:rPr>
                <w:rFonts w:cs="宋体"/>
                <w:b/>
                <w:sz w:val="18"/>
              </w:rPr>
            </w:pP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lastRenderedPageBreak/>
              <w:t xml:space="preserve">Evidence of radiographic progression [8]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743320">
            <w:pPr>
              <w:spacing w:line="360" w:lineRule="auto"/>
              <w:jc w:val="center"/>
              <w:rPr>
                <w:rFonts w:cs="宋体"/>
                <w:b/>
                <w:sz w:val="18"/>
              </w:rPr>
            </w:pPr>
          </w:p>
        </w:tc>
        <w:tc>
          <w:tcPr>
            <w:tcW w:w="816" w:type="dxa"/>
            <w:vAlign w:val="center"/>
          </w:tcPr>
          <w:p w:rsidR="00743320" w:rsidRPr="00775168" w:rsidRDefault="00743320">
            <w:pPr>
              <w:spacing w:line="360" w:lineRule="auto"/>
              <w:jc w:val="center"/>
              <w:rPr>
                <w:rFonts w:cs="宋体"/>
                <w:b/>
                <w:sz w:val="18"/>
              </w:rPr>
            </w:pPr>
          </w:p>
        </w:tc>
        <w:tc>
          <w:tcPr>
            <w:tcW w:w="1026" w:type="dxa"/>
            <w:vAlign w:val="center"/>
          </w:tcPr>
          <w:p w:rsidR="00743320" w:rsidRPr="00775168" w:rsidRDefault="00743320">
            <w:pPr>
              <w:spacing w:line="360" w:lineRule="auto"/>
              <w:jc w:val="center"/>
              <w:rPr>
                <w:rFonts w:cs="宋体"/>
                <w:b/>
                <w:sz w:val="18"/>
              </w:rPr>
            </w:pPr>
          </w:p>
        </w:tc>
        <w:tc>
          <w:tcPr>
            <w:tcW w:w="1092" w:type="dxa"/>
            <w:vAlign w:val="center"/>
          </w:tcPr>
          <w:p w:rsidR="00743320" w:rsidRPr="00775168" w:rsidRDefault="00743320">
            <w:pPr>
              <w:spacing w:line="360" w:lineRule="auto"/>
              <w:jc w:val="center"/>
              <w:rPr>
                <w:rFonts w:cs="宋体"/>
                <w:b/>
                <w:sz w:val="18"/>
              </w:rPr>
            </w:pP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13949" w:type="dxa"/>
            <w:gridSpan w:val="12"/>
            <w:tcBorders>
              <w:top w:val="nil"/>
            </w:tcBorders>
            <w:shd w:val="clear" w:color="auto" w:fill="E7E6E6"/>
            <w:vAlign w:val="center"/>
          </w:tcPr>
          <w:p w:rsidR="00743320" w:rsidRPr="00775168" w:rsidRDefault="00DF7F26">
            <w:pPr>
              <w:pStyle w:val="P68B1DB1-a048"/>
              <w:spacing w:line="360" w:lineRule="auto"/>
              <w:jc w:val="left"/>
              <w:rPr>
                <w:rFonts w:ascii="Times New Roman" w:hAnsi="Times New Roman" w:hint="default"/>
              </w:rPr>
            </w:pPr>
            <w:r w:rsidRPr="00775168">
              <w:rPr>
                <w:rFonts w:ascii="Times New Roman" w:hAnsi="Times New Roman"/>
              </w:rPr>
              <w:t xml:space="preserve">Laboratory tests </w:t>
            </w: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Blood routine [9]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lastRenderedPageBreak/>
              <w:t xml:space="preserve">Urinalysis [10]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Stool routine [11]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Blood chemistry [12]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Coagulation [13] </w:t>
            </w:r>
          </w:p>
        </w:tc>
        <w:tc>
          <w:tcPr>
            <w:tcW w:w="709" w:type="dxa"/>
            <w:vAlign w:val="center"/>
          </w:tcPr>
          <w:p w:rsidR="00743320" w:rsidRPr="00775168" w:rsidRDefault="00743320">
            <w:pPr>
              <w:spacing w:line="360" w:lineRule="auto"/>
              <w:jc w:val="center"/>
              <w:rPr>
                <w:b/>
                <w:sz w:val="18"/>
              </w:rPr>
            </w:pPr>
          </w:p>
          <w:p w:rsidR="00743320" w:rsidRPr="00775168" w:rsidRDefault="00743320">
            <w:pPr>
              <w:spacing w:line="360" w:lineRule="auto"/>
              <w:jc w:val="center"/>
              <w:rPr>
                <w:b/>
                <w:sz w:val="18"/>
              </w:rPr>
            </w:pPr>
          </w:p>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lastRenderedPageBreak/>
              <w:t xml:space="preserve">X </w:t>
            </w: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lastRenderedPageBreak/>
              <w:t xml:space="preserve">CEA detection [14]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Tumor marker detection [15]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rPr>
          <w:trHeight w:val="630"/>
        </w:trPr>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lastRenderedPageBreak/>
              <w:t xml:space="preserve">Plasma EGFR-T790M detection [16]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10127" w:type="dxa"/>
            <w:gridSpan w:val="9"/>
            <w:vAlign w:val="center"/>
          </w:tcPr>
          <w:p w:rsidR="00743320" w:rsidRPr="00775168" w:rsidRDefault="00743320">
            <w:pPr>
              <w:spacing w:line="360" w:lineRule="auto"/>
              <w:jc w:val="center"/>
              <w:rPr>
                <w:rFonts w:cs="宋体"/>
                <w:b/>
                <w:sz w:val="18"/>
              </w:rPr>
            </w:pPr>
          </w:p>
        </w:tc>
      </w:tr>
      <w:tr w:rsidR="00743320" w:rsidRPr="00775168">
        <w:trPr>
          <w:trHeight w:val="722"/>
        </w:trPr>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12 Electrocardiogram [17] </w:t>
            </w:r>
          </w:p>
        </w:tc>
        <w:tc>
          <w:tcPr>
            <w:tcW w:w="709" w:type="dxa"/>
            <w:vAlign w:val="center"/>
          </w:tcPr>
          <w:p w:rsidR="00743320" w:rsidRPr="00775168" w:rsidRDefault="00743320">
            <w:pPr>
              <w:spacing w:line="360" w:lineRule="auto"/>
              <w:jc w:val="center"/>
              <w:rPr>
                <w:rFonts w:cs="宋体"/>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Cardiac enzymes [18]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743320">
            <w:pPr>
              <w:spacing w:line="360" w:lineRule="auto"/>
              <w:jc w:val="center"/>
              <w:rPr>
                <w:rFonts w:cs="宋体"/>
                <w:b/>
                <w:sz w:val="18"/>
              </w:rPr>
            </w:pPr>
          </w:p>
        </w:tc>
        <w:tc>
          <w:tcPr>
            <w:tcW w:w="816" w:type="dxa"/>
            <w:vAlign w:val="center"/>
          </w:tcPr>
          <w:p w:rsidR="00743320" w:rsidRPr="00775168" w:rsidRDefault="00743320">
            <w:pPr>
              <w:spacing w:line="360" w:lineRule="auto"/>
              <w:jc w:val="center"/>
              <w:rPr>
                <w:rFonts w:cs="宋体"/>
                <w:b/>
                <w:sz w:val="18"/>
              </w:rPr>
            </w:pPr>
          </w:p>
        </w:tc>
        <w:tc>
          <w:tcPr>
            <w:tcW w:w="1026" w:type="dxa"/>
            <w:vAlign w:val="center"/>
          </w:tcPr>
          <w:p w:rsidR="00743320" w:rsidRPr="00775168" w:rsidRDefault="00743320">
            <w:pPr>
              <w:spacing w:line="360" w:lineRule="auto"/>
              <w:jc w:val="center"/>
              <w:rPr>
                <w:rFonts w:cs="宋体"/>
                <w:b/>
                <w:sz w:val="18"/>
              </w:rPr>
            </w:pPr>
          </w:p>
        </w:tc>
        <w:tc>
          <w:tcPr>
            <w:tcW w:w="1092" w:type="dxa"/>
            <w:vAlign w:val="center"/>
          </w:tcPr>
          <w:p w:rsidR="00743320" w:rsidRPr="00775168" w:rsidRDefault="00743320">
            <w:pPr>
              <w:spacing w:line="360" w:lineRule="auto"/>
              <w:jc w:val="center"/>
              <w:rPr>
                <w:rFonts w:cs="宋体"/>
                <w:b/>
                <w:sz w:val="18"/>
              </w:rPr>
            </w:pP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lastRenderedPageBreak/>
              <w:t xml:space="preserve">Echocardiogram [19]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kern w:val="0"/>
              </w:rPr>
            </w:pPr>
            <w:r w:rsidRPr="00775168">
              <w:rPr>
                <w:rFonts w:ascii="Times New Roman" w:hAnsi="Times New Roman"/>
              </w:rPr>
              <w:t xml:space="preserve">X </w:t>
            </w:r>
          </w:p>
        </w:tc>
        <w:tc>
          <w:tcPr>
            <w:tcW w:w="579" w:type="dxa"/>
            <w:vAlign w:val="center"/>
          </w:tcPr>
          <w:p w:rsidR="00743320" w:rsidRPr="00775168" w:rsidRDefault="00743320">
            <w:pPr>
              <w:spacing w:line="360" w:lineRule="auto"/>
              <w:jc w:val="center"/>
              <w:rPr>
                <w:b/>
                <w:kern w:val="0"/>
                <w:sz w:val="18"/>
              </w:rPr>
            </w:pPr>
          </w:p>
        </w:tc>
        <w:tc>
          <w:tcPr>
            <w:tcW w:w="670" w:type="dxa"/>
            <w:vAlign w:val="center"/>
          </w:tcPr>
          <w:p w:rsidR="00743320" w:rsidRPr="00775168" w:rsidRDefault="00743320">
            <w:pPr>
              <w:spacing w:line="360" w:lineRule="auto"/>
              <w:jc w:val="center"/>
              <w:rPr>
                <w:b/>
                <w:kern w:val="0"/>
                <w:sz w:val="18"/>
              </w:rPr>
            </w:pPr>
          </w:p>
        </w:tc>
        <w:tc>
          <w:tcPr>
            <w:tcW w:w="816" w:type="dxa"/>
            <w:vAlign w:val="center"/>
          </w:tcPr>
          <w:p w:rsidR="00743320" w:rsidRPr="00775168" w:rsidRDefault="00743320">
            <w:pPr>
              <w:spacing w:line="360" w:lineRule="auto"/>
              <w:jc w:val="center"/>
              <w:rPr>
                <w:b/>
                <w:kern w:val="0"/>
                <w:sz w:val="18"/>
              </w:rPr>
            </w:pPr>
          </w:p>
        </w:tc>
        <w:tc>
          <w:tcPr>
            <w:tcW w:w="1026" w:type="dxa"/>
            <w:vAlign w:val="center"/>
          </w:tcPr>
          <w:p w:rsidR="00743320" w:rsidRPr="00775168" w:rsidRDefault="00743320">
            <w:pPr>
              <w:spacing w:line="360" w:lineRule="auto"/>
              <w:jc w:val="center"/>
              <w:rPr>
                <w:b/>
                <w:kern w:val="0"/>
                <w:sz w:val="18"/>
              </w:rPr>
            </w:pPr>
          </w:p>
        </w:tc>
        <w:tc>
          <w:tcPr>
            <w:tcW w:w="1092" w:type="dxa"/>
            <w:vAlign w:val="center"/>
          </w:tcPr>
          <w:p w:rsidR="00743320" w:rsidRPr="00775168" w:rsidRDefault="00DF7F26">
            <w:pPr>
              <w:pStyle w:val="P68B1DB1-a050"/>
              <w:spacing w:line="360" w:lineRule="auto"/>
              <w:jc w:val="center"/>
              <w:rPr>
                <w:rFonts w:ascii="Times New Roman" w:hAnsi="Times New Roman"/>
                <w:kern w:val="0"/>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b/>
                <w:kern w:val="0"/>
                <w:sz w:val="18"/>
              </w:rPr>
            </w:pPr>
          </w:p>
        </w:tc>
        <w:tc>
          <w:tcPr>
            <w:tcW w:w="1253" w:type="dxa"/>
            <w:vAlign w:val="center"/>
          </w:tcPr>
          <w:p w:rsidR="00743320" w:rsidRPr="00775168" w:rsidRDefault="00743320">
            <w:pPr>
              <w:spacing w:line="360" w:lineRule="auto"/>
              <w:jc w:val="center"/>
              <w:rPr>
                <w:b/>
                <w:sz w:val="18"/>
              </w:rPr>
            </w:pPr>
          </w:p>
        </w:tc>
        <w:tc>
          <w:tcPr>
            <w:tcW w:w="1465" w:type="dxa"/>
            <w:vAlign w:val="center"/>
          </w:tcPr>
          <w:p w:rsidR="00743320" w:rsidRPr="00775168" w:rsidRDefault="00743320">
            <w:pPr>
              <w:spacing w:line="360" w:lineRule="auto"/>
              <w:jc w:val="center"/>
              <w:rPr>
                <w:b/>
                <w:sz w:val="18"/>
              </w:rPr>
            </w:pPr>
          </w:p>
        </w:tc>
        <w:tc>
          <w:tcPr>
            <w:tcW w:w="1744" w:type="dxa"/>
            <w:vAlign w:val="center"/>
          </w:tcPr>
          <w:p w:rsidR="00743320" w:rsidRPr="00775168" w:rsidRDefault="00743320">
            <w:pPr>
              <w:spacing w:line="360" w:lineRule="auto"/>
              <w:jc w:val="center"/>
              <w:rPr>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Hepatitis B and C tests [20]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10127" w:type="dxa"/>
            <w:gridSpan w:val="9"/>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Pregnancy test [21]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743320">
            <w:pPr>
              <w:spacing w:line="360" w:lineRule="auto"/>
              <w:jc w:val="center"/>
              <w:rPr>
                <w:rFonts w:cs="宋体"/>
                <w:b/>
                <w:sz w:val="18"/>
              </w:rPr>
            </w:pPr>
          </w:p>
        </w:tc>
        <w:tc>
          <w:tcPr>
            <w:tcW w:w="816" w:type="dxa"/>
            <w:vAlign w:val="center"/>
          </w:tcPr>
          <w:p w:rsidR="00743320" w:rsidRPr="00775168" w:rsidRDefault="00743320">
            <w:pPr>
              <w:spacing w:line="360" w:lineRule="auto"/>
              <w:jc w:val="center"/>
              <w:rPr>
                <w:rFonts w:cs="宋体"/>
                <w:b/>
                <w:sz w:val="18"/>
              </w:rPr>
            </w:pPr>
          </w:p>
        </w:tc>
        <w:tc>
          <w:tcPr>
            <w:tcW w:w="1026" w:type="dxa"/>
            <w:vAlign w:val="center"/>
          </w:tcPr>
          <w:p w:rsidR="00743320" w:rsidRPr="00775168" w:rsidRDefault="00743320">
            <w:pPr>
              <w:spacing w:line="360" w:lineRule="auto"/>
              <w:jc w:val="center"/>
              <w:rPr>
                <w:rFonts w:cs="宋体"/>
                <w:b/>
                <w:sz w:val="18"/>
              </w:rPr>
            </w:pP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13949" w:type="dxa"/>
            <w:gridSpan w:val="12"/>
            <w:tcBorders>
              <w:top w:val="nil"/>
            </w:tcBorders>
            <w:shd w:val="clear" w:color="auto" w:fill="E7E6E6"/>
            <w:vAlign w:val="center"/>
          </w:tcPr>
          <w:p w:rsidR="00743320" w:rsidRPr="00775168" w:rsidRDefault="00DF7F26">
            <w:pPr>
              <w:pStyle w:val="P68B1DB1-a048"/>
              <w:spacing w:line="360" w:lineRule="auto"/>
              <w:jc w:val="left"/>
              <w:rPr>
                <w:rFonts w:ascii="Times New Roman" w:hAnsi="Times New Roman" w:hint="default"/>
              </w:rPr>
            </w:pPr>
            <w:r w:rsidRPr="00775168">
              <w:rPr>
                <w:rFonts w:ascii="Times New Roman" w:hAnsi="Times New Roman"/>
              </w:rPr>
              <w:t xml:space="preserve">Radiographic assessment </w:t>
            </w: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Imaging [22]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842" w:type="dxa"/>
            <w:gridSpan w:val="2"/>
            <w:vAlign w:val="center"/>
          </w:tcPr>
          <w:p w:rsidR="00743320" w:rsidRPr="00775168" w:rsidRDefault="00DF7F26">
            <w:pPr>
              <w:pStyle w:val="P68B1DB1-a048"/>
              <w:spacing w:line="360" w:lineRule="auto"/>
              <w:jc w:val="center"/>
              <w:rPr>
                <w:rFonts w:ascii="Times New Roman" w:hAnsi="Times New Roman" w:hint="default"/>
                <w:kern w:val="0"/>
              </w:rPr>
            </w:pPr>
            <w:r w:rsidRPr="00775168">
              <w:rPr>
                <w:rFonts w:ascii="Times New Roman" w:hAnsi="Times New Roman"/>
              </w:rPr>
              <w:t xml:space="preserve">End of biweekly </w:t>
            </w:r>
            <w:r w:rsidRPr="00775168">
              <w:rPr>
                <w:rFonts w:ascii="Times New Roman" w:hAnsi="Times New Roman"/>
              </w:rPr>
              <w:lastRenderedPageBreak/>
              <w:t xml:space="preserve">period (6 weeks </w:t>
            </w:r>
            <w:r w:rsidRPr="00775168">
              <w:rPr>
                <w:rFonts w:ascii="Times New Roman" w:hAnsi="Times New Roman"/>
              </w:rPr>
              <w:t>±</w:t>
            </w:r>
            <w:r w:rsidRPr="00775168">
              <w:rPr>
                <w:rFonts w:ascii="Times New Roman" w:hAnsi="Times New Roman"/>
              </w:rPr>
              <w:t xml:space="preserve"> 7 days)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lastRenderedPageBreak/>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13949" w:type="dxa"/>
            <w:gridSpan w:val="12"/>
            <w:shd w:val="clear" w:color="auto" w:fill="E7E6E6"/>
            <w:vAlign w:val="center"/>
          </w:tcPr>
          <w:p w:rsidR="00743320" w:rsidRPr="00775168" w:rsidRDefault="00DF7F26">
            <w:pPr>
              <w:pStyle w:val="P68B1DB1-a048"/>
              <w:spacing w:line="360" w:lineRule="auto"/>
              <w:jc w:val="left"/>
              <w:rPr>
                <w:rFonts w:ascii="Times New Roman" w:hAnsi="Times New Roman" w:hint="default"/>
              </w:rPr>
            </w:pPr>
            <w:r w:rsidRPr="00775168">
              <w:rPr>
                <w:rFonts w:ascii="Times New Roman" w:hAnsi="Times New Roman"/>
              </w:rPr>
              <w:lastRenderedPageBreak/>
              <w:t xml:space="preserve">Other clinical assessments, examinations </w:t>
            </w: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Quality of life score [23]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ECOG score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lastRenderedPageBreak/>
              <w:t xml:space="preserve">Blood pressure monitoring [24]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9"/>
              <w:spacing w:line="360" w:lineRule="auto"/>
              <w:jc w:val="center"/>
              <w:rPr>
                <w:rFonts w:cs="宋体"/>
                <w:sz w:val="32"/>
                <w:vertAlign w:val="superscript"/>
              </w:rPr>
            </w:pPr>
            <w:r w:rsidRPr="00775168">
              <w:rPr>
                <w:rFonts w:cs="宋体" w:hint="eastAsia"/>
                <w:sz w:val="18"/>
              </w:rPr>
              <w:t xml:space="preserve">Adverse events [25] </w:t>
            </w:r>
          </w:p>
          <w:p w:rsidR="00743320" w:rsidRPr="00775168" w:rsidRDefault="00743320">
            <w:pPr>
              <w:spacing w:line="360" w:lineRule="auto"/>
              <w:jc w:val="center"/>
              <w:rPr>
                <w:b/>
                <w:sz w:val="18"/>
              </w:rPr>
            </w:pP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743320">
            <w:pPr>
              <w:spacing w:line="360" w:lineRule="auto"/>
              <w:jc w:val="center"/>
              <w:rPr>
                <w:b/>
                <w:sz w:val="18"/>
              </w:rPr>
            </w:pP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13949" w:type="dxa"/>
            <w:gridSpan w:val="12"/>
            <w:shd w:val="clear" w:color="auto" w:fill="E7E6E6"/>
            <w:vAlign w:val="center"/>
          </w:tcPr>
          <w:p w:rsidR="00743320" w:rsidRPr="00775168" w:rsidRDefault="00DF7F26">
            <w:pPr>
              <w:pStyle w:val="P68B1DB1-a048"/>
              <w:spacing w:line="360" w:lineRule="auto"/>
              <w:jc w:val="left"/>
              <w:rPr>
                <w:rFonts w:ascii="Times New Roman" w:hAnsi="Times New Roman" w:hint="default"/>
              </w:rPr>
            </w:pPr>
            <w:r w:rsidRPr="00775168">
              <w:rPr>
                <w:rFonts w:ascii="Times New Roman" w:hAnsi="Times New Roman"/>
              </w:rPr>
              <w:t xml:space="preserve">Study drug </w:t>
            </w:r>
          </w:p>
        </w:tc>
      </w:tr>
      <w:tr w:rsidR="00743320" w:rsidRPr="00775168">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lastRenderedPageBreak/>
              <w:t xml:space="preserve">Administration of EGFR-TKIs </w:t>
            </w:r>
          </w:p>
        </w:tc>
        <w:tc>
          <w:tcPr>
            <w:tcW w:w="1417" w:type="dxa"/>
            <w:gridSpan w:val="2"/>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Continue to take EGFR-TKIs according to the original </w:t>
            </w:r>
            <w:r w:rsidRPr="00775168">
              <w:rPr>
                <w:rFonts w:ascii="Times New Roman" w:hAnsi="Times New Roman"/>
              </w:rPr>
              <w:lastRenderedPageBreak/>
              <w:t xml:space="preserve">treatment regimen </w:t>
            </w:r>
          </w:p>
        </w:tc>
        <w:tc>
          <w:tcPr>
            <w:tcW w:w="3091" w:type="dxa"/>
            <w:gridSpan w:val="4"/>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lastRenderedPageBreak/>
              <w:t xml:space="preserve">3-week cycle, daily dosing according to the package insert </w:t>
            </w:r>
          </w:p>
        </w:tc>
        <w:tc>
          <w:tcPr>
            <w:tcW w:w="1092" w:type="dxa"/>
            <w:vAlign w:val="center"/>
          </w:tcPr>
          <w:p w:rsidR="00743320" w:rsidRPr="00775168" w:rsidRDefault="00743320">
            <w:pPr>
              <w:spacing w:line="360" w:lineRule="auto"/>
              <w:jc w:val="center"/>
              <w:rPr>
                <w:b/>
                <w:sz w:val="18"/>
              </w:rPr>
            </w:pPr>
          </w:p>
        </w:tc>
        <w:tc>
          <w:tcPr>
            <w:tcW w:w="1482" w:type="dxa"/>
            <w:vAlign w:val="center"/>
          </w:tcPr>
          <w:p w:rsidR="00743320" w:rsidRPr="00775168" w:rsidRDefault="00743320">
            <w:pPr>
              <w:spacing w:line="360" w:lineRule="auto"/>
              <w:jc w:val="center"/>
              <w:rPr>
                <w:b/>
                <w:sz w:val="18"/>
              </w:rPr>
            </w:pPr>
          </w:p>
        </w:tc>
        <w:tc>
          <w:tcPr>
            <w:tcW w:w="1253" w:type="dxa"/>
            <w:vAlign w:val="center"/>
          </w:tcPr>
          <w:p w:rsidR="00743320" w:rsidRPr="00775168" w:rsidRDefault="00743320">
            <w:pPr>
              <w:spacing w:line="360" w:lineRule="auto"/>
              <w:jc w:val="center"/>
              <w:rPr>
                <w:b/>
                <w:sz w:val="18"/>
              </w:rPr>
            </w:pPr>
          </w:p>
        </w:tc>
        <w:tc>
          <w:tcPr>
            <w:tcW w:w="1465" w:type="dxa"/>
            <w:vAlign w:val="center"/>
          </w:tcPr>
          <w:p w:rsidR="00743320" w:rsidRPr="00775168" w:rsidRDefault="00743320">
            <w:pPr>
              <w:spacing w:line="360" w:lineRule="auto"/>
              <w:jc w:val="center"/>
              <w:rPr>
                <w:b/>
                <w:sz w:val="18"/>
              </w:rPr>
            </w:pPr>
          </w:p>
        </w:tc>
        <w:tc>
          <w:tcPr>
            <w:tcW w:w="1744" w:type="dxa"/>
            <w:vAlign w:val="center"/>
          </w:tcPr>
          <w:p w:rsidR="00743320" w:rsidRPr="00775168" w:rsidRDefault="00743320">
            <w:pPr>
              <w:spacing w:line="360" w:lineRule="auto"/>
              <w:jc w:val="center"/>
              <w:rPr>
                <w:b/>
                <w:sz w:val="18"/>
              </w:rPr>
            </w:pPr>
          </w:p>
        </w:tc>
      </w:tr>
      <w:tr w:rsidR="00743320" w:rsidRPr="00775168">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lastRenderedPageBreak/>
              <w:t xml:space="preserve">Administration of Anlotinib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743320">
            <w:pPr>
              <w:spacing w:line="360" w:lineRule="auto"/>
              <w:jc w:val="center"/>
              <w:rPr>
                <w:b/>
                <w:sz w:val="18"/>
              </w:rPr>
            </w:pPr>
          </w:p>
        </w:tc>
        <w:tc>
          <w:tcPr>
            <w:tcW w:w="3091" w:type="dxa"/>
            <w:gridSpan w:val="4"/>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3-week cycle, with 2-week break for 1 week </w:t>
            </w:r>
          </w:p>
        </w:tc>
        <w:tc>
          <w:tcPr>
            <w:tcW w:w="1092" w:type="dxa"/>
            <w:vAlign w:val="center"/>
          </w:tcPr>
          <w:p w:rsidR="00743320" w:rsidRPr="00775168" w:rsidRDefault="00743320">
            <w:pPr>
              <w:spacing w:line="360" w:lineRule="auto"/>
              <w:jc w:val="center"/>
              <w:rPr>
                <w:b/>
                <w:sz w:val="18"/>
              </w:rPr>
            </w:pPr>
          </w:p>
        </w:tc>
        <w:tc>
          <w:tcPr>
            <w:tcW w:w="1482" w:type="dxa"/>
            <w:vAlign w:val="center"/>
          </w:tcPr>
          <w:p w:rsidR="00743320" w:rsidRPr="00775168" w:rsidRDefault="00743320">
            <w:pPr>
              <w:spacing w:line="360" w:lineRule="auto"/>
              <w:jc w:val="center"/>
              <w:rPr>
                <w:b/>
                <w:sz w:val="18"/>
              </w:rPr>
            </w:pPr>
          </w:p>
        </w:tc>
        <w:tc>
          <w:tcPr>
            <w:tcW w:w="1253" w:type="dxa"/>
            <w:vAlign w:val="center"/>
          </w:tcPr>
          <w:p w:rsidR="00743320" w:rsidRPr="00775168" w:rsidRDefault="00743320">
            <w:pPr>
              <w:spacing w:line="360" w:lineRule="auto"/>
              <w:jc w:val="center"/>
              <w:rPr>
                <w:b/>
                <w:sz w:val="18"/>
              </w:rPr>
            </w:pPr>
          </w:p>
        </w:tc>
        <w:tc>
          <w:tcPr>
            <w:tcW w:w="1465" w:type="dxa"/>
            <w:vAlign w:val="center"/>
          </w:tcPr>
          <w:p w:rsidR="00743320" w:rsidRPr="00775168" w:rsidRDefault="00743320">
            <w:pPr>
              <w:spacing w:line="360" w:lineRule="auto"/>
              <w:jc w:val="center"/>
              <w:rPr>
                <w:b/>
                <w:sz w:val="18"/>
              </w:rPr>
            </w:pPr>
          </w:p>
        </w:tc>
        <w:tc>
          <w:tcPr>
            <w:tcW w:w="1744" w:type="dxa"/>
            <w:vAlign w:val="center"/>
          </w:tcPr>
          <w:p w:rsidR="00743320" w:rsidRPr="00775168" w:rsidRDefault="00743320">
            <w:pPr>
              <w:spacing w:line="360" w:lineRule="auto"/>
              <w:jc w:val="center"/>
              <w:rPr>
                <w:b/>
                <w:sz w:val="18"/>
              </w:rPr>
            </w:pPr>
          </w:p>
        </w:tc>
      </w:tr>
      <w:tr w:rsidR="00743320" w:rsidRPr="00775168">
        <w:trPr>
          <w:trHeight w:val="410"/>
        </w:trPr>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Distribution/Recovery of </w:t>
            </w:r>
            <w:r w:rsidRPr="00775168">
              <w:rPr>
                <w:rFonts w:ascii="Times New Roman" w:hAnsi="Times New Roman"/>
              </w:rPr>
              <w:lastRenderedPageBreak/>
              <w:t xml:space="preserve">Anlotinib Medication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tc>
      </w:tr>
      <w:tr w:rsidR="00743320" w:rsidRPr="00775168">
        <w:tc>
          <w:tcPr>
            <w:tcW w:w="2405" w:type="dxa"/>
            <w:vAlign w:val="center"/>
          </w:tcPr>
          <w:p w:rsidR="00743320" w:rsidRPr="00775168" w:rsidRDefault="00DF7F26">
            <w:pPr>
              <w:pStyle w:val="P68B1DB1-a048"/>
              <w:spacing w:line="360" w:lineRule="auto"/>
              <w:jc w:val="center"/>
              <w:rPr>
                <w:rFonts w:ascii="Times New Roman" w:hAnsi="Times New Roman" w:hint="default"/>
                <w:sz w:val="32"/>
                <w:vertAlign w:val="superscript"/>
              </w:rPr>
            </w:pPr>
            <w:r w:rsidRPr="00775168">
              <w:rPr>
                <w:rFonts w:ascii="Times New Roman" w:hAnsi="Times New Roman"/>
              </w:rPr>
              <w:lastRenderedPageBreak/>
              <w:t xml:space="preserve">Record concomitant medications [26] </w:t>
            </w:r>
          </w:p>
        </w:tc>
        <w:tc>
          <w:tcPr>
            <w:tcW w:w="70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253"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65"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744"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Medication compliance [27]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743320">
            <w:pPr>
              <w:spacing w:line="360" w:lineRule="auto"/>
              <w:jc w:val="center"/>
              <w:rPr>
                <w:b/>
                <w:sz w:val="18"/>
              </w:rPr>
            </w:pPr>
          </w:p>
        </w:tc>
        <w:tc>
          <w:tcPr>
            <w:tcW w:w="579"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670"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81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26"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09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82" w:type="dxa"/>
            <w:vAlign w:val="center"/>
          </w:tcPr>
          <w:p w:rsidR="00743320" w:rsidRPr="00775168" w:rsidRDefault="00743320">
            <w:pPr>
              <w:spacing w:line="360" w:lineRule="auto"/>
              <w:jc w:val="center"/>
              <w:rPr>
                <w:rFonts w:cs="宋体"/>
                <w:b/>
                <w:sz w:val="18"/>
              </w:rPr>
            </w:pPr>
          </w:p>
        </w:tc>
        <w:tc>
          <w:tcPr>
            <w:tcW w:w="1253" w:type="dxa"/>
            <w:vAlign w:val="center"/>
          </w:tcPr>
          <w:p w:rsidR="00743320" w:rsidRPr="00775168" w:rsidRDefault="00743320">
            <w:pPr>
              <w:spacing w:line="360" w:lineRule="auto"/>
              <w:jc w:val="center"/>
              <w:rPr>
                <w:rFonts w:cs="宋体"/>
                <w:b/>
                <w:sz w:val="18"/>
              </w:rPr>
            </w:pPr>
          </w:p>
        </w:tc>
        <w:tc>
          <w:tcPr>
            <w:tcW w:w="1465" w:type="dxa"/>
            <w:vAlign w:val="center"/>
          </w:tcPr>
          <w:p w:rsidR="00743320" w:rsidRPr="00775168" w:rsidRDefault="00743320">
            <w:pPr>
              <w:spacing w:line="360" w:lineRule="auto"/>
              <w:jc w:val="center"/>
              <w:rPr>
                <w:rFonts w:cs="宋体"/>
                <w:b/>
                <w:sz w:val="18"/>
              </w:rPr>
            </w:pPr>
          </w:p>
        </w:tc>
        <w:tc>
          <w:tcPr>
            <w:tcW w:w="1744" w:type="dxa"/>
            <w:vAlign w:val="center"/>
          </w:tcPr>
          <w:p w:rsidR="00743320" w:rsidRPr="00775168" w:rsidRDefault="00743320">
            <w:pPr>
              <w:spacing w:line="360" w:lineRule="auto"/>
              <w:jc w:val="center"/>
              <w:rPr>
                <w:rFonts w:cs="宋体"/>
                <w:b/>
                <w:sz w:val="18"/>
              </w:rPr>
            </w:pPr>
          </w:p>
          <w:p w:rsidR="00743320" w:rsidRPr="00775168" w:rsidRDefault="00743320">
            <w:pPr>
              <w:spacing w:line="360" w:lineRule="auto"/>
              <w:jc w:val="center"/>
              <w:rPr>
                <w:rFonts w:cs="宋体"/>
                <w:b/>
                <w:sz w:val="18"/>
              </w:rPr>
            </w:pPr>
          </w:p>
        </w:tc>
      </w:tr>
      <w:tr w:rsidR="00743320" w:rsidRPr="00775168">
        <w:tc>
          <w:tcPr>
            <w:tcW w:w="13949" w:type="dxa"/>
            <w:gridSpan w:val="12"/>
            <w:shd w:val="clear" w:color="auto" w:fill="E7E6E6"/>
            <w:vAlign w:val="center"/>
          </w:tcPr>
          <w:p w:rsidR="00743320" w:rsidRPr="00775168" w:rsidRDefault="00DF7F26">
            <w:pPr>
              <w:pStyle w:val="P68B1DB1-a049"/>
              <w:spacing w:line="360" w:lineRule="auto"/>
              <w:jc w:val="left"/>
              <w:rPr>
                <w:sz w:val="18"/>
              </w:rPr>
            </w:pPr>
            <w:r w:rsidRPr="00775168">
              <w:rPr>
                <w:rFonts w:cs="宋体" w:hint="eastAsia"/>
                <w:sz w:val="18"/>
              </w:rPr>
              <w:lastRenderedPageBreak/>
              <w:t xml:space="preserve">Survival Follow-up [28] </w:t>
            </w:r>
          </w:p>
        </w:tc>
      </w:tr>
      <w:tr w:rsidR="00743320" w:rsidRPr="00775168">
        <w:tc>
          <w:tcPr>
            <w:tcW w:w="2405" w:type="dxa"/>
            <w:vAlign w:val="center"/>
          </w:tcPr>
          <w:p w:rsidR="00743320" w:rsidRPr="00775168" w:rsidRDefault="00DF7F26">
            <w:pPr>
              <w:pStyle w:val="P68B1DB1-a049"/>
              <w:spacing w:line="360" w:lineRule="auto"/>
              <w:jc w:val="center"/>
              <w:rPr>
                <w:sz w:val="18"/>
              </w:rPr>
            </w:pPr>
            <w:r w:rsidRPr="00775168">
              <w:rPr>
                <w:rFonts w:cs="宋体" w:hint="eastAsia"/>
                <w:sz w:val="18"/>
              </w:rPr>
              <w:t xml:space="preserve">Time to progression [29]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743320">
            <w:pPr>
              <w:spacing w:line="360" w:lineRule="auto"/>
              <w:jc w:val="center"/>
              <w:rPr>
                <w:b/>
                <w:sz w:val="18"/>
              </w:rPr>
            </w:pPr>
          </w:p>
        </w:tc>
        <w:tc>
          <w:tcPr>
            <w:tcW w:w="579" w:type="dxa"/>
            <w:vAlign w:val="center"/>
          </w:tcPr>
          <w:p w:rsidR="00743320" w:rsidRPr="00775168" w:rsidRDefault="00743320">
            <w:pPr>
              <w:spacing w:line="360" w:lineRule="auto"/>
              <w:jc w:val="center"/>
              <w:rPr>
                <w:b/>
                <w:sz w:val="18"/>
              </w:rPr>
            </w:pPr>
          </w:p>
        </w:tc>
        <w:tc>
          <w:tcPr>
            <w:tcW w:w="670" w:type="dxa"/>
            <w:vAlign w:val="center"/>
          </w:tcPr>
          <w:p w:rsidR="00743320" w:rsidRPr="00775168" w:rsidRDefault="00743320">
            <w:pPr>
              <w:spacing w:line="360" w:lineRule="auto"/>
              <w:jc w:val="center"/>
              <w:rPr>
                <w:b/>
                <w:sz w:val="18"/>
              </w:rPr>
            </w:pPr>
          </w:p>
        </w:tc>
        <w:tc>
          <w:tcPr>
            <w:tcW w:w="816" w:type="dxa"/>
            <w:vAlign w:val="center"/>
          </w:tcPr>
          <w:p w:rsidR="00743320" w:rsidRPr="00775168" w:rsidRDefault="00743320">
            <w:pPr>
              <w:spacing w:line="360" w:lineRule="auto"/>
              <w:jc w:val="center"/>
              <w:rPr>
                <w:b/>
                <w:sz w:val="18"/>
              </w:rPr>
            </w:pPr>
          </w:p>
        </w:tc>
        <w:tc>
          <w:tcPr>
            <w:tcW w:w="1026" w:type="dxa"/>
            <w:vAlign w:val="center"/>
          </w:tcPr>
          <w:p w:rsidR="00743320" w:rsidRPr="00775168" w:rsidRDefault="00743320">
            <w:pPr>
              <w:spacing w:line="360" w:lineRule="auto"/>
              <w:jc w:val="center"/>
              <w:rPr>
                <w:b/>
                <w:sz w:val="18"/>
              </w:rPr>
            </w:pPr>
          </w:p>
        </w:tc>
        <w:tc>
          <w:tcPr>
            <w:tcW w:w="3827" w:type="dxa"/>
            <w:gridSpan w:val="3"/>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Radiographic assessment every 8 weeks (</w:t>
            </w:r>
            <w:r w:rsidRPr="00775168">
              <w:rPr>
                <w:rFonts w:ascii="Times New Roman" w:hAnsi="Times New Roman"/>
              </w:rPr>
              <w:t>±</w:t>
            </w:r>
            <w:r w:rsidRPr="00775168">
              <w:rPr>
                <w:rFonts w:ascii="Times New Roman" w:hAnsi="Times New Roman"/>
              </w:rPr>
              <w:t xml:space="preserve"> 3 days) until disease progression or initiation of other tumor therapy (non-radiographic PD patients) </w:t>
            </w:r>
          </w:p>
        </w:tc>
        <w:tc>
          <w:tcPr>
            <w:tcW w:w="1465" w:type="dxa"/>
            <w:vAlign w:val="center"/>
          </w:tcPr>
          <w:p w:rsidR="00743320" w:rsidRPr="00775168" w:rsidRDefault="00743320">
            <w:pPr>
              <w:spacing w:line="360" w:lineRule="auto"/>
              <w:jc w:val="center"/>
              <w:rPr>
                <w:b/>
                <w:sz w:val="18"/>
              </w:rPr>
            </w:pPr>
          </w:p>
        </w:tc>
        <w:tc>
          <w:tcPr>
            <w:tcW w:w="1744" w:type="dxa"/>
            <w:vAlign w:val="center"/>
          </w:tcPr>
          <w:p w:rsidR="00743320" w:rsidRPr="00775168" w:rsidRDefault="00743320">
            <w:pPr>
              <w:spacing w:line="360" w:lineRule="auto"/>
              <w:jc w:val="center"/>
              <w:rPr>
                <w:b/>
                <w:sz w:val="18"/>
              </w:rPr>
            </w:pPr>
          </w:p>
        </w:tc>
      </w:tr>
      <w:tr w:rsidR="00743320" w:rsidRPr="00775168">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lastRenderedPageBreak/>
              <w:t xml:space="preserve">Time of death </w:t>
            </w:r>
          </w:p>
        </w:tc>
        <w:tc>
          <w:tcPr>
            <w:tcW w:w="709" w:type="dxa"/>
            <w:vAlign w:val="center"/>
          </w:tcPr>
          <w:p w:rsidR="00743320" w:rsidRPr="00775168" w:rsidRDefault="00743320">
            <w:pPr>
              <w:spacing w:line="360" w:lineRule="auto"/>
              <w:jc w:val="center"/>
              <w:rPr>
                <w:b/>
                <w:sz w:val="18"/>
              </w:rPr>
            </w:pPr>
          </w:p>
        </w:tc>
        <w:tc>
          <w:tcPr>
            <w:tcW w:w="708" w:type="dxa"/>
            <w:vAlign w:val="center"/>
          </w:tcPr>
          <w:p w:rsidR="00743320" w:rsidRPr="00775168" w:rsidRDefault="00743320">
            <w:pPr>
              <w:spacing w:line="360" w:lineRule="auto"/>
              <w:jc w:val="center"/>
              <w:rPr>
                <w:b/>
                <w:sz w:val="18"/>
              </w:rPr>
            </w:pPr>
          </w:p>
        </w:tc>
        <w:tc>
          <w:tcPr>
            <w:tcW w:w="579" w:type="dxa"/>
            <w:vAlign w:val="center"/>
          </w:tcPr>
          <w:p w:rsidR="00743320" w:rsidRPr="00775168" w:rsidRDefault="00743320">
            <w:pPr>
              <w:spacing w:line="360" w:lineRule="auto"/>
              <w:jc w:val="center"/>
              <w:rPr>
                <w:b/>
                <w:sz w:val="18"/>
              </w:rPr>
            </w:pPr>
          </w:p>
        </w:tc>
        <w:tc>
          <w:tcPr>
            <w:tcW w:w="670" w:type="dxa"/>
            <w:vAlign w:val="center"/>
          </w:tcPr>
          <w:p w:rsidR="00743320" w:rsidRPr="00775168" w:rsidRDefault="00743320">
            <w:pPr>
              <w:spacing w:line="360" w:lineRule="auto"/>
              <w:jc w:val="center"/>
              <w:rPr>
                <w:b/>
                <w:sz w:val="18"/>
              </w:rPr>
            </w:pPr>
          </w:p>
        </w:tc>
        <w:tc>
          <w:tcPr>
            <w:tcW w:w="816" w:type="dxa"/>
            <w:vAlign w:val="center"/>
          </w:tcPr>
          <w:p w:rsidR="00743320" w:rsidRPr="00775168" w:rsidRDefault="00743320">
            <w:pPr>
              <w:spacing w:line="360" w:lineRule="auto"/>
              <w:jc w:val="center"/>
              <w:rPr>
                <w:b/>
                <w:sz w:val="18"/>
              </w:rPr>
            </w:pPr>
          </w:p>
        </w:tc>
        <w:tc>
          <w:tcPr>
            <w:tcW w:w="1026" w:type="dxa"/>
            <w:vAlign w:val="center"/>
          </w:tcPr>
          <w:p w:rsidR="00743320" w:rsidRPr="00775168" w:rsidRDefault="00743320">
            <w:pPr>
              <w:spacing w:line="360" w:lineRule="auto"/>
              <w:jc w:val="center"/>
              <w:rPr>
                <w:b/>
                <w:sz w:val="18"/>
              </w:rPr>
            </w:pPr>
          </w:p>
        </w:tc>
        <w:tc>
          <w:tcPr>
            <w:tcW w:w="1092" w:type="dxa"/>
            <w:vAlign w:val="center"/>
          </w:tcPr>
          <w:p w:rsidR="00743320" w:rsidRPr="00775168" w:rsidRDefault="00743320">
            <w:pPr>
              <w:spacing w:line="360" w:lineRule="auto"/>
              <w:jc w:val="center"/>
              <w:rPr>
                <w:b/>
                <w:sz w:val="18"/>
              </w:rPr>
            </w:pPr>
          </w:p>
        </w:tc>
        <w:tc>
          <w:tcPr>
            <w:tcW w:w="1482" w:type="dxa"/>
            <w:vAlign w:val="center"/>
          </w:tcPr>
          <w:p w:rsidR="00743320" w:rsidRPr="00775168" w:rsidRDefault="00743320">
            <w:pPr>
              <w:spacing w:line="360" w:lineRule="auto"/>
              <w:jc w:val="center"/>
              <w:rPr>
                <w:b/>
                <w:sz w:val="18"/>
              </w:rPr>
            </w:pPr>
          </w:p>
        </w:tc>
        <w:tc>
          <w:tcPr>
            <w:tcW w:w="1253" w:type="dxa"/>
            <w:vAlign w:val="center"/>
          </w:tcPr>
          <w:p w:rsidR="00743320" w:rsidRPr="00775168" w:rsidRDefault="00743320">
            <w:pPr>
              <w:spacing w:line="360" w:lineRule="auto"/>
              <w:jc w:val="center"/>
              <w:rPr>
                <w:b/>
                <w:sz w:val="18"/>
              </w:rPr>
            </w:pPr>
          </w:p>
        </w:tc>
        <w:tc>
          <w:tcPr>
            <w:tcW w:w="1465"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744"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r>
      <w:tr w:rsidR="00743320" w:rsidRPr="00775168">
        <w:trPr>
          <w:trHeight w:val="663"/>
        </w:trPr>
        <w:tc>
          <w:tcPr>
            <w:tcW w:w="2405" w:type="dxa"/>
            <w:vAlign w:val="center"/>
          </w:tcPr>
          <w:p w:rsidR="00743320" w:rsidRPr="00775168" w:rsidRDefault="00DF7F26">
            <w:pPr>
              <w:pStyle w:val="P68B1DB1-a048"/>
              <w:spacing w:line="360" w:lineRule="auto"/>
              <w:jc w:val="center"/>
              <w:rPr>
                <w:rFonts w:ascii="Times New Roman" w:hAnsi="Times New Roman" w:hint="default"/>
              </w:rPr>
            </w:pPr>
            <w:r w:rsidRPr="00775168">
              <w:rPr>
                <w:rFonts w:ascii="Times New Roman" w:hAnsi="Times New Roman"/>
              </w:rPr>
              <w:t xml:space="preserve">Tumor therapy [30] </w:t>
            </w:r>
          </w:p>
        </w:tc>
        <w:tc>
          <w:tcPr>
            <w:tcW w:w="709" w:type="dxa"/>
            <w:vAlign w:val="center"/>
          </w:tcPr>
          <w:p w:rsidR="00743320" w:rsidRPr="00775168" w:rsidRDefault="00743320">
            <w:pPr>
              <w:spacing w:line="360" w:lineRule="auto"/>
              <w:jc w:val="center"/>
              <w:rPr>
                <w:rFonts w:cs="宋体"/>
                <w:b/>
                <w:sz w:val="18"/>
              </w:rPr>
            </w:pPr>
          </w:p>
        </w:tc>
        <w:tc>
          <w:tcPr>
            <w:tcW w:w="708" w:type="dxa"/>
            <w:vAlign w:val="center"/>
          </w:tcPr>
          <w:p w:rsidR="00743320" w:rsidRPr="00775168" w:rsidRDefault="00743320">
            <w:pPr>
              <w:spacing w:line="360" w:lineRule="auto"/>
              <w:jc w:val="center"/>
              <w:rPr>
                <w:rFonts w:cs="宋体"/>
                <w:b/>
                <w:sz w:val="18"/>
              </w:rPr>
            </w:pPr>
          </w:p>
        </w:tc>
        <w:tc>
          <w:tcPr>
            <w:tcW w:w="579" w:type="dxa"/>
            <w:vAlign w:val="center"/>
          </w:tcPr>
          <w:p w:rsidR="00743320" w:rsidRPr="00775168" w:rsidRDefault="00743320">
            <w:pPr>
              <w:spacing w:line="360" w:lineRule="auto"/>
              <w:jc w:val="center"/>
              <w:rPr>
                <w:rFonts w:cs="宋体"/>
                <w:b/>
                <w:sz w:val="18"/>
              </w:rPr>
            </w:pPr>
          </w:p>
        </w:tc>
        <w:tc>
          <w:tcPr>
            <w:tcW w:w="670" w:type="dxa"/>
            <w:vAlign w:val="center"/>
          </w:tcPr>
          <w:p w:rsidR="00743320" w:rsidRPr="00775168" w:rsidRDefault="00743320">
            <w:pPr>
              <w:spacing w:line="360" w:lineRule="auto"/>
              <w:jc w:val="center"/>
              <w:rPr>
                <w:rFonts w:cs="宋体"/>
                <w:b/>
                <w:sz w:val="18"/>
              </w:rPr>
            </w:pPr>
          </w:p>
        </w:tc>
        <w:tc>
          <w:tcPr>
            <w:tcW w:w="816" w:type="dxa"/>
            <w:vAlign w:val="center"/>
          </w:tcPr>
          <w:p w:rsidR="00743320" w:rsidRPr="00775168" w:rsidRDefault="00743320">
            <w:pPr>
              <w:spacing w:line="360" w:lineRule="auto"/>
              <w:jc w:val="center"/>
              <w:rPr>
                <w:rFonts w:cs="宋体"/>
                <w:b/>
                <w:sz w:val="18"/>
              </w:rPr>
            </w:pPr>
          </w:p>
        </w:tc>
        <w:tc>
          <w:tcPr>
            <w:tcW w:w="1026" w:type="dxa"/>
            <w:vAlign w:val="center"/>
          </w:tcPr>
          <w:p w:rsidR="00743320" w:rsidRPr="00775168" w:rsidRDefault="00743320">
            <w:pPr>
              <w:spacing w:line="360" w:lineRule="auto"/>
              <w:jc w:val="center"/>
              <w:rPr>
                <w:rFonts w:cs="宋体"/>
                <w:b/>
                <w:sz w:val="18"/>
              </w:rPr>
            </w:pPr>
          </w:p>
        </w:tc>
        <w:tc>
          <w:tcPr>
            <w:tcW w:w="1092" w:type="dxa"/>
            <w:vAlign w:val="center"/>
          </w:tcPr>
          <w:p w:rsidR="00743320" w:rsidRPr="00775168" w:rsidRDefault="00743320">
            <w:pPr>
              <w:spacing w:line="360" w:lineRule="auto"/>
              <w:jc w:val="center"/>
              <w:rPr>
                <w:rFonts w:cs="宋体"/>
                <w:b/>
                <w:sz w:val="18"/>
              </w:rPr>
            </w:pPr>
          </w:p>
        </w:tc>
        <w:tc>
          <w:tcPr>
            <w:tcW w:w="1482"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253"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465"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c>
          <w:tcPr>
            <w:tcW w:w="1744" w:type="dxa"/>
            <w:vAlign w:val="center"/>
          </w:tcPr>
          <w:p w:rsidR="00743320" w:rsidRPr="00775168" w:rsidRDefault="00DF7F26">
            <w:pPr>
              <w:pStyle w:val="P68B1DB1-a050"/>
              <w:spacing w:line="360" w:lineRule="auto"/>
              <w:jc w:val="center"/>
              <w:rPr>
                <w:rFonts w:ascii="Times New Roman" w:hAnsi="Times New Roman"/>
              </w:rPr>
            </w:pPr>
            <w:r w:rsidRPr="00775168">
              <w:rPr>
                <w:rFonts w:ascii="Times New Roman" w:hAnsi="Times New Roman"/>
              </w:rPr>
              <w:t xml:space="preserve">X </w:t>
            </w:r>
          </w:p>
        </w:tc>
      </w:tr>
    </w:tbl>
    <w:p w:rsidR="00743320" w:rsidRPr="00775168" w:rsidRDefault="00DF7F26">
      <w:pPr>
        <w:pStyle w:val="P68B1DB1-a053"/>
        <w:ind w:left="282" w:rightChars="-227" w:right="-477" w:hangingChars="156" w:hanging="282"/>
        <w:rPr>
          <w:rFonts w:hint="default"/>
        </w:rPr>
      </w:pPr>
      <w:r w:rsidRPr="00775168">
        <w:t xml:space="preserve">Note: 1. Perform various inspection and test procedures according to the time in the study flow table, which is not affected by the length of drug withdrawal, but is allowed to occasionally change during the window period of each inspection item due to festivals, holidays or other administrative reasons. </w:t>
      </w:r>
    </w:p>
    <w:p w:rsidR="00743320" w:rsidRPr="00775168" w:rsidRDefault="00DF7F26">
      <w:pPr>
        <w:pStyle w:val="14"/>
        <w:numPr>
          <w:ilvl w:val="0"/>
          <w:numId w:val="7"/>
        </w:numPr>
        <w:ind w:rightChars="-227" w:right="-477" w:firstLineChars="0"/>
        <w:rPr>
          <w:b/>
          <w:sz w:val="18"/>
        </w:rPr>
      </w:pPr>
      <w:r w:rsidRPr="00775168">
        <w:rPr>
          <w:b/>
          <w:sz w:val="18"/>
        </w:rPr>
        <w:t xml:space="preserve">NA: Not Applicable, Not Applicable </w:t>
      </w:r>
    </w:p>
    <w:p w:rsidR="00743320" w:rsidRPr="00775168" w:rsidRDefault="00DF7F26">
      <w:pPr>
        <w:pStyle w:val="P68B1DB1-1554"/>
        <w:numPr>
          <w:ilvl w:val="0"/>
          <w:numId w:val="7"/>
        </w:numPr>
        <w:ind w:rightChars="-227" w:right="-477" w:firstLineChars="0"/>
        <w:rPr>
          <w:rFonts w:hint="default"/>
        </w:rPr>
      </w:pPr>
      <w:r w:rsidRPr="00775168">
        <w:t>±</w:t>
      </w:r>
      <w:r w:rsidRPr="00775168">
        <w:t xml:space="preserve"> 3 days, medication cannot be advanced </w:t>
      </w:r>
    </w:p>
    <w:p w:rsidR="00743320" w:rsidRPr="00775168" w:rsidRDefault="00DF7F26">
      <w:pPr>
        <w:pStyle w:val="P68B1DB1-a055"/>
        <w:rPr>
          <w:rFonts w:ascii="Times New Roman" w:hAnsi="Times New Roman" w:cs="Calibri" w:hint="default"/>
        </w:rPr>
      </w:pPr>
      <w:r w:rsidRPr="00775168">
        <w:rPr>
          <w:rFonts w:ascii="Times New Roman" w:hAnsi="Times New Roman"/>
        </w:rPr>
        <w:lastRenderedPageBreak/>
        <w:t xml:space="preserve">[1]. Subjects must complete the visit during the screening period within 28 days after radiographic progression. Subjects can continue taking original EGFR-TKIs within 28 days before enrollment.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[2]. Subjects who withdraw from the study without objective progression and discontinue treatment will continue to be followed until objective progression or data cut-off.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[3]. DCO: Data Cut-Off, Data Censoring.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[4]. Subjects will be seen every 6 weeks starting with Visit 5.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[5]. Physical examination: The examination of major body systems (dermatological system, head and face, eyes, ears, nose and throat, oral cavity, neck, chest, abdomen, spine/limbs, others) was performed within 14 days prior to enrollment, on Day 21, on Day 21 of every other cycle (odd cycles) thereafter, and at the check-out visit.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[6]. Vital signs: Body temperature, respiratory rate and pulse are measured within 14 days prior to enrollment, on Day 7 and Day 21 of Cycle 1, and on Day 21 of every other cycle (odd cycles) afterwards and at post-treatment visit. Blood pressure monitoring is shown in.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[7]. Tumor history and other medical history: pathological results, EGFR mutation detection report; tumor surgery, chemotherapy, radiotherapy and treatment history of other diseases.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[8]. Evidence of radiographic progression: collect patient imaging data (CT film or diagnostic report)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[9]. Hematology: Hemoglobin, red blood cell, white blood cell, neutrophil count, lymphocyte count and platelet count will be performed within 14 days prior to enrollment, on Day 7 and Day 21 of Cycle 1, on Day 21 of every other cycle (odd cycle) afterwards, at check-out visit and on Day 21 after treatment.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[10]. Urinalysis: urine protein, urine glucose, urine occult blood (urine red blood cells, white blood cells), urine pH and urine ketone body. If urine protein is </w:t>
      </w:r>
      <w:r w:rsidRPr="00775168">
        <w:rPr>
          <w:rFonts w:ascii="Times New Roman" w:hAnsi="Times New Roman"/>
        </w:rPr>
        <w:t>≥</w:t>
      </w:r>
      <w:r w:rsidRPr="00775168">
        <w:rPr>
          <w:rFonts w:ascii="Times New Roman" w:hAnsi="Times New Roman"/>
        </w:rPr>
        <w:t xml:space="preserve"> 2 + by semi-quantitative methods (e.g., urine dipstick), 24-hour urine protein quantification test will be performed; within 14 days prior to enrollment, on Day 7 and Day 21 of Cycle 1, and on Day 21 of every other cycle (odd cycles) thereafter, at check-out visit, and on Day 21 after treatment.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[11]. Fecal routine: occult blood. Check-out visit will be performed within 14 days prior to enrollment, on Day 21 of Cycle 1, and on Day 21 of every other cycle (odd cycle) thereafter.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[12]. Blood biochemistry: total bilirubin, conjugated bilirubin, ALT, AST, AKP, r-GT, total protein, albumin, urea nitrogen, creatinine, uric acid, blood glucose, triglyceride, cholesterol, potassium, sodium, chloride, calcium and phosphorus; within 14 days prior to enrollment, on Day 7 and Day 21 of Cycle 1, and on Day 21 of every two cycles (odd cycles) thereafter, check-out visit and on Day 21 after treatment.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[13]. Coagulation function: PT, APTT, TT, Fbg, INR; within 14 days prior to enrollment, on Day 7 and Day 21 of Cycle 1, and on Day 21 of every other cycle (odd cycle) thereafter, enrollment visit will be performed.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[14]. CEA test: To detect the serum CEA level, it should be performed before the first dose (14 days before enrollment), on Day 21 of Cycle 1, and on Day 21 at the </w:t>
      </w:r>
      <w:r w:rsidRPr="00775168">
        <w:rPr>
          <w:rFonts w:ascii="Times New Roman" w:hAnsi="Times New Roman"/>
        </w:rPr>
        <w:lastRenderedPageBreak/>
        <w:t xml:space="preserve">end of every two weeks thereafter, and at the appearance of disease progression (within 3 days after imaging assessment). </w:t>
      </w:r>
    </w:p>
    <w:p w:rsidR="00743320" w:rsidRPr="00775168" w:rsidRDefault="00DF7F26">
      <w:pPr>
        <w:pStyle w:val="P68B1DB1-a055"/>
        <w:rPr>
          <w:rFonts w:ascii="Times New Roman" w:hAnsi="Times New Roman" w:cs="Calibri" w:hint="default"/>
        </w:rPr>
      </w:pPr>
      <w:r w:rsidRPr="00775168">
        <w:rPr>
          <w:rFonts w:ascii="Times New Roman" w:hAnsi="Times New Roman"/>
        </w:rPr>
        <w:t>[15]. Tumor marker detection (collected before administration): To detect the expression of related cytokines in the blood, -8ml blood was collected in EDTA blood collection tube, and the upper serum was collected according to the SOP of centrifugation in the respective hospital, completely recorded and stored in a -70</w:t>
      </w:r>
      <w:r w:rsidRPr="00775168">
        <w:rPr>
          <w:rFonts w:ascii="Times New Roman" w:hAnsi="Times New Roman"/>
        </w:rPr>
        <w:t>℃</w:t>
      </w:r>
      <w:r w:rsidRPr="00775168">
        <w:rPr>
          <w:rFonts w:ascii="Times New Roman" w:hAnsi="Times New Roman"/>
        </w:rPr>
        <w:t xml:space="preserve"> cryogenic refrigerator; </w:t>
      </w:r>
    </w:p>
    <w:p w:rsidR="00743320" w:rsidRPr="00775168" w:rsidRDefault="00DF7F26">
      <w:pPr>
        <w:rPr>
          <w:rFonts w:cs="Calibri"/>
        </w:rPr>
      </w:pPr>
      <w:r w:rsidRPr="00775168">
        <w:rPr>
          <w:rFonts w:cs="Calibri"/>
        </w:rPr>
        <w:t xml:space="preserve">[16]. Plasma EGFR-T790M detection (not mandatory, according to the patient's wishes, the patient may not undergo this examination): In order to extract free tumor DNA in plasma and detect gene mutation status, blood samples were collected within 14 days before enrollment and sent to the clinical laboratory. EGFR mutation detection was performed according to the sop of blood centrifugation and detection in each hospital, and the presence or absence of T790M mutation was recorded.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[17]. 12 ECG: Within 14 days before enrollment and on Day 21 of every other cycle (odd cycle), patients are sent for follow-up visit. If ECG abnormalities are found, 2 additional confirmations are required (QTc interval time should be indicated at an interval of 5 minutes).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[18]. Before enrollment, 14 patients were examined once, and this study was supplemented only when symptoms such as precordial pain and palpitation and ECG abnormalities occurred in the future.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[19]. Echocardiography: One examination was performed 14 times before enrollment, and this examination should be supplemented only when clinically significant ECG abnormalities occur during treatment.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[20]. Hepatitis B and C tests: two and a half pairs of hepatitis B tests, if the test results are abnormal, virus replication (HBA DNA) test should be performed; hepatitis C virus antibody (anti-HCV) test should be performed.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[21]. Pregnancy testing is limited to women of childbearing age. </w:t>
      </w:r>
    </w:p>
    <w:p w:rsidR="00743320" w:rsidRPr="00775168" w:rsidRDefault="00DF7F26">
      <w:pPr>
        <w:rPr>
          <w:rFonts w:cs="Calibri"/>
        </w:rPr>
      </w:pPr>
      <w:r w:rsidRPr="00775168">
        <w:rPr>
          <w:rFonts w:cs="Calibri"/>
        </w:rPr>
        <w:t xml:space="preserve">[22]. Imaging examination: Including chest, abdomen and brain CT or MRI. If the patient had no brain metastasis before enrollment, brain examination may not be performed during the screening period. The CT/MRI scan results obtained before signing the informed consent form can be used for tumor assessment during the screening period as long as they meet the requirements. Bone scan is required when there is clinical suspicion of bone metastasis. Patients with stable brain metastasis should be confirmed to have no cerebral hemorrhage within 28 days before randomization.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Imaging examination during the treatment period should be performed on the chest and abdomen lesions confirmed at baseline within the same conditions as the baseline examination (slice thickness, use of contrast agent, etc.) on Day 21 of Cycle 1 and on Day 21 of every two cycles (odd cycles) thereafter; other lesions found at baseline or new lesions suspected at a later stage should also be examined when appropriate. Timely imaging examination is required when the subjects leave the group for any reason.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The allowable window for the imaging schedule is </w:t>
      </w:r>
      <w:r w:rsidRPr="00775168">
        <w:rPr>
          <w:rFonts w:ascii="Times New Roman" w:hAnsi="Times New Roman"/>
        </w:rPr>
        <w:t>±</w:t>
      </w:r>
      <w:r w:rsidRPr="00775168">
        <w:rPr>
          <w:rFonts w:ascii="Times New Roman" w:hAnsi="Times New Roman"/>
        </w:rPr>
        <w:t xml:space="preserve"> 7 days. Unscheduled imaging may be performed when disease progression is suspected (e.g., symptomatic deterioration). In addition to disease progression confirmed by imaging, subjects who discontinue study treatment for other reasons should have imaging evaluation at </w:t>
      </w:r>
      <w:r w:rsidRPr="00775168">
        <w:rPr>
          <w:rFonts w:ascii="Times New Roman" w:hAnsi="Times New Roman"/>
        </w:rPr>
        <w:lastRenderedPageBreak/>
        <w:t xml:space="preserve">the end of treatment, and tumor response should be followed every 8 weeks after the end of study until disease progression is documented or new tumor treatment is initiated. </w:t>
      </w:r>
    </w:p>
    <w:p w:rsidR="00743320" w:rsidRPr="00775168" w:rsidRDefault="00DF7F26">
      <w:pPr>
        <w:rPr>
          <w:rFonts w:cs="Calibri"/>
        </w:rPr>
      </w:pPr>
      <w:r w:rsidRPr="00775168">
        <w:rPr>
          <w:rFonts w:cs="Calibri"/>
        </w:rPr>
        <w:t xml:space="preserve">[23]. Quality of life score: The questionnaire was completed by the subjects themselves. However, if the subject is unable to read or write by himself, it may be performed by an authorized staff member or guardian. Quality of life score should be performed within 14 days prior to enrollment, on Day 21 of Cycle 1, on Day 21 of every other cycle (odd cycle) thereafter, at the end of study and on Day 21 after treatment. </w:t>
      </w:r>
    </w:p>
    <w:p w:rsidR="00743320" w:rsidRPr="00775168" w:rsidRDefault="00DF7F26">
      <w:pPr>
        <w:rPr>
          <w:rFonts w:cs="Calibri"/>
        </w:rPr>
      </w:pPr>
      <w:r w:rsidRPr="00775168">
        <w:rPr>
          <w:rFonts w:cs="Calibri"/>
        </w:rPr>
        <w:t xml:space="preserve">[24]. Blood pressure monitoring: The blood pressure monitoring was completed by the patients themselves and recorded in the patient diary card. The blood pressure was measured at least 3 times a week in the first 2 cycles. If the blood pressure was abnormal, the blood pressure was followed up every day. If the blood pressure was normal, the blood pressure was measured twice a week after 2 cycles. In addition, during each follow-up visit, the investigator measured the blood pressure. During blood pressure measurement, smoking and coffee drinking were prohibited within 30 minutes before measurement. The patient rested quietly for at least 10 minutes. During measurement, the patient sat with the elbow at the same level as the heart. The blood pressure measurement was performed on the same side each time. </w:t>
      </w:r>
    </w:p>
    <w:p w:rsidR="00743320" w:rsidRPr="00775168" w:rsidRDefault="00DF7F26">
      <w:pPr>
        <w:rPr>
          <w:rFonts w:cs="Calibri"/>
        </w:rPr>
      </w:pPr>
      <w:r w:rsidRPr="00775168">
        <w:rPr>
          <w:rFonts w:cs="Calibri"/>
        </w:rPr>
        <w:t xml:space="preserve">[25]. Adverse events: Adverse events were recorded from the time of the first dose of study drug until at least 21 days after administration and were followed up until resolution or stabilization. </w:t>
      </w:r>
    </w:p>
    <w:p w:rsidR="00743320" w:rsidRPr="00775168" w:rsidRDefault="00DF7F26">
      <w:pPr>
        <w:rPr>
          <w:rFonts w:cs="Calibri"/>
        </w:rPr>
      </w:pPr>
      <w:r w:rsidRPr="00775168">
        <w:rPr>
          <w:rFonts w:cs="Calibri"/>
        </w:rPr>
        <w:t xml:space="preserve">[26]. Documentation of concomitant medications: Concomitant medications and treatments were recorded within 28 days prior to enrollment and during the study. Once a subject has discontinued trial treatment, only concomitant medications and treatments used for new or unresolved AEs related to trial treatment should be recorded. </w:t>
      </w:r>
    </w:p>
    <w:p w:rsidR="00743320" w:rsidRPr="00775168" w:rsidRDefault="00DF7F26">
      <w:pPr>
        <w:rPr>
          <w:rFonts w:cs="Calibri"/>
        </w:rPr>
      </w:pPr>
      <w:r w:rsidRPr="00775168">
        <w:rPr>
          <w:rFonts w:cs="Calibri"/>
        </w:rPr>
        <w:t xml:space="preserve">[27]. Study drug compliance: On the first day of each treatment cycle, the drug dose, count, and compliance of the previous cycle were calculated and recorded in the CRF. </w:t>
      </w:r>
    </w:p>
    <w:p w:rsidR="00743320" w:rsidRPr="00775168" w:rsidRDefault="00DF7F26">
      <w:pPr>
        <w:rPr>
          <w:rFonts w:cs="Calibri"/>
        </w:rPr>
      </w:pPr>
      <w:r w:rsidRPr="00775168">
        <w:rPr>
          <w:rFonts w:cs="Calibri"/>
        </w:rPr>
        <w:t xml:space="preserve">[28]. Survival follow-up: After discontinuation of study treatment, survival status and subsequent anti-tumor treatment can be collected by clinical follow-up or telephone follow-up every 8 weeks until death.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[29]. Time to progression: For patients with non-radiographic evidence of progression (unacceptable, otherwise), radiographic assessments should continue to be performed every 8 weeks until disease progression, initiation of other tumor therapy, death, or the end of study. </w:t>
      </w:r>
    </w:p>
    <w:p w:rsidR="00743320" w:rsidRPr="00775168" w:rsidRDefault="00DF7F26">
      <w:pPr>
        <w:pStyle w:val="P68B1DB1-a055"/>
        <w:rPr>
          <w:rFonts w:ascii="Times New Roman" w:hAnsi="Times New Roman" w:cs="Calibri" w:hint="default"/>
        </w:rPr>
      </w:pPr>
      <w:r w:rsidRPr="00775168">
        <w:rPr>
          <w:rFonts w:ascii="Times New Roman" w:hAnsi="Times New Roman"/>
        </w:rPr>
        <w:t xml:space="preserve">[30]. Survival follow-up recorded tumor treatment. </w:t>
      </w:r>
    </w:p>
    <w:p w:rsidR="00743320" w:rsidRPr="00775168" w:rsidRDefault="00743320">
      <w:pPr>
        <w:rPr>
          <w:rFonts w:cs="Calibri"/>
        </w:rPr>
      </w:pPr>
    </w:p>
    <w:p w:rsidR="00743320" w:rsidRPr="00775168" w:rsidRDefault="00743320">
      <w:pPr>
        <w:rPr>
          <w:rFonts w:cs="Calibri"/>
        </w:rPr>
      </w:pPr>
    </w:p>
    <w:p w:rsidR="00743320" w:rsidRPr="00775168" w:rsidRDefault="00743320">
      <w:pPr>
        <w:rPr>
          <w:rFonts w:cs="Calibri"/>
        </w:rPr>
      </w:pPr>
    </w:p>
    <w:p w:rsidR="00743320" w:rsidRPr="00775168" w:rsidRDefault="00743320">
      <w:pPr>
        <w:rPr>
          <w:rFonts w:cs="Calibri"/>
        </w:rPr>
      </w:pPr>
    </w:p>
    <w:p w:rsidR="00743320" w:rsidRPr="00775168" w:rsidRDefault="00743320">
      <w:pPr>
        <w:rPr>
          <w:rFonts w:cs="Calibri"/>
        </w:rPr>
      </w:pPr>
    </w:p>
    <w:p w:rsidR="00743320" w:rsidRPr="00775168" w:rsidRDefault="00743320">
      <w:pPr>
        <w:rPr>
          <w:rFonts w:cs="Calibri"/>
        </w:rPr>
      </w:pPr>
    </w:p>
    <w:p w:rsidR="00743320" w:rsidRPr="00775168" w:rsidRDefault="00743320">
      <w:pPr>
        <w:rPr>
          <w:rFonts w:cs="Calibri"/>
        </w:rPr>
      </w:pPr>
    </w:p>
    <w:p w:rsidR="00743320" w:rsidRPr="00775168" w:rsidRDefault="00DF7F26">
      <w:pPr>
        <w:pStyle w:val="P68B1DB1-146"/>
        <w:rPr>
          <w:rFonts w:ascii="Times New Roman" w:hAnsi="Times New Roman" w:cs="Times New Roman" w:hint="default"/>
        </w:rPr>
      </w:pPr>
      <w:bookmarkStart w:id="17" w:name="_Toc178589652"/>
      <w:bookmarkStart w:id="18" w:name="_Toc512940916"/>
      <w:bookmarkStart w:id="19" w:name="_Toc512941677"/>
      <w:r w:rsidRPr="00775168">
        <w:rPr>
          <w:rFonts w:ascii="Times New Roman" w:hAnsi="Times New Roman"/>
        </w:rPr>
        <w:t>References</w:t>
      </w:r>
      <w:bookmarkEnd w:id="17"/>
      <w:r w:rsidRPr="00775168">
        <w:rPr>
          <w:rFonts w:ascii="Times New Roman" w:hAnsi="Times New Roman"/>
        </w:rPr>
        <w:t xml:space="preserve"> </w:t>
      </w:r>
      <w:bookmarkEnd w:id="18"/>
      <w:bookmarkEnd w:id="19"/>
    </w:p>
    <w:p w:rsidR="00743320" w:rsidRPr="00775168" w:rsidRDefault="00743320">
      <w:pPr>
        <w:jc w:val="center"/>
        <w:rPr>
          <w:b/>
          <w:sz w:val="24"/>
        </w:rPr>
      </w:pPr>
    </w:p>
    <w:p w:rsidR="00743320" w:rsidRPr="00775168" w:rsidRDefault="00DF7F26">
      <w:pPr>
        <w:pStyle w:val="P68B1DB1-EndNoteBibliography56"/>
      </w:pPr>
      <w:bookmarkStart w:id="20" w:name="_ENREF_1"/>
      <w:r w:rsidRPr="00775168">
        <w:t xml:space="preserve">1. Yang JJ, Chen HJ, Yan HH, Zhang XC, Zhou Q, Su J, et al. Clinical modes of EGFR tyrosine kinase inhibitor failure and subsequent management in non-advanced small cell lung cancer. Lung cancer. 2013; 79 (1): 33-9. </w:t>
      </w:r>
      <w:bookmarkEnd w:id="20"/>
    </w:p>
    <w:p w:rsidR="00743320" w:rsidRPr="00775168" w:rsidRDefault="00DF7F26">
      <w:pPr>
        <w:pStyle w:val="P68B1DB1-EndNoteBibliography56"/>
      </w:pPr>
      <w:bookmarkStart w:id="21" w:name="_ENREF_2"/>
      <w:r w:rsidRPr="00775168">
        <w:t xml:space="preserve">2. Park K, Yu CJ, Kim SW, Lin MC, Sriuranpong V, Tsai CM, et al. First-Line Erlotinib Until Therapy and Beyond Response Evaluation Criteria in Solid Tumors Progression in Asian Patients With Epidermal Growth Factor Receptor Mutation-Positive Non-Small-Cell Lung Cancer: The ASPIRATION Study. JAMA oncology. 2016; 2 (3): 305-12. </w:t>
      </w:r>
      <w:bookmarkEnd w:id="21"/>
    </w:p>
    <w:p w:rsidR="00743320" w:rsidRPr="00775168" w:rsidRDefault="00DF7F26">
      <w:pPr>
        <w:pStyle w:val="P68B1DB1-EndNoteBibliography56"/>
      </w:pPr>
      <w:bookmarkStart w:id="22" w:name="_ENREF_3"/>
      <w:r w:rsidRPr="00775168">
        <w:t xml:space="preserve">3. Soria J-C, Wu Y-L, Nakagawa K, Kim S-W, J-Yang J, Ahn M-J, et al. Gefitinib plus chemotherapy versus placebo plus chemotherapy in EGFR-mutation-positive non-small-cell lung cancer after progression on gefitinib (IMPRESS): a phase 3 randomised first-line trial. The Lancet Oncology. 2015; 16 (8): 990-8. </w:t>
      </w:r>
      <w:bookmarkEnd w:id="22"/>
    </w:p>
    <w:p w:rsidR="00743320" w:rsidRPr="00775168" w:rsidRDefault="00743320"/>
    <w:p w:rsidR="00743320" w:rsidRPr="00775168" w:rsidRDefault="00743320"/>
    <w:p w:rsidR="00743320" w:rsidRPr="00775168" w:rsidRDefault="00743320"/>
    <w:p w:rsidR="00743320" w:rsidRPr="00775168" w:rsidRDefault="00743320"/>
    <w:p w:rsidR="00743320" w:rsidRPr="00775168" w:rsidRDefault="00743320"/>
    <w:p w:rsidR="00743320" w:rsidRPr="00775168" w:rsidRDefault="00743320"/>
    <w:p w:rsidR="00743320" w:rsidRPr="00775168" w:rsidRDefault="00743320"/>
    <w:p w:rsidR="00743320" w:rsidRPr="00775168" w:rsidRDefault="00743320"/>
    <w:p w:rsidR="00743320" w:rsidRPr="00775168" w:rsidRDefault="00743320"/>
    <w:p w:rsidR="00743320" w:rsidRPr="00775168" w:rsidRDefault="00743320"/>
    <w:p w:rsidR="00743320" w:rsidRPr="00775168" w:rsidRDefault="00743320">
      <w:pPr>
        <w:sectPr w:rsidR="00743320" w:rsidRPr="00775168">
          <w:pgSz w:w="16838" w:h="11906" w:orient="landscape"/>
          <w:pgMar w:top="1800" w:right="1440" w:bottom="1800" w:left="1440" w:header="851" w:footer="992" w:gutter="0"/>
          <w:cols w:space="425"/>
          <w:docGrid w:type="lines" w:linePitch="312"/>
        </w:sectPr>
      </w:pPr>
    </w:p>
    <w:p w:rsidR="00743320" w:rsidRPr="00775168" w:rsidRDefault="00DF7F26">
      <w:pPr>
        <w:pStyle w:val="P68B1DB1-146"/>
        <w:rPr>
          <w:rFonts w:ascii="Times New Roman" w:hAnsi="Times New Roman" w:cs="Times New Roman" w:hint="default"/>
        </w:rPr>
      </w:pPr>
      <w:bookmarkStart w:id="23" w:name="_Toc178589653"/>
      <w:bookmarkStart w:id="24" w:name="_Toc512941678"/>
      <w:bookmarkStart w:id="25" w:name="_Toc406587722"/>
      <w:bookmarkStart w:id="26" w:name="_Toc512940917"/>
      <w:r w:rsidRPr="00775168">
        <w:rPr>
          <w:rFonts w:ascii="Times New Roman" w:hAnsi="Times New Roman"/>
        </w:rPr>
        <w:lastRenderedPageBreak/>
        <w:t>List of Abbreviations</w:t>
      </w:r>
      <w:bookmarkEnd w:id="23"/>
      <w:r w:rsidRPr="00775168">
        <w:rPr>
          <w:rFonts w:ascii="Times New Roman" w:hAnsi="Times New Roman"/>
        </w:rPr>
        <w:t xml:space="preserve"> </w:t>
      </w:r>
      <w:bookmarkEnd w:id="24"/>
      <w:bookmarkEnd w:id="25"/>
      <w:bookmarkEnd w:id="26"/>
    </w:p>
    <w:tbl>
      <w:tblPr>
        <w:tblW w:w="9242" w:type="dxa"/>
        <w:tblInd w:w="2" w:type="dxa"/>
        <w:tblBorders>
          <w:top w:val="single" w:sz="4" w:space="0" w:color="auto"/>
          <w:bottom w:val="single" w:sz="4" w:space="0" w:color="auto"/>
        </w:tblBorders>
        <w:tblLayout w:type="fixed"/>
        <w:tblCellMar>
          <w:top w:w="57" w:type="dxa"/>
          <w:bottom w:w="57" w:type="dxa"/>
        </w:tblCellMar>
        <w:tblLook w:val="04A0" w:firstRow="1" w:lastRow="0" w:firstColumn="1" w:lastColumn="0" w:noHBand="0" w:noVBand="1"/>
      </w:tblPr>
      <w:tblGrid>
        <w:gridCol w:w="4786"/>
        <w:gridCol w:w="4456"/>
      </w:tblGrid>
      <w:tr w:rsidR="00743320" w:rsidRPr="00775168">
        <w:trPr>
          <w:tblHeader/>
        </w:trPr>
        <w:tc>
          <w:tcPr>
            <w:tcW w:w="4786" w:type="dxa"/>
            <w:tcBorders>
              <w:top w:val="single" w:sz="4" w:space="0" w:color="auto"/>
              <w:bottom w:val="single" w:sz="4" w:space="0" w:color="auto"/>
            </w:tcBorders>
            <w:vAlign w:val="center"/>
          </w:tcPr>
          <w:p w:rsidR="00743320" w:rsidRPr="00775168" w:rsidRDefault="00DF7F26">
            <w:pPr>
              <w:pStyle w:val="P68B1DB1-a057"/>
              <w:rPr>
                <w:rFonts w:hint="default"/>
              </w:rPr>
            </w:pPr>
            <w:r w:rsidRPr="00775168">
              <w:t xml:space="preserve">Abbreviations and full spelling </w:t>
            </w:r>
          </w:p>
        </w:tc>
        <w:tc>
          <w:tcPr>
            <w:tcW w:w="4456" w:type="dxa"/>
            <w:tcBorders>
              <w:top w:val="single" w:sz="4" w:space="0" w:color="auto"/>
              <w:bottom w:val="single" w:sz="4" w:space="0" w:color="auto"/>
            </w:tcBorders>
            <w:vAlign w:val="center"/>
          </w:tcPr>
          <w:p w:rsidR="00743320" w:rsidRPr="00775168" w:rsidRDefault="00DF7F26">
            <w:pPr>
              <w:pStyle w:val="P68B1DB1-a057"/>
              <w:rPr>
                <w:rFonts w:hint="default"/>
              </w:rPr>
            </w:pPr>
            <w:r w:rsidRPr="00775168">
              <w:t xml:space="preserve">Chinese </w:t>
            </w:r>
          </w:p>
        </w:tc>
      </w:tr>
      <w:tr w:rsidR="00743320" w:rsidRPr="00775168">
        <w:tc>
          <w:tcPr>
            <w:tcW w:w="4786" w:type="dxa"/>
            <w:tcBorders>
              <w:top w:val="nil"/>
            </w:tcBorders>
            <w:vAlign w:val="center"/>
          </w:tcPr>
          <w:p w:rsidR="00743320" w:rsidRPr="00775168" w:rsidRDefault="00DF7F26">
            <w:r w:rsidRPr="00775168">
              <w:t xml:space="preserve">ACE-I (Angiotensin Converting Enzyme Inhibitors) </w:t>
            </w:r>
          </w:p>
        </w:tc>
        <w:tc>
          <w:tcPr>
            <w:tcW w:w="4456" w:type="dxa"/>
            <w:tcBorders>
              <w:top w:val="nil"/>
            </w:tcBorders>
            <w:vAlign w:val="center"/>
          </w:tcPr>
          <w:p w:rsidR="00743320" w:rsidRPr="00775168" w:rsidRDefault="00DF7F26">
            <w:pPr>
              <w:pStyle w:val="P68B1DB1-a08"/>
              <w:rPr>
                <w:rFonts w:hint="default"/>
              </w:rPr>
            </w:pPr>
            <w:r w:rsidRPr="00775168">
              <w:t xml:space="preserve">Angiotensin-converting enzyme inhibitor </w:t>
            </w:r>
          </w:p>
        </w:tc>
      </w:tr>
      <w:tr w:rsidR="00743320" w:rsidRPr="00775168">
        <w:tc>
          <w:tcPr>
            <w:tcW w:w="4786" w:type="dxa"/>
            <w:vAlign w:val="center"/>
          </w:tcPr>
          <w:p w:rsidR="00743320" w:rsidRPr="00775168" w:rsidRDefault="00DF7F26">
            <w:r w:rsidRPr="00775168">
              <w:t xml:space="preserve">AE </w:t>
            </w:r>
          </w:p>
        </w:tc>
        <w:tc>
          <w:tcPr>
            <w:tcW w:w="4456" w:type="dxa"/>
            <w:vAlign w:val="center"/>
          </w:tcPr>
          <w:p w:rsidR="00743320" w:rsidRPr="00775168" w:rsidRDefault="00DF7F26">
            <w:pPr>
              <w:pStyle w:val="P68B1DB1-a058"/>
              <w:rPr>
                <w:rFonts w:hint="default"/>
              </w:rPr>
            </w:pPr>
            <w:r w:rsidRPr="00775168">
              <w:t xml:space="preserve">Adverse Event </w:t>
            </w:r>
          </w:p>
        </w:tc>
      </w:tr>
      <w:tr w:rsidR="00743320" w:rsidRPr="00775168">
        <w:tc>
          <w:tcPr>
            <w:tcW w:w="4786" w:type="dxa"/>
            <w:vAlign w:val="center"/>
          </w:tcPr>
          <w:p w:rsidR="00743320" w:rsidRPr="00775168" w:rsidRDefault="00DF7F26">
            <w:r w:rsidRPr="00775168">
              <w:t xml:space="preserve">AKP (Alkline Phosphatase) </w:t>
            </w:r>
          </w:p>
        </w:tc>
        <w:tc>
          <w:tcPr>
            <w:tcW w:w="4456" w:type="dxa"/>
            <w:vAlign w:val="center"/>
          </w:tcPr>
          <w:p w:rsidR="00743320" w:rsidRPr="00775168" w:rsidRDefault="00DF7F26">
            <w:pPr>
              <w:pStyle w:val="P68B1DB1-a08"/>
              <w:rPr>
                <w:rFonts w:hint="default"/>
              </w:rPr>
            </w:pPr>
            <w:r w:rsidRPr="00775168">
              <w:t xml:space="preserve">Alkaline phosphatase </w:t>
            </w:r>
          </w:p>
        </w:tc>
      </w:tr>
      <w:tr w:rsidR="00743320" w:rsidRPr="00775168">
        <w:tc>
          <w:tcPr>
            <w:tcW w:w="4786" w:type="dxa"/>
            <w:vAlign w:val="center"/>
          </w:tcPr>
          <w:p w:rsidR="00743320" w:rsidRPr="00775168" w:rsidRDefault="00DF7F26">
            <w:r w:rsidRPr="00775168">
              <w:t xml:space="preserve">ALT (alanine amiotransferase) </w:t>
            </w:r>
          </w:p>
        </w:tc>
        <w:tc>
          <w:tcPr>
            <w:tcW w:w="4456" w:type="dxa"/>
            <w:vAlign w:val="center"/>
          </w:tcPr>
          <w:p w:rsidR="00743320" w:rsidRPr="00775168" w:rsidRDefault="00DF7F26">
            <w:pPr>
              <w:pStyle w:val="P68B1DB1-a08"/>
              <w:rPr>
                <w:rFonts w:hint="default"/>
              </w:rPr>
            </w:pPr>
            <w:r w:rsidRPr="00775168">
              <w:t xml:space="preserve">Alanine aminotransferase (Glutamic-pyruvic transaminase) </w:t>
            </w:r>
          </w:p>
        </w:tc>
      </w:tr>
      <w:tr w:rsidR="00743320" w:rsidRPr="00775168">
        <w:tc>
          <w:tcPr>
            <w:tcW w:w="4786" w:type="dxa"/>
            <w:vAlign w:val="center"/>
          </w:tcPr>
          <w:p w:rsidR="00743320" w:rsidRPr="00775168" w:rsidRDefault="00DF7F26">
            <w:r w:rsidRPr="00775168">
              <w:t xml:space="preserve">ANC (Absolute Neutrophil Count) </w:t>
            </w:r>
          </w:p>
        </w:tc>
        <w:tc>
          <w:tcPr>
            <w:tcW w:w="4456" w:type="dxa"/>
            <w:vAlign w:val="center"/>
          </w:tcPr>
          <w:p w:rsidR="00743320" w:rsidRPr="00775168" w:rsidRDefault="00DF7F26">
            <w:pPr>
              <w:pStyle w:val="P68B1DB1-a08"/>
              <w:rPr>
                <w:rFonts w:hint="default"/>
              </w:rPr>
            </w:pPr>
            <w:r w:rsidRPr="00775168">
              <w:t xml:space="preserve">Neutrophil count </w:t>
            </w:r>
          </w:p>
        </w:tc>
      </w:tr>
      <w:tr w:rsidR="00743320" w:rsidRPr="00775168">
        <w:tc>
          <w:tcPr>
            <w:tcW w:w="4786" w:type="dxa"/>
            <w:vAlign w:val="center"/>
          </w:tcPr>
          <w:p w:rsidR="00743320" w:rsidRPr="00775168" w:rsidRDefault="00DF7F26">
            <w:r w:rsidRPr="00775168">
              <w:t xml:space="preserve">Activated Partial Thromboplastin Time </w:t>
            </w:r>
          </w:p>
        </w:tc>
        <w:tc>
          <w:tcPr>
            <w:tcW w:w="4456" w:type="dxa"/>
            <w:vAlign w:val="center"/>
          </w:tcPr>
          <w:p w:rsidR="00743320" w:rsidRPr="00775168" w:rsidRDefault="00DF7F26">
            <w:r w:rsidRPr="00775168">
              <w:rPr>
                <w:rFonts w:cs="宋体" w:hint="eastAsia"/>
              </w:rPr>
              <w:t xml:space="preserve">Activated partial thromboplastin time </w:t>
            </w:r>
          </w:p>
        </w:tc>
      </w:tr>
      <w:tr w:rsidR="00743320" w:rsidRPr="00775168">
        <w:tc>
          <w:tcPr>
            <w:tcW w:w="4786" w:type="dxa"/>
            <w:vAlign w:val="center"/>
          </w:tcPr>
          <w:p w:rsidR="00743320" w:rsidRPr="00775168" w:rsidRDefault="00DF7F26">
            <w:r w:rsidRPr="00775168">
              <w:t xml:space="preserve">AST (Aspartate Aminotransferase) </w:t>
            </w:r>
          </w:p>
        </w:tc>
        <w:tc>
          <w:tcPr>
            <w:tcW w:w="4456" w:type="dxa"/>
            <w:vAlign w:val="center"/>
          </w:tcPr>
          <w:p w:rsidR="00743320" w:rsidRPr="00775168" w:rsidRDefault="00DF7F26">
            <w:pPr>
              <w:pStyle w:val="P68B1DB1-a08"/>
              <w:rPr>
                <w:rFonts w:hint="default"/>
              </w:rPr>
            </w:pPr>
            <w:r w:rsidRPr="00775168">
              <w:t xml:space="preserve">Aspartate aminotransferase (Glutamic-oxaloacetic transaminase) </w:t>
            </w:r>
          </w:p>
        </w:tc>
      </w:tr>
      <w:tr w:rsidR="00743320" w:rsidRPr="00775168">
        <w:tc>
          <w:tcPr>
            <w:tcW w:w="4786" w:type="dxa"/>
            <w:vAlign w:val="center"/>
          </w:tcPr>
          <w:p w:rsidR="00743320" w:rsidRPr="00775168" w:rsidRDefault="00DF7F26">
            <w:r w:rsidRPr="00775168">
              <w:t xml:space="preserve">BIL (Bilirubin) </w:t>
            </w:r>
          </w:p>
        </w:tc>
        <w:tc>
          <w:tcPr>
            <w:tcW w:w="4456" w:type="dxa"/>
            <w:vAlign w:val="center"/>
          </w:tcPr>
          <w:p w:rsidR="00743320" w:rsidRPr="00775168" w:rsidRDefault="00DF7F26">
            <w:pPr>
              <w:pStyle w:val="P68B1DB1-a08"/>
              <w:rPr>
                <w:rFonts w:hint="default"/>
              </w:rPr>
            </w:pPr>
            <w:r w:rsidRPr="00775168">
              <w:t xml:space="preserve">Bilirubin </w:t>
            </w:r>
          </w:p>
        </w:tc>
      </w:tr>
      <w:tr w:rsidR="00743320" w:rsidRPr="00775168">
        <w:tc>
          <w:tcPr>
            <w:tcW w:w="4786" w:type="dxa"/>
            <w:vAlign w:val="center"/>
          </w:tcPr>
          <w:p w:rsidR="00743320" w:rsidRPr="00775168" w:rsidRDefault="00DF7F26">
            <w:r w:rsidRPr="00775168">
              <w:t xml:space="preserve">BUN (Blood Urea Nitrogen) </w:t>
            </w:r>
          </w:p>
        </w:tc>
        <w:tc>
          <w:tcPr>
            <w:tcW w:w="4456" w:type="dxa"/>
            <w:vAlign w:val="center"/>
          </w:tcPr>
          <w:p w:rsidR="00743320" w:rsidRPr="00775168" w:rsidRDefault="00DF7F26">
            <w:pPr>
              <w:pStyle w:val="P68B1DB1-a08"/>
              <w:rPr>
                <w:rFonts w:hint="default"/>
              </w:rPr>
            </w:pPr>
            <w:r w:rsidRPr="00775168">
              <w:t xml:space="preserve">Urea nitrogen </w:t>
            </w:r>
          </w:p>
        </w:tc>
      </w:tr>
      <w:tr w:rsidR="00743320" w:rsidRPr="00775168">
        <w:tc>
          <w:tcPr>
            <w:tcW w:w="4786" w:type="dxa"/>
            <w:vAlign w:val="center"/>
          </w:tcPr>
          <w:p w:rsidR="00743320" w:rsidRPr="00775168" w:rsidRDefault="00DF7F26">
            <w:r w:rsidRPr="00775168">
              <w:t xml:space="preserve">BSC Best Supportive Care </w:t>
            </w:r>
          </w:p>
        </w:tc>
        <w:tc>
          <w:tcPr>
            <w:tcW w:w="4456" w:type="dxa"/>
            <w:vAlign w:val="center"/>
          </w:tcPr>
          <w:p w:rsidR="00743320" w:rsidRPr="00775168" w:rsidRDefault="00DF7F26">
            <w:pPr>
              <w:pStyle w:val="P68B1DB1-a059"/>
              <w:rPr>
                <w:rFonts w:hint="default"/>
              </w:rPr>
            </w:pPr>
            <w:r w:rsidRPr="00775168">
              <w:t xml:space="preserve">Best supportive care </w:t>
            </w:r>
          </w:p>
        </w:tc>
      </w:tr>
      <w:tr w:rsidR="00743320" w:rsidRPr="00775168">
        <w:tc>
          <w:tcPr>
            <w:tcW w:w="4786" w:type="dxa"/>
            <w:vAlign w:val="center"/>
          </w:tcPr>
          <w:p w:rsidR="00743320" w:rsidRPr="00775168" w:rsidRDefault="00DF7F26">
            <w:r w:rsidRPr="00775168">
              <w:t xml:space="preserve">Cr (creatinine) </w:t>
            </w:r>
          </w:p>
        </w:tc>
        <w:tc>
          <w:tcPr>
            <w:tcW w:w="4456" w:type="dxa"/>
            <w:vAlign w:val="center"/>
          </w:tcPr>
          <w:p w:rsidR="00743320" w:rsidRPr="00775168" w:rsidRDefault="00DF7F26">
            <w:pPr>
              <w:pStyle w:val="P68B1DB1-a08"/>
              <w:rPr>
                <w:rFonts w:hint="default"/>
              </w:rPr>
            </w:pPr>
            <w:r w:rsidRPr="00775168">
              <w:t xml:space="preserve">Creatinine </w:t>
            </w:r>
          </w:p>
        </w:tc>
      </w:tr>
      <w:tr w:rsidR="00743320" w:rsidRPr="00775168">
        <w:tc>
          <w:tcPr>
            <w:tcW w:w="4786" w:type="dxa"/>
            <w:vAlign w:val="center"/>
          </w:tcPr>
          <w:p w:rsidR="00743320" w:rsidRPr="00775168" w:rsidRDefault="00DF7F26">
            <w:pPr>
              <w:pStyle w:val="P68B1DB1-a060"/>
            </w:pPr>
            <w:r w:rsidRPr="00775168">
              <w:t xml:space="preserve">CCr (Creatinine Clearance) </w:t>
            </w:r>
          </w:p>
        </w:tc>
        <w:tc>
          <w:tcPr>
            <w:tcW w:w="4456" w:type="dxa"/>
            <w:vAlign w:val="center"/>
          </w:tcPr>
          <w:p w:rsidR="00743320" w:rsidRPr="00775168" w:rsidRDefault="00DF7F26">
            <w:pPr>
              <w:pStyle w:val="P68B1DB1-a059"/>
              <w:rPr>
                <w:rFonts w:hint="default"/>
              </w:rPr>
            </w:pPr>
            <w:r w:rsidRPr="00775168">
              <w:t xml:space="preserve">Creatinine clearance </w:t>
            </w:r>
          </w:p>
        </w:tc>
      </w:tr>
      <w:tr w:rsidR="00743320" w:rsidRPr="00775168">
        <w:tc>
          <w:tcPr>
            <w:tcW w:w="4786" w:type="dxa"/>
            <w:vAlign w:val="center"/>
          </w:tcPr>
          <w:p w:rsidR="00743320" w:rsidRPr="00775168" w:rsidRDefault="00DF7F26">
            <w:r w:rsidRPr="00775168">
              <w:t xml:space="preserve">CR (Complete Response) </w:t>
            </w:r>
          </w:p>
        </w:tc>
        <w:tc>
          <w:tcPr>
            <w:tcW w:w="4456" w:type="dxa"/>
            <w:vAlign w:val="center"/>
          </w:tcPr>
          <w:p w:rsidR="00743320" w:rsidRPr="00775168" w:rsidRDefault="00DF7F26">
            <w:pPr>
              <w:pStyle w:val="P68B1DB1-a08"/>
              <w:rPr>
                <w:rFonts w:hint="default"/>
              </w:rPr>
            </w:pPr>
            <w:r w:rsidRPr="00775168">
              <w:t xml:space="preserve">Complete response </w:t>
            </w:r>
          </w:p>
        </w:tc>
      </w:tr>
      <w:tr w:rsidR="00743320" w:rsidRPr="00775168">
        <w:tc>
          <w:tcPr>
            <w:tcW w:w="4786" w:type="dxa"/>
            <w:vAlign w:val="center"/>
          </w:tcPr>
          <w:p w:rsidR="00743320" w:rsidRPr="00775168" w:rsidRDefault="00DF7F26">
            <w:r w:rsidRPr="00775168">
              <w:t xml:space="preserve">Case Report Form </w:t>
            </w:r>
          </w:p>
        </w:tc>
        <w:tc>
          <w:tcPr>
            <w:tcW w:w="4456" w:type="dxa"/>
            <w:vAlign w:val="center"/>
          </w:tcPr>
          <w:p w:rsidR="00743320" w:rsidRPr="00775168" w:rsidRDefault="00DF7F26">
            <w:pPr>
              <w:pStyle w:val="P68B1DB1-a08"/>
              <w:rPr>
                <w:rFonts w:hint="default"/>
              </w:rPr>
            </w:pPr>
            <w:r w:rsidRPr="00775168">
              <w:t xml:space="preserve">Case Report Form </w:t>
            </w:r>
          </w:p>
        </w:tc>
      </w:tr>
      <w:tr w:rsidR="00743320" w:rsidRPr="00775168">
        <w:tc>
          <w:tcPr>
            <w:tcW w:w="4786" w:type="dxa"/>
            <w:vAlign w:val="center"/>
          </w:tcPr>
          <w:p w:rsidR="00743320" w:rsidRPr="00775168" w:rsidRDefault="00DF7F26">
            <w:r w:rsidRPr="00775168">
              <w:t xml:space="preserve">CT (Computed Tomography) </w:t>
            </w:r>
          </w:p>
        </w:tc>
        <w:tc>
          <w:tcPr>
            <w:tcW w:w="4456" w:type="dxa"/>
            <w:vAlign w:val="center"/>
          </w:tcPr>
          <w:p w:rsidR="00743320" w:rsidRPr="00775168" w:rsidRDefault="00DF7F26">
            <w:pPr>
              <w:pStyle w:val="P68B1DB1-a058"/>
              <w:rPr>
                <w:rFonts w:hint="default"/>
              </w:rPr>
            </w:pPr>
            <w:r w:rsidRPr="00775168">
              <w:t xml:space="preserve">Computed tomography </w:t>
            </w:r>
          </w:p>
        </w:tc>
      </w:tr>
      <w:tr w:rsidR="00743320" w:rsidRPr="00775168">
        <w:tc>
          <w:tcPr>
            <w:tcW w:w="4786" w:type="dxa"/>
            <w:vAlign w:val="center"/>
          </w:tcPr>
          <w:p w:rsidR="00743320" w:rsidRPr="00775168" w:rsidRDefault="00DF7F26">
            <w:r w:rsidRPr="00775168">
              <w:t xml:space="preserve">CTC AE (Common Terminology Criteria for Adverse Events) </w:t>
            </w:r>
          </w:p>
        </w:tc>
        <w:tc>
          <w:tcPr>
            <w:tcW w:w="4456" w:type="dxa"/>
            <w:vAlign w:val="center"/>
          </w:tcPr>
          <w:p w:rsidR="00743320" w:rsidRPr="00775168" w:rsidRDefault="00DF7F26">
            <w:pPr>
              <w:pStyle w:val="P68B1DB1-a059"/>
              <w:rPr>
                <w:rFonts w:hint="default"/>
              </w:rPr>
            </w:pPr>
            <w:r w:rsidRPr="00775168">
              <w:t xml:space="preserve">Common Terminology Criteria for Adverse Events </w:t>
            </w:r>
          </w:p>
        </w:tc>
      </w:tr>
      <w:tr w:rsidR="00743320" w:rsidRPr="00775168">
        <w:tc>
          <w:tcPr>
            <w:tcW w:w="4786" w:type="dxa"/>
            <w:vAlign w:val="center"/>
          </w:tcPr>
          <w:p w:rsidR="00743320" w:rsidRPr="00775168" w:rsidRDefault="00DF7F26">
            <w:r w:rsidRPr="00775168">
              <w:t xml:space="preserve">China Food and Drug Administration </w:t>
            </w:r>
          </w:p>
        </w:tc>
        <w:tc>
          <w:tcPr>
            <w:tcW w:w="4456" w:type="dxa"/>
            <w:vAlign w:val="center"/>
          </w:tcPr>
          <w:p w:rsidR="00743320" w:rsidRPr="00775168" w:rsidRDefault="00DF7F26">
            <w:pPr>
              <w:pStyle w:val="P68B1DB1-a08"/>
              <w:rPr>
                <w:rFonts w:hint="default"/>
              </w:rPr>
            </w:pPr>
            <w:r w:rsidRPr="00775168">
              <w:t xml:space="preserve">China Food and Drug Administration </w:t>
            </w:r>
          </w:p>
        </w:tc>
      </w:tr>
      <w:tr w:rsidR="00743320" w:rsidRPr="00775168">
        <w:tc>
          <w:tcPr>
            <w:tcW w:w="4786" w:type="dxa"/>
            <w:vAlign w:val="center"/>
          </w:tcPr>
          <w:p w:rsidR="00743320" w:rsidRPr="00775168" w:rsidRDefault="00DF7F26">
            <w:r w:rsidRPr="00775168">
              <w:t xml:space="preserve">DCR (Disease Control Rate) </w:t>
            </w:r>
          </w:p>
        </w:tc>
        <w:tc>
          <w:tcPr>
            <w:tcW w:w="4456" w:type="dxa"/>
            <w:vAlign w:val="center"/>
          </w:tcPr>
          <w:p w:rsidR="00743320" w:rsidRPr="00775168" w:rsidRDefault="00DF7F26">
            <w:pPr>
              <w:pStyle w:val="P68B1DB1-a08"/>
              <w:rPr>
                <w:rFonts w:hint="default"/>
              </w:rPr>
            </w:pPr>
            <w:r w:rsidRPr="00775168">
              <w:t xml:space="preserve">Disease control rate </w:t>
            </w:r>
          </w:p>
        </w:tc>
      </w:tr>
      <w:tr w:rsidR="00743320" w:rsidRPr="00775168">
        <w:tc>
          <w:tcPr>
            <w:tcW w:w="4786" w:type="dxa"/>
            <w:vAlign w:val="center"/>
          </w:tcPr>
          <w:p w:rsidR="00743320" w:rsidRPr="00775168" w:rsidRDefault="00DF7F26">
            <w:r w:rsidRPr="00775168">
              <w:t xml:space="preserve">Dose Limiting Toxicity </w:t>
            </w:r>
          </w:p>
        </w:tc>
        <w:tc>
          <w:tcPr>
            <w:tcW w:w="4456" w:type="dxa"/>
            <w:vAlign w:val="center"/>
          </w:tcPr>
          <w:p w:rsidR="00743320" w:rsidRPr="00775168" w:rsidRDefault="00DF7F26">
            <w:pPr>
              <w:pStyle w:val="P68B1DB1-a08"/>
              <w:rPr>
                <w:rFonts w:hint="default"/>
              </w:rPr>
            </w:pPr>
            <w:r w:rsidRPr="00775168">
              <w:t xml:space="preserve">Dose limiting toxicity </w:t>
            </w:r>
          </w:p>
        </w:tc>
      </w:tr>
      <w:tr w:rsidR="00743320" w:rsidRPr="00775168">
        <w:tc>
          <w:tcPr>
            <w:tcW w:w="4786" w:type="dxa"/>
            <w:vAlign w:val="center"/>
          </w:tcPr>
          <w:p w:rsidR="00743320" w:rsidRPr="00775168" w:rsidRDefault="00DF7F26">
            <w:r w:rsidRPr="00775168">
              <w:t xml:space="preserve">DRQ (Data Request Query) </w:t>
            </w:r>
          </w:p>
        </w:tc>
        <w:tc>
          <w:tcPr>
            <w:tcW w:w="4456" w:type="dxa"/>
            <w:vAlign w:val="center"/>
          </w:tcPr>
          <w:p w:rsidR="00743320" w:rsidRPr="00775168" w:rsidRDefault="00DF7F26">
            <w:pPr>
              <w:pStyle w:val="P68B1DB1-a08"/>
              <w:rPr>
                <w:rFonts w:hint="default"/>
              </w:rPr>
            </w:pPr>
            <w:r w:rsidRPr="00775168">
              <w:t xml:space="preserve">Question and Answer Sheet </w:t>
            </w:r>
          </w:p>
        </w:tc>
      </w:tr>
      <w:tr w:rsidR="00743320" w:rsidRPr="00775168">
        <w:tc>
          <w:tcPr>
            <w:tcW w:w="4786" w:type="dxa"/>
            <w:vAlign w:val="center"/>
          </w:tcPr>
          <w:p w:rsidR="00743320" w:rsidRPr="00775168" w:rsidRDefault="00DF7F26">
            <w:r w:rsidRPr="00775168">
              <w:t xml:space="preserve">ECOG (Eastern Cooperative Oncology Group) </w:t>
            </w:r>
          </w:p>
        </w:tc>
        <w:tc>
          <w:tcPr>
            <w:tcW w:w="4456" w:type="dxa"/>
            <w:vAlign w:val="center"/>
          </w:tcPr>
          <w:p w:rsidR="00743320" w:rsidRPr="00775168" w:rsidRDefault="00DF7F26">
            <w:pPr>
              <w:pStyle w:val="P68B1DB1-a08"/>
              <w:rPr>
                <w:rFonts w:hint="default"/>
              </w:rPr>
            </w:pPr>
            <w:r w:rsidRPr="00775168">
              <w:t xml:space="preserve">Eastern Cooperative Oncology Group </w:t>
            </w:r>
          </w:p>
        </w:tc>
      </w:tr>
      <w:tr w:rsidR="00743320" w:rsidRPr="00775168">
        <w:tc>
          <w:tcPr>
            <w:tcW w:w="4786" w:type="dxa"/>
            <w:vAlign w:val="center"/>
          </w:tcPr>
          <w:p w:rsidR="00743320" w:rsidRPr="00775168" w:rsidRDefault="00DF7F26">
            <w:r w:rsidRPr="00775168">
              <w:t xml:space="preserve">EGFR (Epidermal Growth Factor Receptor) </w:t>
            </w:r>
          </w:p>
        </w:tc>
        <w:tc>
          <w:tcPr>
            <w:tcW w:w="4456" w:type="dxa"/>
            <w:vAlign w:val="center"/>
          </w:tcPr>
          <w:p w:rsidR="00743320" w:rsidRPr="00775168" w:rsidRDefault="00DF7F26">
            <w:pPr>
              <w:pStyle w:val="P68B1DB1-a08"/>
              <w:rPr>
                <w:rFonts w:hint="default"/>
              </w:rPr>
            </w:pPr>
            <w:r w:rsidRPr="00775168">
              <w:t xml:space="preserve">Epidermal growth factor receptor </w:t>
            </w:r>
          </w:p>
        </w:tc>
      </w:tr>
      <w:tr w:rsidR="00743320" w:rsidRPr="00775168">
        <w:tc>
          <w:tcPr>
            <w:tcW w:w="4786" w:type="dxa"/>
            <w:vAlign w:val="center"/>
          </w:tcPr>
          <w:p w:rsidR="00743320" w:rsidRPr="00775168" w:rsidRDefault="00DF7F26">
            <w:r w:rsidRPr="00775168">
              <w:t xml:space="preserve">EDC (Electronic Data Capturing) </w:t>
            </w:r>
          </w:p>
        </w:tc>
        <w:tc>
          <w:tcPr>
            <w:tcW w:w="4456" w:type="dxa"/>
            <w:vAlign w:val="center"/>
          </w:tcPr>
          <w:p w:rsidR="00743320" w:rsidRPr="00775168" w:rsidRDefault="00DF7F26">
            <w:pPr>
              <w:pStyle w:val="P68B1DB1-a059"/>
              <w:rPr>
                <w:rFonts w:hint="default"/>
              </w:rPr>
            </w:pPr>
            <w:r w:rsidRPr="00775168">
              <w:t xml:space="preserve">Electronic Data Capture </w:t>
            </w:r>
          </w:p>
        </w:tc>
      </w:tr>
      <w:tr w:rsidR="00743320" w:rsidRPr="00775168">
        <w:tc>
          <w:tcPr>
            <w:tcW w:w="4786" w:type="dxa"/>
            <w:vAlign w:val="center"/>
          </w:tcPr>
          <w:p w:rsidR="00743320" w:rsidRPr="00775168" w:rsidRDefault="00DF7F26">
            <w:r w:rsidRPr="00775168">
              <w:t xml:space="preserve">ECG (Electro Cardio Gram) </w:t>
            </w:r>
          </w:p>
        </w:tc>
        <w:tc>
          <w:tcPr>
            <w:tcW w:w="4456" w:type="dxa"/>
            <w:vAlign w:val="center"/>
          </w:tcPr>
          <w:p w:rsidR="00743320" w:rsidRPr="00775168" w:rsidRDefault="00DF7F26">
            <w:pPr>
              <w:pStyle w:val="P68B1DB1-a059"/>
              <w:rPr>
                <w:rFonts w:hint="default"/>
              </w:rPr>
            </w:pPr>
            <w:r w:rsidRPr="00775168">
              <w:t xml:space="preserve">Electrocardiogram </w:t>
            </w:r>
          </w:p>
        </w:tc>
      </w:tr>
      <w:tr w:rsidR="00743320" w:rsidRPr="00775168">
        <w:tc>
          <w:tcPr>
            <w:tcW w:w="4786" w:type="dxa"/>
            <w:vAlign w:val="center"/>
          </w:tcPr>
          <w:p w:rsidR="00743320" w:rsidRPr="00775168" w:rsidRDefault="00DF7F26">
            <w:pPr>
              <w:pStyle w:val="P68B1DB1-a060"/>
            </w:pPr>
            <w:r w:rsidRPr="00775168">
              <w:t xml:space="preserve">EORTC (The European Organization for Research and Treatment for Cancer) </w:t>
            </w:r>
          </w:p>
        </w:tc>
        <w:tc>
          <w:tcPr>
            <w:tcW w:w="4456" w:type="dxa"/>
            <w:vAlign w:val="center"/>
          </w:tcPr>
          <w:p w:rsidR="00743320" w:rsidRPr="00775168" w:rsidRDefault="00DF7F26">
            <w:pPr>
              <w:pStyle w:val="P68B1DB1-a059"/>
              <w:rPr>
                <w:rFonts w:hint="default"/>
              </w:rPr>
            </w:pPr>
            <w:r w:rsidRPr="00775168">
              <w:t xml:space="preserve">European Organisation for Research and Treatment of Cancer </w:t>
            </w:r>
          </w:p>
        </w:tc>
      </w:tr>
      <w:tr w:rsidR="00743320" w:rsidRPr="00775168">
        <w:tc>
          <w:tcPr>
            <w:tcW w:w="4786" w:type="dxa"/>
            <w:vAlign w:val="center"/>
          </w:tcPr>
          <w:p w:rsidR="00743320" w:rsidRPr="00775168" w:rsidRDefault="00DF7F26">
            <w:r w:rsidRPr="00775168">
              <w:t xml:space="preserve">Fbg (Fibrinogen) </w:t>
            </w:r>
          </w:p>
        </w:tc>
        <w:tc>
          <w:tcPr>
            <w:tcW w:w="4456" w:type="dxa"/>
            <w:vAlign w:val="center"/>
          </w:tcPr>
          <w:p w:rsidR="00743320" w:rsidRPr="00775168" w:rsidRDefault="00DF7F26">
            <w:pPr>
              <w:pStyle w:val="P68B1DB1-a08"/>
              <w:rPr>
                <w:rFonts w:hint="default"/>
              </w:rPr>
            </w:pPr>
            <w:r w:rsidRPr="00775168">
              <w:t xml:space="preserve">Fibrinogen </w:t>
            </w:r>
          </w:p>
        </w:tc>
      </w:tr>
      <w:tr w:rsidR="00743320" w:rsidRPr="00775168">
        <w:tc>
          <w:tcPr>
            <w:tcW w:w="4786" w:type="dxa"/>
            <w:vAlign w:val="center"/>
          </w:tcPr>
          <w:p w:rsidR="00743320" w:rsidRPr="00775168" w:rsidRDefault="00DF7F26">
            <w:r w:rsidRPr="00775168">
              <w:t xml:space="preserve">GCP (Good Clinical Practice) </w:t>
            </w:r>
          </w:p>
        </w:tc>
        <w:tc>
          <w:tcPr>
            <w:tcW w:w="4456" w:type="dxa"/>
            <w:vAlign w:val="center"/>
          </w:tcPr>
          <w:p w:rsidR="00743320" w:rsidRPr="00775168" w:rsidRDefault="00DF7F26">
            <w:pPr>
              <w:pStyle w:val="P68B1DB1-a08"/>
              <w:rPr>
                <w:rFonts w:hint="default"/>
              </w:rPr>
            </w:pPr>
            <w:r w:rsidRPr="00775168">
              <w:t xml:space="preserve">Good Clinical Practice </w:t>
            </w:r>
          </w:p>
        </w:tc>
      </w:tr>
      <w:tr w:rsidR="00743320" w:rsidRPr="00775168">
        <w:tc>
          <w:tcPr>
            <w:tcW w:w="4786" w:type="dxa"/>
            <w:vAlign w:val="center"/>
          </w:tcPr>
          <w:p w:rsidR="00743320" w:rsidRPr="00775168" w:rsidRDefault="00DF7F26">
            <w:r w:rsidRPr="00775168">
              <w:t xml:space="preserve">FAS (Full Analysis Set) </w:t>
            </w:r>
          </w:p>
        </w:tc>
        <w:tc>
          <w:tcPr>
            <w:tcW w:w="4456" w:type="dxa"/>
            <w:vAlign w:val="center"/>
          </w:tcPr>
          <w:p w:rsidR="00743320" w:rsidRPr="00775168" w:rsidRDefault="00DF7F26">
            <w:pPr>
              <w:pStyle w:val="P68B1DB1-a08"/>
              <w:rPr>
                <w:rFonts w:hint="default"/>
              </w:rPr>
            </w:pPr>
            <w:r w:rsidRPr="00775168">
              <w:t xml:space="preserve">Full Analysis Set </w:t>
            </w:r>
          </w:p>
        </w:tc>
      </w:tr>
      <w:tr w:rsidR="00743320" w:rsidRPr="00775168">
        <w:tc>
          <w:tcPr>
            <w:tcW w:w="4786" w:type="dxa"/>
            <w:vAlign w:val="center"/>
          </w:tcPr>
          <w:p w:rsidR="00743320" w:rsidRPr="00775168" w:rsidRDefault="00DF7F26">
            <w:r w:rsidRPr="00775168">
              <w:t xml:space="preserve">Glu (Glucose) </w:t>
            </w:r>
          </w:p>
        </w:tc>
        <w:tc>
          <w:tcPr>
            <w:tcW w:w="4456" w:type="dxa"/>
            <w:vAlign w:val="center"/>
          </w:tcPr>
          <w:p w:rsidR="00743320" w:rsidRPr="00775168" w:rsidRDefault="00DF7F26">
            <w:pPr>
              <w:pStyle w:val="P68B1DB1-a08"/>
              <w:rPr>
                <w:rFonts w:hint="default"/>
              </w:rPr>
            </w:pPr>
            <w:r w:rsidRPr="00775168">
              <w:t xml:space="preserve">Glucose </w:t>
            </w:r>
          </w:p>
        </w:tc>
      </w:tr>
      <w:tr w:rsidR="00743320" w:rsidRPr="00775168">
        <w:tc>
          <w:tcPr>
            <w:tcW w:w="4786" w:type="dxa"/>
            <w:vAlign w:val="center"/>
          </w:tcPr>
          <w:p w:rsidR="00743320" w:rsidRPr="00775168" w:rsidRDefault="00DF7F26">
            <w:r w:rsidRPr="00775168">
              <w:t xml:space="preserve">Hb (Hemoglobin) </w:t>
            </w:r>
          </w:p>
        </w:tc>
        <w:tc>
          <w:tcPr>
            <w:tcW w:w="4456" w:type="dxa"/>
            <w:vAlign w:val="center"/>
          </w:tcPr>
          <w:p w:rsidR="00743320" w:rsidRPr="00775168" w:rsidRDefault="00DF7F26">
            <w:pPr>
              <w:pStyle w:val="P68B1DB1-a08"/>
              <w:rPr>
                <w:rFonts w:hint="default"/>
              </w:rPr>
            </w:pPr>
            <w:r w:rsidRPr="00775168">
              <w:t xml:space="preserve">Hemoglobin </w:t>
            </w:r>
          </w:p>
        </w:tc>
      </w:tr>
      <w:tr w:rsidR="00743320" w:rsidRPr="00775168">
        <w:tc>
          <w:tcPr>
            <w:tcW w:w="4786" w:type="dxa"/>
            <w:vAlign w:val="center"/>
          </w:tcPr>
          <w:p w:rsidR="00743320" w:rsidRPr="00775168" w:rsidRDefault="00DF7F26">
            <w:r w:rsidRPr="00775168">
              <w:t xml:space="preserve">HFS (Hand-Foot Syndroms) </w:t>
            </w:r>
          </w:p>
        </w:tc>
        <w:tc>
          <w:tcPr>
            <w:tcW w:w="4456" w:type="dxa"/>
            <w:vAlign w:val="center"/>
          </w:tcPr>
          <w:p w:rsidR="00743320" w:rsidRPr="00775168" w:rsidRDefault="00DF7F26">
            <w:pPr>
              <w:pStyle w:val="P68B1DB1-a08"/>
              <w:rPr>
                <w:rFonts w:hint="default"/>
              </w:rPr>
            </w:pPr>
            <w:r w:rsidRPr="00775168">
              <w:t xml:space="preserve">Hand-foot syndrome </w:t>
            </w:r>
          </w:p>
        </w:tc>
      </w:tr>
      <w:tr w:rsidR="00743320" w:rsidRPr="00775168">
        <w:tc>
          <w:tcPr>
            <w:tcW w:w="4786" w:type="dxa"/>
            <w:vAlign w:val="center"/>
          </w:tcPr>
          <w:p w:rsidR="00743320" w:rsidRPr="00775168" w:rsidRDefault="00DF7F26">
            <w:r w:rsidRPr="00775168">
              <w:t xml:space="preserve">HR (Hazard Ratio) </w:t>
            </w:r>
          </w:p>
        </w:tc>
        <w:tc>
          <w:tcPr>
            <w:tcW w:w="4456" w:type="dxa"/>
            <w:vAlign w:val="center"/>
          </w:tcPr>
          <w:p w:rsidR="00743320" w:rsidRPr="00775168" w:rsidRDefault="00DF7F26">
            <w:pPr>
              <w:pStyle w:val="P68B1DB1-a059"/>
              <w:rPr>
                <w:rFonts w:hint="default"/>
              </w:rPr>
            </w:pPr>
            <w:r w:rsidRPr="00775168">
              <w:t xml:space="preserve">Hazard ratio </w:t>
            </w:r>
          </w:p>
        </w:tc>
      </w:tr>
      <w:tr w:rsidR="00743320" w:rsidRPr="00775168">
        <w:tc>
          <w:tcPr>
            <w:tcW w:w="4786" w:type="dxa"/>
            <w:vAlign w:val="center"/>
          </w:tcPr>
          <w:p w:rsidR="00743320" w:rsidRPr="00775168" w:rsidRDefault="00DF7F26">
            <w:bookmarkStart w:id="27" w:name="_Hlk406359907"/>
            <w:r w:rsidRPr="00775168">
              <w:t xml:space="preserve">IDMC (Independent Data Monitoring Committee) </w:t>
            </w:r>
          </w:p>
        </w:tc>
        <w:tc>
          <w:tcPr>
            <w:tcW w:w="4456" w:type="dxa"/>
            <w:vAlign w:val="center"/>
          </w:tcPr>
          <w:p w:rsidR="00743320" w:rsidRPr="00775168" w:rsidRDefault="00DF7F26">
            <w:pPr>
              <w:pStyle w:val="P68B1DB1-a059"/>
              <w:rPr>
                <w:rFonts w:hint="default"/>
              </w:rPr>
            </w:pPr>
            <w:r w:rsidRPr="00775168">
              <w:t xml:space="preserve">Independent Data Monitoring Committee </w:t>
            </w:r>
          </w:p>
        </w:tc>
      </w:tr>
      <w:bookmarkEnd w:id="27"/>
      <w:tr w:rsidR="00743320" w:rsidRPr="00775168">
        <w:tc>
          <w:tcPr>
            <w:tcW w:w="4786" w:type="dxa"/>
            <w:vAlign w:val="center"/>
          </w:tcPr>
          <w:p w:rsidR="00743320" w:rsidRPr="00775168" w:rsidRDefault="00DF7F26">
            <w:r w:rsidRPr="00775168">
              <w:lastRenderedPageBreak/>
              <w:t xml:space="preserve">INR (International Normalized Ratio) </w:t>
            </w:r>
          </w:p>
        </w:tc>
        <w:tc>
          <w:tcPr>
            <w:tcW w:w="4456" w:type="dxa"/>
            <w:vAlign w:val="center"/>
          </w:tcPr>
          <w:p w:rsidR="00743320" w:rsidRPr="00775168" w:rsidRDefault="00DF7F26">
            <w:pPr>
              <w:pStyle w:val="P68B1DB1-a059"/>
              <w:rPr>
                <w:rFonts w:hint="default"/>
              </w:rPr>
            </w:pPr>
            <w:r w:rsidRPr="00775168">
              <w:t xml:space="preserve">International normalized ratio </w:t>
            </w:r>
          </w:p>
        </w:tc>
      </w:tr>
      <w:tr w:rsidR="00743320" w:rsidRPr="00775168">
        <w:tc>
          <w:tcPr>
            <w:tcW w:w="4786" w:type="dxa"/>
            <w:vAlign w:val="center"/>
          </w:tcPr>
          <w:p w:rsidR="00743320" w:rsidRPr="00775168" w:rsidRDefault="00DF7F26">
            <w:r w:rsidRPr="00775168">
              <w:t xml:space="preserve">MPFS (median Progression Free Survival) </w:t>
            </w:r>
          </w:p>
        </w:tc>
        <w:tc>
          <w:tcPr>
            <w:tcW w:w="4456" w:type="dxa"/>
            <w:vAlign w:val="center"/>
          </w:tcPr>
          <w:p w:rsidR="00743320" w:rsidRPr="00775168" w:rsidRDefault="00DF7F26">
            <w:pPr>
              <w:pStyle w:val="P68B1DB1-a08"/>
              <w:rPr>
                <w:rFonts w:hint="default"/>
              </w:rPr>
            </w:pPr>
            <w:r w:rsidRPr="00775168">
              <w:t xml:space="preserve">Progression-free survival </w:t>
            </w:r>
          </w:p>
        </w:tc>
      </w:tr>
      <w:tr w:rsidR="00743320" w:rsidRPr="00775168">
        <w:tc>
          <w:tcPr>
            <w:tcW w:w="4786" w:type="dxa"/>
            <w:vAlign w:val="center"/>
          </w:tcPr>
          <w:p w:rsidR="00743320" w:rsidRPr="00775168" w:rsidRDefault="00DF7F26">
            <w:r w:rsidRPr="00775168">
              <w:t xml:space="preserve">MRI (Magnetic Resonance Imaging) </w:t>
            </w:r>
          </w:p>
        </w:tc>
        <w:tc>
          <w:tcPr>
            <w:tcW w:w="4456" w:type="dxa"/>
            <w:vAlign w:val="center"/>
          </w:tcPr>
          <w:p w:rsidR="00743320" w:rsidRPr="00775168" w:rsidRDefault="00DF7F26">
            <w:pPr>
              <w:pStyle w:val="P68B1DB1-a08"/>
              <w:rPr>
                <w:rFonts w:hint="default"/>
              </w:rPr>
            </w:pPr>
            <w:r w:rsidRPr="00775168">
              <w:t xml:space="preserve">NMR </w:t>
            </w:r>
          </w:p>
        </w:tc>
      </w:tr>
      <w:tr w:rsidR="00743320" w:rsidRPr="00775168">
        <w:tc>
          <w:tcPr>
            <w:tcW w:w="4786" w:type="dxa"/>
            <w:vAlign w:val="center"/>
          </w:tcPr>
          <w:p w:rsidR="00743320" w:rsidRPr="00775168" w:rsidRDefault="00DF7F26">
            <w:r w:rsidRPr="00775168">
              <w:t xml:space="preserve">MTD (Maximum Tolerated Dose) </w:t>
            </w:r>
          </w:p>
        </w:tc>
        <w:tc>
          <w:tcPr>
            <w:tcW w:w="4456" w:type="dxa"/>
            <w:vAlign w:val="center"/>
          </w:tcPr>
          <w:p w:rsidR="00743320" w:rsidRPr="00775168" w:rsidRDefault="00DF7F26">
            <w:pPr>
              <w:pStyle w:val="P68B1DB1-a08"/>
              <w:rPr>
                <w:rFonts w:hint="default"/>
              </w:rPr>
            </w:pPr>
            <w:r w:rsidRPr="00775168">
              <w:t xml:space="preserve">Maximum tolerated dose </w:t>
            </w:r>
          </w:p>
        </w:tc>
      </w:tr>
      <w:tr w:rsidR="00743320" w:rsidRPr="00775168">
        <w:tc>
          <w:tcPr>
            <w:tcW w:w="4786" w:type="dxa"/>
            <w:vAlign w:val="center"/>
          </w:tcPr>
          <w:p w:rsidR="00743320" w:rsidRPr="00775168" w:rsidRDefault="00DF7F26">
            <w:r w:rsidRPr="00775168">
              <w:t xml:space="preserve">NSCLC (Non-Small Cell Lung Cancer) </w:t>
            </w:r>
          </w:p>
        </w:tc>
        <w:tc>
          <w:tcPr>
            <w:tcW w:w="4456" w:type="dxa"/>
            <w:vAlign w:val="center"/>
          </w:tcPr>
          <w:p w:rsidR="00743320" w:rsidRPr="00775168" w:rsidRDefault="00DF7F26">
            <w:pPr>
              <w:pStyle w:val="P68B1DB1-a08"/>
              <w:rPr>
                <w:rFonts w:hint="default"/>
              </w:rPr>
            </w:pPr>
            <w:r w:rsidRPr="00775168">
              <w:t xml:space="preserve">Strangulated lung cancer </w:t>
            </w:r>
          </w:p>
        </w:tc>
      </w:tr>
      <w:tr w:rsidR="00743320" w:rsidRPr="00775168">
        <w:tc>
          <w:tcPr>
            <w:tcW w:w="4786" w:type="dxa"/>
            <w:vAlign w:val="center"/>
          </w:tcPr>
          <w:p w:rsidR="00743320" w:rsidRPr="00775168" w:rsidRDefault="00DF7F26">
            <w:r w:rsidRPr="00775168">
              <w:t xml:space="preserve">OB (Occult Blood) </w:t>
            </w:r>
          </w:p>
        </w:tc>
        <w:tc>
          <w:tcPr>
            <w:tcW w:w="4456" w:type="dxa"/>
            <w:vAlign w:val="center"/>
          </w:tcPr>
          <w:p w:rsidR="00743320" w:rsidRPr="00775168" w:rsidRDefault="00DF7F26">
            <w:pPr>
              <w:pStyle w:val="P68B1DB1-a08"/>
              <w:rPr>
                <w:rFonts w:hint="default"/>
              </w:rPr>
            </w:pPr>
            <w:r w:rsidRPr="00775168">
              <w:t xml:space="preserve">Occult blood </w:t>
            </w:r>
          </w:p>
        </w:tc>
      </w:tr>
      <w:tr w:rsidR="00743320" w:rsidRPr="00775168">
        <w:tc>
          <w:tcPr>
            <w:tcW w:w="4786" w:type="dxa"/>
            <w:vAlign w:val="center"/>
          </w:tcPr>
          <w:p w:rsidR="00743320" w:rsidRPr="00775168" w:rsidRDefault="00DF7F26">
            <w:r w:rsidRPr="00775168">
              <w:t xml:space="preserve">ORR (Objective Response Rate) </w:t>
            </w:r>
          </w:p>
        </w:tc>
        <w:tc>
          <w:tcPr>
            <w:tcW w:w="4456" w:type="dxa"/>
            <w:vAlign w:val="center"/>
          </w:tcPr>
          <w:p w:rsidR="00743320" w:rsidRPr="00775168" w:rsidRDefault="00DF7F26">
            <w:pPr>
              <w:pStyle w:val="P68B1DB1-a08"/>
              <w:rPr>
                <w:rFonts w:hint="default"/>
              </w:rPr>
            </w:pPr>
            <w:r w:rsidRPr="00775168">
              <w:t xml:space="preserve">Objective response rate </w:t>
            </w:r>
          </w:p>
        </w:tc>
      </w:tr>
      <w:tr w:rsidR="00743320" w:rsidRPr="00775168">
        <w:tc>
          <w:tcPr>
            <w:tcW w:w="4786" w:type="dxa"/>
            <w:vAlign w:val="center"/>
          </w:tcPr>
          <w:p w:rsidR="00743320" w:rsidRPr="00775168" w:rsidRDefault="00DF7F26">
            <w:r w:rsidRPr="00775168">
              <w:t xml:space="preserve">OS (Overall Survival) </w:t>
            </w:r>
          </w:p>
        </w:tc>
        <w:tc>
          <w:tcPr>
            <w:tcW w:w="4456" w:type="dxa"/>
            <w:vAlign w:val="center"/>
          </w:tcPr>
          <w:p w:rsidR="00743320" w:rsidRPr="00775168" w:rsidRDefault="00DF7F26">
            <w:pPr>
              <w:pStyle w:val="P68B1DB1-a08"/>
              <w:rPr>
                <w:rFonts w:hint="default"/>
              </w:rPr>
            </w:pPr>
            <w:r w:rsidRPr="00775168">
              <w:t xml:space="preserve">Overall survival </w:t>
            </w:r>
          </w:p>
        </w:tc>
      </w:tr>
      <w:tr w:rsidR="00743320" w:rsidRPr="00775168">
        <w:tc>
          <w:tcPr>
            <w:tcW w:w="4786" w:type="dxa"/>
            <w:vAlign w:val="center"/>
          </w:tcPr>
          <w:p w:rsidR="00743320" w:rsidRPr="00775168" w:rsidRDefault="00DF7F26">
            <w:r w:rsidRPr="00775168">
              <w:t xml:space="preserve">Progressive Disease </w:t>
            </w:r>
          </w:p>
        </w:tc>
        <w:tc>
          <w:tcPr>
            <w:tcW w:w="4456" w:type="dxa"/>
            <w:vAlign w:val="center"/>
          </w:tcPr>
          <w:p w:rsidR="00743320" w:rsidRPr="00775168" w:rsidRDefault="00DF7F26">
            <w:pPr>
              <w:pStyle w:val="P68B1DB1-a08"/>
              <w:rPr>
                <w:rFonts w:hint="default"/>
              </w:rPr>
            </w:pPr>
            <w:r w:rsidRPr="00775168">
              <w:t xml:space="preserve">Progression </w:t>
            </w:r>
          </w:p>
        </w:tc>
      </w:tr>
      <w:tr w:rsidR="00743320" w:rsidRPr="00775168">
        <w:tc>
          <w:tcPr>
            <w:tcW w:w="4786" w:type="dxa"/>
            <w:vAlign w:val="center"/>
          </w:tcPr>
          <w:p w:rsidR="00743320" w:rsidRPr="00775168" w:rsidRDefault="00DF7F26">
            <w:r w:rsidRPr="00775168">
              <w:t xml:space="preserve">PDGFR (Platelet-derived Growth Factor Receptor) </w:t>
            </w:r>
          </w:p>
        </w:tc>
        <w:tc>
          <w:tcPr>
            <w:tcW w:w="4456" w:type="dxa"/>
            <w:vAlign w:val="center"/>
          </w:tcPr>
          <w:p w:rsidR="00743320" w:rsidRPr="00775168" w:rsidRDefault="00DF7F26">
            <w:pPr>
              <w:pStyle w:val="P68B1DB1-a08"/>
              <w:rPr>
                <w:rFonts w:hint="default"/>
              </w:rPr>
            </w:pPr>
            <w:r w:rsidRPr="00775168">
              <w:t xml:space="preserve">Platelet-derived growth factor receptor </w:t>
            </w:r>
          </w:p>
        </w:tc>
      </w:tr>
      <w:tr w:rsidR="00743320" w:rsidRPr="00775168">
        <w:tc>
          <w:tcPr>
            <w:tcW w:w="4786" w:type="dxa"/>
            <w:vAlign w:val="center"/>
          </w:tcPr>
          <w:p w:rsidR="00743320" w:rsidRPr="00775168" w:rsidRDefault="00DF7F26">
            <w:r w:rsidRPr="00775168">
              <w:t xml:space="preserve">PFS (Progression-Free Survival) </w:t>
            </w:r>
          </w:p>
        </w:tc>
        <w:tc>
          <w:tcPr>
            <w:tcW w:w="4456" w:type="dxa"/>
            <w:vAlign w:val="center"/>
          </w:tcPr>
          <w:p w:rsidR="00743320" w:rsidRPr="00775168" w:rsidRDefault="00DF7F26">
            <w:pPr>
              <w:pStyle w:val="P68B1DB1-a08"/>
              <w:rPr>
                <w:rFonts w:hint="default"/>
              </w:rPr>
            </w:pPr>
            <w:r w:rsidRPr="00775168">
              <w:t xml:space="preserve">Progression-free survival </w:t>
            </w:r>
          </w:p>
        </w:tc>
      </w:tr>
      <w:tr w:rsidR="00743320" w:rsidRPr="00775168">
        <w:tc>
          <w:tcPr>
            <w:tcW w:w="4786" w:type="dxa"/>
            <w:vAlign w:val="center"/>
          </w:tcPr>
          <w:p w:rsidR="00743320" w:rsidRPr="00775168" w:rsidRDefault="00DF7F26">
            <w:r w:rsidRPr="00775168">
              <w:t xml:space="preserve">PI (Principal Investigator) </w:t>
            </w:r>
          </w:p>
        </w:tc>
        <w:tc>
          <w:tcPr>
            <w:tcW w:w="4456" w:type="dxa"/>
            <w:vAlign w:val="center"/>
          </w:tcPr>
          <w:p w:rsidR="00743320" w:rsidRPr="00775168" w:rsidRDefault="00DF7F26">
            <w:pPr>
              <w:pStyle w:val="P68B1DB1-a08"/>
              <w:rPr>
                <w:rFonts w:hint="default"/>
              </w:rPr>
            </w:pPr>
            <w:r w:rsidRPr="00775168">
              <w:t xml:space="preserve">Principal Investigator </w:t>
            </w:r>
          </w:p>
        </w:tc>
      </w:tr>
      <w:tr w:rsidR="00743320" w:rsidRPr="00775168">
        <w:tc>
          <w:tcPr>
            <w:tcW w:w="4786" w:type="dxa"/>
            <w:vAlign w:val="center"/>
          </w:tcPr>
          <w:p w:rsidR="00743320" w:rsidRPr="00775168" w:rsidRDefault="00DF7F26">
            <w:r w:rsidRPr="00775168">
              <w:t xml:space="preserve">PLT (Platelets) </w:t>
            </w:r>
          </w:p>
        </w:tc>
        <w:tc>
          <w:tcPr>
            <w:tcW w:w="4456" w:type="dxa"/>
            <w:vAlign w:val="center"/>
          </w:tcPr>
          <w:p w:rsidR="00743320" w:rsidRPr="00775168" w:rsidRDefault="00DF7F26">
            <w:pPr>
              <w:pStyle w:val="P68B1DB1-a08"/>
              <w:rPr>
                <w:rFonts w:hint="default"/>
              </w:rPr>
            </w:pPr>
            <w:r w:rsidRPr="00775168">
              <w:t xml:space="preserve">Platelets </w:t>
            </w:r>
          </w:p>
        </w:tc>
      </w:tr>
      <w:tr w:rsidR="00743320" w:rsidRPr="00775168">
        <w:tc>
          <w:tcPr>
            <w:tcW w:w="4786" w:type="dxa"/>
            <w:vAlign w:val="center"/>
          </w:tcPr>
          <w:p w:rsidR="00743320" w:rsidRPr="00775168" w:rsidRDefault="00DF7F26">
            <w:r w:rsidRPr="00775168">
              <w:t xml:space="preserve">PRO (Protein) </w:t>
            </w:r>
          </w:p>
        </w:tc>
        <w:tc>
          <w:tcPr>
            <w:tcW w:w="4456" w:type="dxa"/>
            <w:vAlign w:val="center"/>
          </w:tcPr>
          <w:p w:rsidR="00743320" w:rsidRPr="00775168" w:rsidRDefault="00DF7F26">
            <w:pPr>
              <w:pStyle w:val="P68B1DB1-a08"/>
              <w:rPr>
                <w:rFonts w:hint="default"/>
              </w:rPr>
            </w:pPr>
            <w:r w:rsidRPr="00775168">
              <w:t xml:space="preserve">Protein </w:t>
            </w:r>
          </w:p>
        </w:tc>
      </w:tr>
      <w:tr w:rsidR="00743320" w:rsidRPr="00775168">
        <w:tc>
          <w:tcPr>
            <w:tcW w:w="4786" w:type="dxa"/>
            <w:vAlign w:val="center"/>
          </w:tcPr>
          <w:p w:rsidR="00743320" w:rsidRPr="00775168" w:rsidRDefault="00DF7F26">
            <w:r w:rsidRPr="00775168">
              <w:t xml:space="preserve">PK (Pharmacokinetics) </w:t>
            </w:r>
          </w:p>
        </w:tc>
        <w:tc>
          <w:tcPr>
            <w:tcW w:w="4456" w:type="dxa"/>
            <w:vAlign w:val="center"/>
          </w:tcPr>
          <w:p w:rsidR="00743320" w:rsidRPr="00775168" w:rsidRDefault="00DF7F26">
            <w:pPr>
              <w:pStyle w:val="P68B1DB1-a059"/>
              <w:rPr>
                <w:rFonts w:hint="default"/>
              </w:rPr>
            </w:pPr>
            <w:r w:rsidRPr="00775168">
              <w:t xml:space="preserve">Kinetics </w:t>
            </w:r>
          </w:p>
        </w:tc>
      </w:tr>
      <w:tr w:rsidR="00743320" w:rsidRPr="00775168">
        <w:tc>
          <w:tcPr>
            <w:tcW w:w="4786" w:type="dxa"/>
            <w:vAlign w:val="center"/>
          </w:tcPr>
          <w:p w:rsidR="00743320" w:rsidRPr="00775168" w:rsidRDefault="00DF7F26">
            <w:r w:rsidRPr="00775168">
              <w:t xml:space="preserve">PD (Pharmacodynamics) </w:t>
            </w:r>
          </w:p>
        </w:tc>
        <w:tc>
          <w:tcPr>
            <w:tcW w:w="4456" w:type="dxa"/>
            <w:vAlign w:val="center"/>
          </w:tcPr>
          <w:p w:rsidR="00743320" w:rsidRPr="00775168" w:rsidRDefault="00DF7F26">
            <w:pPr>
              <w:pStyle w:val="P68B1DB1-a059"/>
              <w:rPr>
                <w:rFonts w:hint="default"/>
              </w:rPr>
            </w:pPr>
            <w:r w:rsidRPr="00775168">
              <w:t xml:space="preserve">Pharmacodynamics </w:t>
            </w:r>
          </w:p>
        </w:tc>
      </w:tr>
      <w:tr w:rsidR="00743320" w:rsidRPr="00775168">
        <w:tc>
          <w:tcPr>
            <w:tcW w:w="4786" w:type="dxa"/>
            <w:vAlign w:val="center"/>
          </w:tcPr>
          <w:p w:rsidR="00743320" w:rsidRPr="00775168" w:rsidRDefault="00DF7F26">
            <w:r w:rsidRPr="00775168">
              <w:t xml:space="preserve">PPS (Per Protocol Set) </w:t>
            </w:r>
          </w:p>
        </w:tc>
        <w:tc>
          <w:tcPr>
            <w:tcW w:w="4456" w:type="dxa"/>
            <w:vAlign w:val="center"/>
          </w:tcPr>
          <w:p w:rsidR="00743320" w:rsidRPr="00775168" w:rsidRDefault="00DF7F26">
            <w:pPr>
              <w:pStyle w:val="P68B1DB1-a08"/>
              <w:rPr>
                <w:rFonts w:hint="default"/>
              </w:rPr>
            </w:pPr>
            <w:r w:rsidRPr="00775168">
              <w:t xml:space="preserve">Per Protocol Set </w:t>
            </w:r>
          </w:p>
        </w:tc>
      </w:tr>
      <w:tr w:rsidR="00743320" w:rsidRPr="00775168">
        <w:tc>
          <w:tcPr>
            <w:tcW w:w="4786" w:type="dxa"/>
            <w:vAlign w:val="center"/>
          </w:tcPr>
          <w:p w:rsidR="00743320" w:rsidRPr="00775168" w:rsidRDefault="00DF7F26">
            <w:r w:rsidRPr="00775168">
              <w:t xml:space="preserve">PR Partial Response </w:t>
            </w:r>
          </w:p>
        </w:tc>
        <w:tc>
          <w:tcPr>
            <w:tcW w:w="4456" w:type="dxa"/>
            <w:vAlign w:val="center"/>
          </w:tcPr>
          <w:p w:rsidR="00743320" w:rsidRPr="00775168" w:rsidRDefault="00DF7F26">
            <w:pPr>
              <w:pStyle w:val="P68B1DB1-a08"/>
              <w:rPr>
                <w:rFonts w:hint="default"/>
              </w:rPr>
            </w:pPr>
            <w:r w:rsidRPr="00775168">
              <w:t xml:space="preserve">Partial response </w:t>
            </w:r>
          </w:p>
        </w:tc>
      </w:tr>
      <w:tr w:rsidR="00743320" w:rsidRPr="00775168">
        <w:tc>
          <w:tcPr>
            <w:tcW w:w="4786" w:type="dxa"/>
            <w:vAlign w:val="center"/>
          </w:tcPr>
          <w:p w:rsidR="00743320" w:rsidRPr="00775168" w:rsidRDefault="00DF7F26">
            <w:r w:rsidRPr="00775168">
              <w:t xml:space="preserve">PS (Performance Status) </w:t>
            </w:r>
          </w:p>
        </w:tc>
        <w:tc>
          <w:tcPr>
            <w:tcW w:w="4456" w:type="dxa"/>
            <w:vAlign w:val="center"/>
          </w:tcPr>
          <w:p w:rsidR="00743320" w:rsidRPr="00775168" w:rsidRDefault="00DF7F26">
            <w:pPr>
              <w:pStyle w:val="P68B1DB1-a059"/>
              <w:rPr>
                <w:rFonts w:hint="default"/>
              </w:rPr>
            </w:pPr>
            <w:r w:rsidRPr="00775168">
              <w:t xml:space="preserve">Performance Status </w:t>
            </w:r>
          </w:p>
        </w:tc>
      </w:tr>
      <w:tr w:rsidR="00743320" w:rsidRPr="00775168">
        <w:tc>
          <w:tcPr>
            <w:tcW w:w="4786" w:type="dxa"/>
            <w:vAlign w:val="center"/>
          </w:tcPr>
          <w:p w:rsidR="00743320" w:rsidRPr="00775168" w:rsidRDefault="00DF7F26">
            <w:r w:rsidRPr="00775168">
              <w:t xml:space="preserve">PT (Prothrombin Time) </w:t>
            </w:r>
          </w:p>
        </w:tc>
        <w:tc>
          <w:tcPr>
            <w:tcW w:w="4456" w:type="dxa"/>
            <w:vAlign w:val="center"/>
          </w:tcPr>
          <w:p w:rsidR="00743320" w:rsidRPr="00775168" w:rsidRDefault="00DF7F26">
            <w:r w:rsidRPr="00775168">
              <w:rPr>
                <w:rStyle w:val="af3"/>
                <w:rFonts w:cs="宋体" w:hint="eastAsia"/>
              </w:rPr>
              <w:t xml:space="preserve">Prothrombin time </w:t>
            </w:r>
          </w:p>
        </w:tc>
      </w:tr>
      <w:tr w:rsidR="00743320" w:rsidRPr="00775168">
        <w:tc>
          <w:tcPr>
            <w:tcW w:w="4786" w:type="dxa"/>
            <w:vAlign w:val="center"/>
          </w:tcPr>
          <w:p w:rsidR="00743320" w:rsidRPr="00775168" w:rsidRDefault="00DF7F26">
            <w:r w:rsidRPr="00775168">
              <w:t xml:space="preserve">QoL (Quality of Life) </w:t>
            </w:r>
          </w:p>
        </w:tc>
        <w:tc>
          <w:tcPr>
            <w:tcW w:w="4456" w:type="dxa"/>
            <w:vAlign w:val="center"/>
          </w:tcPr>
          <w:p w:rsidR="00743320" w:rsidRPr="00775168" w:rsidRDefault="00DF7F26">
            <w:pPr>
              <w:pStyle w:val="P68B1DB1-a08"/>
              <w:rPr>
                <w:rFonts w:hint="default"/>
              </w:rPr>
            </w:pPr>
            <w:r w:rsidRPr="00775168">
              <w:t xml:space="preserve">Quality of Life </w:t>
            </w:r>
          </w:p>
        </w:tc>
      </w:tr>
      <w:tr w:rsidR="00743320" w:rsidRPr="00775168">
        <w:tc>
          <w:tcPr>
            <w:tcW w:w="4786" w:type="dxa"/>
            <w:vAlign w:val="center"/>
          </w:tcPr>
          <w:p w:rsidR="00743320" w:rsidRPr="00775168" w:rsidRDefault="00DF7F26">
            <w:r w:rsidRPr="00775168">
              <w:t xml:space="preserve">RBC (Red Blood Cell) </w:t>
            </w:r>
          </w:p>
        </w:tc>
        <w:tc>
          <w:tcPr>
            <w:tcW w:w="4456" w:type="dxa"/>
            <w:vAlign w:val="center"/>
          </w:tcPr>
          <w:p w:rsidR="00743320" w:rsidRPr="00775168" w:rsidRDefault="00DF7F26">
            <w:pPr>
              <w:pStyle w:val="P68B1DB1-a08"/>
              <w:rPr>
                <w:rFonts w:hint="default"/>
              </w:rPr>
            </w:pPr>
            <w:r w:rsidRPr="00775168">
              <w:t xml:space="preserve">Red blood cell </w:t>
            </w:r>
          </w:p>
        </w:tc>
      </w:tr>
      <w:tr w:rsidR="00743320" w:rsidRPr="00775168">
        <w:tc>
          <w:tcPr>
            <w:tcW w:w="4786" w:type="dxa"/>
            <w:vAlign w:val="center"/>
          </w:tcPr>
          <w:p w:rsidR="00743320" w:rsidRPr="00775168" w:rsidRDefault="00DF7F26">
            <w:r w:rsidRPr="00775168">
              <w:t xml:space="preserve">RECIST (Response Evaluation Criteria in Solid Tumor) </w:t>
            </w:r>
          </w:p>
        </w:tc>
        <w:tc>
          <w:tcPr>
            <w:tcW w:w="4456" w:type="dxa"/>
            <w:vAlign w:val="center"/>
          </w:tcPr>
          <w:p w:rsidR="00743320" w:rsidRPr="00775168" w:rsidRDefault="00DF7F26">
            <w:pPr>
              <w:pStyle w:val="P68B1DB1-a08"/>
              <w:rPr>
                <w:rFonts w:hint="default"/>
              </w:rPr>
            </w:pPr>
            <w:r w:rsidRPr="00775168">
              <w:t xml:space="preserve">Response Evaluation Criteria in Solid Tumors </w:t>
            </w:r>
          </w:p>
        </w:tc>
      </w:tr>
      <w:tr w:rsidR="00743320" w:rsidRPr="00775168">
        <w:tc>
          <w:tcPr>
            <w:tcW w:w="4786" w:type="dxa"/>
            <w:vAlign w:val="center"/>
          </w:tcPr>
          <w:p w:rsidR="00743320" w:rsidRPr="00775168" w:rsidRDefault="00DF7F26">
            <w:r w:rsidRPr="00775168">
              <w:t xml:space="preserve">RR (Respose Rate) </w:t>
            </w:r>
          </w:p>
        </w:tc>
        <w:tc>
          <w:tcPr>
            <w:tcW w:w="4456" w:type="dxa"/>
            <w:vAlign w:val="center"/>
          </w:tcPr>
          <w:p w:rsidR="00743320" w:rsidRPr="00775168" w:rsidRDefault="00DF7F26">
            <w:pPr>
              <w:pStyle w:val="P68B1DB1-a08"/>
              <w:rPr>
                <w:rFonts w:hint="default"/>
              </w:rPr>
            </w:pPr>
            <w:r w:rsidRPr="00775168">
              <w:t xml:space="preserve">Response rate </w:t>
            </w:r>
          </w:p>
        </w:tc>
      </w:tr>
      <w:tr w:rsidR="00743320" w:rsidRPr="00775168">
        <w:tc>
          <w:tcPr>
            <w:tcW w:w="4786" w:type="dxa"/>
            <w:vAlign w:val="center"/>
          </w:tcPr>
          <w:p w:rsidR="00743320" w:rsidRPr="00775168" w:rsidRDefault="00DF7F26">
            <w:r w:rsidRPr="00775168">
              <w:t xml:space="preserve">RTKs (Receptor Tyrosine Kinase) </w:t>
            </w:r>
          </w:p>
        </w:tc>
        <w:tc>
          <w:tcPr>
            <w:tcW w:w="4456" w:type="dxa"/>
            <w:vAlign w:val="center"/>
          </w:tcPr>
          <w:p w:rsidR="00743320" w:rsidRPr="00775168" w:rsidRDefault="00DF7F26">
            <w:pPr>
              <w:pStyle w:val="P68B1DB1-a08"/>
              <w:rPr>
                <w:rFonts w:hint="default"/>
              </w:rPr>
            </w:pPr>
            <w:r w:rsidRPr="00775168">
              <w:t xml:space="preserve">Receptor tyrosine kinase </w:t>
            </w:r>
          </w:p>
        </w:tc>
      </w:tr>
      <w:tr w:rsidR="00743320" w:rsidRPr="00775168">
        <w:tc>
          <w:tcPr>
            <w:tcW w:w="4786" w:type="dxa"/>
            <w:vAlign w:val="center"/>
          </w:tcPr>
          <w:p w:rsidR="00743320" w:rsidRPr="00775168" w:rsidRDefault="00DF7F26">
            <w:r w:rsidRPr="00775168">
              <w:t xml:space="preserve">Γ-GT (γ-Glutamyltransferase) </w:t>
            </w:r>
          </w:p>
        </w:tc>
        <w:tc>
          <w:tcPr>
            <w:tcW w:w="4456" w:type="dxa"/>
            <w:vAlign w:val="center"/>
          </w:tcPr>
          <w:p w:rsidR="00743320" w:rsidRPr="00775168" w:rsidRDefault="00DF7F26">
            <w:pPr>
              <w:pStyle w:val="P68B1DB1-a058"/>
              <w:rPr>
                <w:rFonts w:hint="default"/>
              </w:rPr>
            </w:pPr>
            <w:r w:rsidRPr="00775168">
              <w:t xml:space="preserve">Gamma-glutamyltransferase </w:t>
            </w:r>
          </w:p>
        </w:tc>
      </w:tr>
      <w:tr w:rsidR="00743320" w:rsidRPr="00775168">
        <w:tc>
          <w:tcPr>
            <w:tcW w:w="4786" w:type="dxa"/>
            <w:vAlign w:val="center"/>
          </w:tcPr>
          <w:p w:rsidR="00743320" w:rsidRPr="00775168" w:rsidRDefault="00DF7F26">
            <w:r w:rsidRPr="00775168">
              <w:t xml:space="preserve">Serious Adverse Event </w:t>
            </w:r>
          </w:p>
        </w:tc>
        <w:tc>
          <w:tcPr>
            <w:tcW w:w="4456" w:type="dxa"/>
            <w:vAlign w:val="center"/>
          </w:tcPr>
          <w:p w:rsidR="00743320" w:rsidRPr="00775168" w:rsidRDefault="00DF7F26">
            <w:pPr>
              <w:pStyle w:val="P68B1DB1-a08"/>
              <w:rPr>
                <w:rFonts w:hint="default"/>
              </w:rPr>
            </w:pPr>
            <w:r w:rsidRPr="00775168">
              <w:t xml:space="preserve">Serious adverse event </w:t>
            </w:r>
          </w:p>
        </w:tc>
      </w:tr>
      <w:tr w:rsidR="00743320" w:rsidRPr="00775168">
        <w:tc>
          <w:tcPr>
            <w:tcW w:w="4786" w:type="dxa"/>
            <w:vAlign w:val="center"/>
          </w:tcPr>
          <w:p w:rsidR="00743320" w:rsidRPr="00775168" w:rsidRDefault="00DF7F26">
            <w:r w:rsidRPr="00775168">
              <w:t xml:space="preserve">SAS (Safty Analysis Set) </w:t>
            </w:r>
          </w:p>
        </w:tc>
        <w:tc>
          <w:tcPr>
            <w:tcW w:w="4456" w:type="dxa"/>
            <w:vAlign w:val="center"/>
          </w:tcPr>
          <w:p w:rsidR="00743320" w:rsidRPr="00775168" w:rsidRDefault="00DF7F26">
            <w:pPr>
              <w:pStyle w:val="P68B1DB1-a08"/>
              <w:rPr>
                <w:rFonts w:hint="default"/>
              </w:rPr>
            </w:pPr>
            <w:r w:rsidRPr="00775168">
              <w:t xml:space="preserve">Safety Analysis Set </w:t>
            </w:r>
          </w:p>
        </w:tc>
      </w:tr>
      <w:tr w:rsidR="00743320" w:rsidRPr="00775168">
        <w:tc>
          <w:tcPr>
            <w:tcW w:w="4786" w:type="dxa"/>
            <w:vAlign w:val="center"/>
          </w:tcPr>
          <w:p w:rsidR="00743320" w:rsidRPr="00775168" w:rsidRDefault="00DF7F26">
            <w:r w:rsidRPr="00775168">
              <w:t xml:space="preserve">SCr Serum (Creatinine) </w:t>
            </w:r>
          </w:p>
        </w:tc>
        <w:tc>
          <w:tcPr>
            <w:tcW w:w="4456" w:type="dxa"/>
            <w:vAlign w:val="center"/>
          </w:tcPr>
          <w:p w:rsidR="00743320" w:rsidRPr="00775168" w:rsidRDefault="00DF7F26">
            <w:pPr>
              <w:pStyle w:val="P68B1DB1-a059"/>
              <w:rPr>
                <w:rFonts w:hint="default"/>
              </w:rPr>
            </w:pPr>
            <w:r w:rsidRPr="00775168">
              <w:t xml:space="preserve">Serum creatinine </w:t>
            </w:r>
          </w:p>
        </w:tc>
      </w:tr>
      <w:tr w:rsidR="00743320" w:rsidRPr="00775168">
        <w:tc>
          <w:tcPr>
            <w:tcW w:w="4786" w:type="dxa"/>
            <w:vAlign w:val="center"/>
          </w:tcPr>
          <w:p w:rsidR="00743320" w:rsidRPr="00775168" w:rsidRDefault="00DF7F26">
            <w:r w:rsidRPr="00775168">
              <w:t xml:space="preserve">SD (Stable Disease) </w:t>
            </w:r>
          </w:p>
        </w:tc>
        <w:tc>
          <w:tcPr>
            <w:tcW w:w="4456" w:type="dxa"/>
            <w:vAlign w:val="center"/>
          </w:tcPr>
          <w:p w:rsidR="00743320" w:rsidRPr="00775168" w:rsidRDefault="00DF7F26">
            <w:pPr>
              <w:pStyle w:val="P68B1DB1-a08"/>
              <w:rPr>
                <w:rFonts w:hint="default"/>
              </w:rPr>
            </w:pPr>
            <w:r w:rsidRPr="00775168">
              <w:t xml:space="preserve">Stable </w:t>
            </w:r>
          </w:p>
        </w:tc>
      </w:tr>
      <w:tr w:rsidR="00743320" w:rsidRPr="00775168">
        <w:tc>
          <w:tcPr>
            <w:tcW w:w="4786" w:type="dxa"/>
            <w:vAlign w:val="center"/>
          </w:tcPr>
          <w:p w:rsidR="00743320" w:rsidRPr="00775168" w:rsidRDefault="00DF7F26">
            <w:r w:rsidRPr="00775168">
              <w:t xml:space="preserve">TKI (Tyrosine Kinase Inhibitor) </w:t>
            </w:r>
          </w:p>
        </w:tc>
        <w:tc>
          <w:tcPr>
            <w:tcW w:w="4456" w:type="dxa"/>
            <w:vAlign w:val="center"/>
          </w:tcPr>
          <w:p w:rsidR="00743320" w:rsidRPr="00775168" w:rsidRDefault="00DF7F26">
            <w:pPr>
              <w:pStyle w:val="P68B1DB1-a059"/>
              <w:rPr>
                <w:rFonts w:hint="default"/>
              </w:rPr>
            </w:pPr>
            <w:r w:rsidRPr="00775168">
              <w:t xml:space="preserve">Tyrosine kinase inhibitor </w:t>
            </w:r>
          </w:p>
        </w:tc>
      </w:tr>
      <w:tr w:rsidR="00743320" w:rsidRPr="00775168">
        <w:tc>
          <w:tcPr>
            <w:tcW w:w="4786" w:type="dxa"/>
            <w:vAlign w:val="center"/>
          </w:tcPr>
          <w:p w:rsidR="00743320" w:rsidRPr="00775168" w:rsidRDefault="00DF7F26">
            <w:r w:rsidRPr="00775168">
              <w:t xml:space="preserve">TT (Thrombin Time) </w:t>
            </w:r>
          </w:p>
        </w:tc>
        <w:tc>
          <w:tcPr>
            <w:tcW w:w="4456" w:type="dxa"/>
            <w:vAlign w:val="center"/>
          </w:tcPr>
          <w:p w:rsidR="00743320" w:rsidRPr="00775168" w:rsidRDefault="00DF7F26">
            <w:r w:rsidRPr="00775168">
              <w:rPr>
                <w:rStyle w:val="af3"/>
                <w:rFonts w:cs="宋体" w:hint="eastAsia"/>
              </w:rPr>
              <w:t xml:space="preserve">Thrombin time </w:t>
            </w:r>
          </w:p>
        </w:tc>
      </w:tr>
      <w:tr w:rsidR="00743320" w:rsidRPr="00775168">
        <w:tc>
          <w:tcPr>
            <w:tcW w:w="4786" w:type="dxa"/>
            <w:vAlign w:val="center"/>
          </w:tcPr>
          <w:p w:rsidR="00743320" w:rsidRPr="00775168" w:rsidRDefault="00DF7F26">
            <w:r w:rsidRPr="00775168">
              <w:t xml:space="preserve">ULN (Upper Limit Of Normal) </w:t>
            </w:r>
          </w:p>
        </w:tc>
        <w:tc>
          <w:tcPr>
            <w:tcW w:w="4456" w:type="dxa"/>
            <w:vAlign w:val="center"/>
          </w:tcPr>
          <w:p w:rsidR="00743320" w:rsidRPr="00775168" w:rsidRDefault="00DF7F26">
            <w:pPr>
              <w:pStyle w:val="P68B1DB1-a08"/>
              <w:rPr>
                <w:rFonts w:hint="default"/>
              </w:rPr>
            </w:pPr>
            <w:r w:rsidRPr="00775168">
              <w:t xml:space="preserve">Upper limit of normal </w:t>
            </w:r>
          </w:p>
        </w:tc>
      </w:tr>
      <w:tr w:rsidR="00743320" w:rsidRPr="00775168">
        <w:tc>
          <w:tcPr>
            <w:tcW w:w="4786" w:type="dxa"/>
            <w:vAlign w:val="center"/>
          </w:tcPr>
          <w:p w:rsidR="00743320" w:rsidRPr="00775168" w:rsidRDefault="00DF7F26">
            <w:r w:rsidRPr="00775168">
              <w:t xml:space="preserve">UA (Uric Acid) </w:t>
            </w:r>
          </w:p>
        </w:tc>
        <w:tc>
          <w:tcPr>
            <w:tcW w:w="4456" w:type="dxa"/>
            <w:vAlign w:val="center"/>
          </w:tcPr>
          <w:p w:rsidR="00743320" w:rsidRPr="00775168" w:rsidRDefault="00DF7F26">
            <w:pPr>
              <w:pStyle w:val="P68B1DB1-a08"/>
              <w:rPr>
                <w:rFonts w:hint="default"/>
              </w:rPr>
            </w:pPr>
            <w:r w:rsidRPr="00775168">
              <w:t xml:space="preserve">Uric acid </w:t>
            </w:r>
          </w:p>
        </w:tc>
      </w:tr>
      <w:tr w:rsidR="00743320" w:rsidRPr="00775168">
        <w:tc>
          <w:tcPr>
            <w:tcW w:w="4786" w:type="dxa"/>
            <w:vAlign w:val="center"/>
          </w:tcPr>
          <w:p w:rsidR="00743320" w:rsidRPr="00775168" w:rsidRDefault="00DF7F26">
            <w:r w:rsidRPr="00775168">
              <w:t xml:space="preserve">Vascular Endothelial Growth Factor </w:t>
            </w:r>
          </w:p>
        </w:tc>
        <w:tc>
          <w:tcPr>
            <w:tcW w:w="4456" w:type="dxa"/>
            <w:vAlign w:val="center"/>
          </w:tcPr>
          <w:p w:rsidR="00743320" w:rsidRPr="00775168" w:rsidRDefault="00DF7F26">
            <w:pPr>
              <w:pStyle w:val="P68B1DB1-a08"/>
              <w:rPr>
                <w:rFonts w:hint="default"/>
              </w:rPr>
            </w:pPr>
            <w:r w:rsidRPr="00775168">
              <w:t xml:space="preserve">Vascular endothelial growth factor </w:t>
            </w:r>
          </w:p>
        </w:tc>
      </w:tr>
      <w:tr w:rsidR="00743320" w:rsidRPr="00775168">
        <w:tc>
          <w:tcPr>
            <w:tcW w:w="4786" w:type="dxa"/>
            <w:vAlign w:val="center"/>
          </w:tcPr>
          <w:p w:rsidR="00743320" w:rsidRPr="00775168" w:rsidRDefault="00DF7F26">
            <w:r w:rsidRPr="00775168">
              <w:t xml:space="preserve">VEGFR </w:t>
            </w:r>
          </w:p>
        </w:tc>
        <w:tc>
          <w:tcPr>
            <w:tcW w:w="4456" w:type="dxa"/>
            <w:vAlign w:val="center"/>
          </w:tcPr>
          <w:p w:rsidR="00743320" w:rsidRPr="00775168" w:rsidRDefault="00DF7F26">
            <w:pPr>
              <w:pStyle w:val="P68B1DB1-a08"/>
              <w:rPr>
                <w:rFonts w:hint="default"/>
              </w:rPr>
            </w:pPr>
            <w:r w:rsidRPr="00775168">
              <w:t xml:space="preserve">Vascular endothelial growth factor receptor </w:t>
            </w:r>
          </w:p>
        </w:tc>
      </w:tr>
      <w:tr w:rsidR="00743320" w:rsidRPr="00775168">
        <w:tc>
          <w:tcPr>
            <w:tcW w:w="4786" w:type="dxa"/>
            <w:tcBorders>
              <w:bottom w:val="single" w:sz="4" w:space="0" w:color="auto"/>
            </w:tcBorders>
            <w:vAlign w:val="center"/>
          </w:tcPr>
          <w:p w:rsidR="00743320" w:rsidRPr="00775168" w:rsidRDefault="00DF7F26">
            <w:r w:rsidRPr="00775168">
              <w:t xml:space="preserve">WBC (White Blood Cell) </w:t>
            </w:r>
          </w:p>
        </w:tc>
        <w:tc>
          <w:tcPr>
            <w:tcW w:w="4456" w:type="dxa"/>
            <w:tcBorders>
              <w:bottom w:val="single" w:sz="4" w:space="0" w:color="auto"/>
            </w:tcBorders>
            <w:vAlign w:val="center"/>
          </w:tcPr>
          <w:p w:rsidR="00743320" w:rsidRPr="00775168" w:rsidRDefault="00DF7F26">
            <w:pPr>
              <w:pStyle w:val="P68B1DB1-a08"/>
              <w:rPr>
                <w:rFonts w:hint="default"/>
              </w:rPr>
            </w:pPr>
            <w:r w:rsidRPr="00775168">
              <w:t xml:space="preserve">Leucocyte </w:t>
            </w:r>
          </w:p>
        </w:tc>
      </w:tr>
    </w:tbl>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3A58EF" w:rsidRPr="00775168" w:rsidRDefault="003A58EF">
      <w:pPr>
        <w:widowControl/>
        <w:jc w:val="left"/>
        <w:rPr>
          <w:b/>
          <w:sz w:val="24"/>
        </w:rPr>
      </w:pPr>
      <w:r w:rsidRPr="00775168">
        <w:rPr>
          <w:b/>
          <w:sz w:val="24"/>
        </w:rPr>
        <w:br w:type="page"/>
      </w:r>
    </w:p>
    <w:p w:rsidR="00743320" w:rsidRPr="00775168" w:rsidRDefault="00DF7F26">
      <w:pPr>
        <w:pStyle w:val="P68B1DB1-161"/>
        <w:ind w:firstLine="0"/>
        <w:rPr>
          <w:rFonts w:ascii="Times New Roman" w:hAnsi="Times New Roman" w:cs="Times New Roman"/>
        </w:rPr>
      </w:pPr>
      <w:bookmarkStart w:id="28" w:name="_Toc178589654"/>
      <w:bookmarkStart w:id="29" w:name="_Toc512940918"/>
      <w:bookmarkStart w:id="30" w:name="_Toc512941679"/>
      <w:r w:rsidRPr="00775168">
        <w:rPr>
          <w:rFonts w:ascii="Times New Roman" w:hAnsi="Times New Roman"/>
        </w:rPr>
        <w:lastRenderedPageBreak/>
        <w:t xml:space="preserve">1. </w:t>
      </w:r>
      <w:bookmarkStart w:id="31" w:name="_Toc292713340"/>
      <w:bookmarkStart w:id="32" w:name="_Toc430282270"/>
      <w:r w:rsidRPr="00775168">
        <w:rPr>
          <w:rFonts w:ascii="Times New Roman" w:hAnsi="Times New Roman" w:hint="eastAsia"/>
        </w:rPr>
        <w:t xml:space="preserve">Study </w:t>
      </w:r>
      <w:r w:rsidR="007A5033" w:rsidRPr="00775168">
        <w:rPr>
          <w:rFonts w:ascii="Times New Roman" w:hAnsi="Times New Roman"/>
        </w:rPr>
        <w:t>B</w:t>
      </w:r>
      <w:r w:rsidRPr="00775168">
        <w:rPr>
          <w:rFonts w:ascii="Times New Roman" w:hAnsi="Times New Roman" w:hint="eastAsia"/>
        </w:rPr>
        <w:t>ackground</w:t>
      </w:r>
      <w:bookmarkEnd w:id="28"/>
      <w:r w:rsidRPr="00775168">
        <w:rPr>
          <w:rFonts w:ascii="Times New Roman" w:hAnsi="Times New Roman" w:hint="eastAsia"/>
        </w:rPr>
        <w:t xml:space="preserve"> </w:t>
      </w:r>
      <w:bookmarkEnd w:id="29"/>
      <w:bookmarkEnd w:id="30"/>
      <w:bookmarkEnd w:id="31"/>
      <w:bookmarkEnd w:id="32"/>
    </w:p>
    <w:p w:rsidR="00743320" w:rsidRPr="00775168" w:rsidRDefault="00DF7F26">
      <w:pPr>
        <w:pStyle w:val="P68B1DB1-262"/>
        <w:rPr>
          <w:rFonts w:ascii="Times New Roman" w:hAnsi="Times New Roman" w:cs="Times New Roman" w:hint="default"/>
        </w:rPr>
      </w:pPr>
      <w:bookmarkStart w:id="33" w:name="_Toc178589655"/>
      <w:bookmarkStart w:id="34" w:name="_Toc512940919"/>
      <w:bookmarkStart w:id="35" w:name="_Toc512941680"/>
      <w:r w:rsidRPr="00775168">
        <w:rPr>
          <w:rFonts w:ascii="Times New Roman" w:hAnsi="Times New Roman"/>
        </w:rPr>
        <w:t>1.1 Study Feasibility</w:t>
      </w:r>
      <w:bookmarkEnd w:id="33"/>
      <w:r w:rsidRPr="00775168">
        <w:rPr>
          <w:rFonts w:ascii="Times New Roman" w:hAnsi="Times New Roman"/>
        </w:rPr>
        <w:t xml:space="preserve"> </w:t>
      </w:r>
      <w:bookmarkEnd w:id="34"/>
      <w:bookmarkEnd w:id="35"/>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In recent years, the incidence and mortality of lung cancer are on the rise worldwide, ranking first in malignant tumors, and have become one of the major diseases that seriously endanger human health and affect people's quality of life. Eighty-five percent of lung cancers are non-small cell lung cancer (NSCLC), and most of them are diagnosed at an advanced stage, and only a very small number of patients are feasible for surgical treatment. For first-line treatment of advanced NSCLC, a wide range of molecular tests are feasible, such as EGFR, ALK, ROS-1, BRAF, PD-L1, etc. For patients with positive driver genes, molecular targeted drugs can be used to intervene the above targets for systemic therapy, significantly prolonging the survival of NSCLC patients. Epidermal growth factor receptor (EGFR) mutation is a common promoter gene mutation in lung cancer. Tyrosine kinase inhibitors (TKIs) prevent EGFR from binding to ATP and hindering cell proliferation by competitively binding to intracellular tyrosine kinase binding sites. In the past decade, EGFR-TKIs, represented by EGFR-TKIs, erlotinib, etc. have directly targeted EGFR mutations and become an indispensable treatment for advanced NSCLC patients with EGFR mutations, greatly improving the response rate and progression-free survival (PFS) of these lung cancer patients. However, the binding of first-generation EGFR-TKIs to ATP is a reversible binding. Most initially sensitive patients will develop drug resistance after 10-12 months of first-line treatment. How to define the acquired drug resistance in the study? The IMPRESS study, as well as many other important clinical studies, is based on the 2010 Jackman criteria. What should people do when they have progressive disease (PD)? The controversy has always attracted much attention. David R. Gandara, et al., at the University of California, Davis Comprehensive Cancer Center, introduced that as of 2015, options when PD is found include: (1) changing to platinum-based chemotherapy; (2) switching to third-generation TKI therapy if the presence of the drug resistance mutation T790M is confirmed after re-biopsy; (3) continuing TKI alone; and (4) combining chemotherapy.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For </w:t>
      </w:r>
      <w:r w:rsidR="003A58EF" w:rsidRPr="00775168">
        <w:rPr>
          <w:rFonts w:ascii="Times New Roman" w:hAnsi="Times New Roman"/>
        </w:rPr>
        <w:t>oligo</w:t>
      </w:r>
      <w:r w:rsidRPr="00775168">
        <w:rPr>
          <w:rFonts w:ascii="Times New Roman" w:hAnsi="Times New Roman"/>
        </w:rPr>
        <w:t xml:space="preserve"> progression, the original EGFR-TKIs combined with local therapy are commonly continued in clinical practice. For extensive progression of multiple metastases, the following clinical options are generally: continue to use the original EGFR-TKIs, switch to first-line platinum-based standard chemotherapy, or enter the clinical study and other unused treatment methods.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The feasibility of continuing to use the original</w:t>
      </w:r>
      <w:r w:rsidR="007A5033" w:rsidRPr="00775168">
        <w:rPr>
          <w:rFonts w:ascii="Times New Roman" w:hAnsi="Times New Roman"/>
        </w:rPr>
        <w:t xml:space="preserve"> EGFR-TKIs after resistance to</w:t>
      </w:r>
      <w:r w:rsidRPr="00775168">
        <w:rPr>
          <w:rFonts w:ascii="Times New Roman" w:hAnsi="Times New Roman"/>
        </w:rPr>
        <w:t xml:space="preserve"> EGFR-TKIs is explained by the investigator through a clinical study. Based on the tumor response evaluation </w:t>
      </w:r>
      <w:r w:rsidRPr="00775168">
        <w:rPr>
          <w:rFonts w:ascii="Times New Roman" w:hAnsi="Times New Roman"/>
        </w:rPr>
        <w:lastRenderedPageBreak/>
        <w:t xml:space="preserve">criteria (RECIST) established by traditional chemotherapy, it has some limitations for judging the efficacy of targeted drugs. In clinical practice, sometimes physicians choose to postpone the switch by continuing TKI treatment for a period of time in patients who only experience PD assessed by imaging RECIST without clinical aggravation or multiple organ metastases, so can this treatment mode based on clinical practice experience maximize the clinical benefit of patients by prolonging the treatment time of TKI? In 2013, Nishino in Japan reported a retrospective study of 335 patients who progressed on EGFR-TKIs. The results showed that the survival rate of 93 patients who continued TKIs after disease progression was 1016 days. The survival rate of 242 patients who did not continue TKIs after disease progression was 797 days (P = 0.035). However, the survival of patients who received more than one chemotherapy regimen followed by EGFR-TKIs was significantly longer than that of patients who did not receive EGFR-TKIs after disease progression. There are many similar retrospective studies, basically all of which are more beneficial to continue for a period or reuse after disease progression than to discontinue it. Korean investigator Park reported a phase II, single-arm, prospective study (ASPIRATION study) in JAMA Oncol in December 2015 to evaluate the efficacy and safety of first-line treatment with erlotinib in EGFR-mutated NSCLC after progression assessed by RECIST criteria. The results showed that 359 patients were initially screened, and 208 patients were finally included in the study. The follow-up time was 11.3 months (95% CI 10.9-13.0 months). Of the 207 intent-to-treat patients (62.3% female, age 60.8 years), 176 achieved PFS1 (171 progressions, 5 deaths), of whom 93 continued to use erlotinib after progression, while 78 were no longer using it. PFS1 time was 10.8 months (95% CI 9.2 to 11.1 months). Among the 93 patients who continued to use erlotinib, 11.0 months (95% CI 9.3 to 12.0 months) for PFS1 and 14.1 months (95% CI 12.2 to 15.9 months) for PFS2. In patients with exon 19 deletions or L585R mutations, PFS1 and PFS2 were 11.0 months (95% CI 9.3 to 12.0 months) and 14.9 months (95% CI 12.2 to 17.2 months), respectively. The overall response rate was 66.2%, and the disease control rate was 82.6%. Overall survival was 31.0 months (95% CI 27.3 months to not reached). 207 patients were evaluable for safety, with an incidence of serious adverse events of 27.1% and an incidence of Grade 3 or higher adverse events of 50.2%. Analysis of plasma EGFR mutations showed a sensitivity and specificity of 77% and 92%, respectively. The ASPIRATION study data suggest that continuation of erlotinib after RECIST progression may be a viable treatment option, however the key question is how to screen patients who may benefit from continued TKI therapy after PD? In addition, can this delay in switching eventually translate into an OS benefit? This needs to be explored by further clinical studies.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Professor Wu Yilong's team explained the feasibility of combination with standard platinum-based doublet chemotherapy for advanced or locally advanced NSCLC patients after resistance to </w:t>
      </w:r>
      <w:r w:rsidRPr="00775168">
        <w:rPr>
          <w:rFonts w:ascii="Times New Roman" w:hAnsi="Times New Roman"/>
        </w:rPr>
        <w:lastRenderedPageBreak/>
        <w:t xml:space="preserve">first-line EGFR-TKIs through the IMPRESS study. The scientific question explained in the IMPRESS study was whether EGFR-TKIs should be continued in combination with standard platinum-based chemotherapy or standard platinum-based chemotherapy alone in first-line EGFR-TKIs resistance. 265 subjects from 71 centers in Asia Pacific and Europe were divided into two groups: EGFR-TKIs group (133 cases, EGFR-TKIs 250 mg/d, Pemetrexed 500 mg/m2, Pemetrexed 75 mg/m2) and control group (132 cases, placebo, Pemetrexed 500 mg/m2, Pemetrexed 75 mg/m2). The primary endpoint is PFS, and the secondary endpoints are OS, ORR, disease control rate (DCR), safety and toxicity. 1. Cytologically or pathologically confirmed locally advanced, metastatic NSCLC with positive EGFR mutation who are over 18 years of age; 2. Complete response (CR)/partial response (PR) or stable disease (SD) for more than 4 months after first-line EGFR-TKIs; 3. Radiographic progression (RECIST v11) occurred 4 weeks before randomization; 4. Expected survival more than 12 weeks, WHO score 0 ~ 1. Exclusion criteria </w:t>
      </w:r>
      <w:r w:rsidRPr="00775168">
        <w:rPr>
          <w:rFonts w:ascii="Times New Roman" w:hAnsi="Times New Roman"/>
        </w:rPr>
        <w:t>：</w:t>
      </w:r>
      <w:r w:rsidRPr="00775168">
        <w:rPr>
          <w:rFonts w:ascii="Times New Roman" w:hAnsi="Times New Roman"/>
        </w:rPr>
        <w:t xml:space="preserve"> 1. History of other tumors within 5 years; 2. Received other experimental drugs before randomization. EGFR mutation status Circulating tumor DNA (ctDNA) extracted from plasma was detected by digital PCR (BEAMing dPCR) based on magnetic bead emulsion amplification and flow cytometry.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The results of the published study in 2014 showed that there was no significant improvement in PFS in the EGFR-TKIs group, with a hazard ratio (HR) of 0.86 (P = 0.273) and a PFS of 5.4 months. The main adverse reactions were nausea and loss of appetite. No interstitial lung disease was observed. Grade 1-2 gastrointestinal toxicities were more common in the EGFR-TKIs group. Two patients died of adverse reactions related to the treatment. One patient died in the control group, related to the treatment. Overall, the safety was consistent. EGFR-TKIs combined with double-agent chemotherapy had no clinical benefit. The standard second-line treatment was double-agent chemotherapy.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The latest published OS maturity for the IMPRESS study was 66%, with the majority of deaths associated with disease progression. The OS in the EGFR-TKIs group was inferior to that in the control group (HR 1.44, P = 0.016, OS period 13.4 months vs. 19.5 months). The results of the analysis are consistent with the overall conclusions. This disadvantage was statistically different in T790M mutation-positive patients (HR 1.49, P = 0.0432) but not in T790M mutation-negative patients (HR 1.15). There was no difference in PFS between the two groups in T790M mutation-positive patients, but there was no statistical difference in T790M mutation-negative patients (HR 0.67, P = 0.0745).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For progression after TKI resistance, continuation of TKI therapy after RECIST progression in some patients is a feasible treatment strategy, and the choice of potential benefit is also a key issue; </w:t>
      </w:r>
      <w:r w:rsidRPr="00775168">
        <w:rPr>
          <w:rFonts w:ascii="Times New Roman" w:hAnsi="Times New Roman"/>
        </w:rPr>
        <w:lastRenderedPageBreak/>
        <w:t xml:space="preserve">switching to chemotherapy is currently a standard treatment after TKI resistance, but concurrent treatment with TKI on the basis of chemotherapy is not recommended, and whether sequential treatment is feasible still needs to be explored;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At present, there are few studies on the continued use of the original EGFR-KTI in combination with anti-angiogenic TKIs to prolong the survival of patients with EGFR mutations. The combination of anti-angiogenic drugs and EGFR-TKIs has a certain theoretical basis. The study results suggest that there are common downstream signaling pathways between VEGF and HER-1/EGFR, so EGFR-TKIs can also down-regulate VEGF. And a recent study showed that VEGF inhibitors can also inhibit HER-1/EGFR signaling. VEGFR-2 is a major mediator of VEGF's role in endothelial cells. After endothelial cells are stimulated by VEGF, VEGF-2 promotes cell proliferation mainly through the PKC/RAF/MAP pathway and modifies or activates a variety of signaling molecules, including Akt, ERK-2, PI3K, FAK, and csapase-9. Among them, the activation of Akt/PI3K can promote the chain reaction of EGFR signaling pathway, and there is cross-reaction between the two pathways, which has a synergistic effect. Therefore, it was concluded that EGFR-TKIs combined with VEGF could not only inhibit cell proliferation and promote apoptosis, but also reduce tumor neovascularization.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For vascular targeted drugs, to date, Bevacizumab is the only vascular targeted drug that can prolong the survival benefit in the first-line treatment of advanced NSCLC by combining with chemotherapeutic drugs, achieving definite clinical efficacy in advanced NSCLC. Bevacizumab has been explored in combination with EGFR-TKIs, providing a reference for the combination of anti-angiogenic drugs and EGFR-TKIs. </w:t>
      </w:r>
    </w:p>
    <w:p w:rsidR="00743320" w:rsidRPr="00775168" w:rsidRDefault="00DF7F26">
      <w:pPr>
        <w:pStyle w:val="P68B1DB1-aff464"/>
        <w:widowControl/>
        <w:numPr>
          <w:ilvl w:val="0"/>
          <w:numId w:val="11"/>
        </w:numPr>
        <w:spacing w:beforeLines="50" w:before="120" w:line="360" w:lineRule="auto"/>
        <w:ind w:right="301" w:firstLineChars="0"/>
        <w:jc w:val="left"/>
        <w:rPr>
          <w:rFonts w:ascii="Times New Roman" w:hAnsi="Times New Roman" w:hint="default"/>
        </w:rPr>
      </w:pPr>
      <w:r w:rsidRPr="00775168">
        <w:rPr>
          <w:rFonts w:ascii="Times New Roman" w:hAnsi="Times New Roman"/>
        </w:rPr>
        <w:t xml:space="preserve">The JO25567 study is the first prospective randomized controlled study to assess the combination of erlotinib and bevacizumab in first-line treatment of patients with EGFR-mutated NSCLC, providing new evidence for combination therapy. The trial compared the efficacy of erlotinib plus bavatinib (EB) versus erlotinib alone (E) in the first-line treatment of patients with EGFR mutation-positive advanced NSCLC. The results showed that erlotinib + bevacizumab significantly improved PFS compared with erlotinib alone in patients with EGFR mutation-positive NSCLC. </w:t>
      </w:r>
    </w:p>
    <w:p w:rsidR="00743320" w:rsidRPr="00775168" w:rsidRDefault="00DF7F26">
      <w:pPr>
        <w:pStyle w:val="P68B1DB1-aff464"/>
        <w:widowControl/>
        <w:numPr>
          <w:ilvl w:val="0"/>
          <w:numId w:val="11"/>
        </w:numPr>
        <w:spacing w:beforeLines="50" w:before="120" w:line="360" w:lineRule="auto"/>
        <w:ind w:right="301" w:firstLineChars="0"/>
        <w:jc w:val="left"/>
        <w:rPr>
          <w:rFonts w:ascii="Times New Roman" w:hAnsi="Times New Roman" w:hint="default"/>
        </w:rPr>
      </w:pPr>
      <w:r w:rsidRPr="00775168">
        <w:rPr>
          <w:rFonts w:ascii="Times New Roman" w:hAnsi="Times New Roman"/>
        </w:rPr>
        <w:t xml:space="preserve">In the TaBeLung clinical study conducted at National Kyushu Cancer Center in Japan, the EGFR mutation results also showed that erlotinib combined with bevacizumab significantly prolonged progression-free survival in patients with EGFR mutation-positive non-small cell lung cancer (combination therapy vs erlotinib group: 16.0 months vs 9.7 months). Further analysis showed that the progression-free survival was 18.0 months and 10.3 months in the </w:t>
      </w:r>
      <w:r w:rsidRPr="00775168">
        <w:rPr>
          <w:rFonts w:ascii="Times New Roman" w:hAnsi="Times New Roman"/>
        </w:rPr>
        <w:lastRenderedPageBreak/>
        <w:t xml:space="preserve">erlotinib plus bevacizumab group, respectively, for patients with deletion of exon 19 of the EGFR gene; while the progression-free survival was 13.9 months and 7.1 months in the L858R group, respectively. The objective response rates in the erlotinib plus bevacizumab group were 69.9% and 63.6%, respectively. </w:t>
      </w:r>
    </w:p>
    <w:p w:rsidR="00743320" w:rsidRPr="00775168" w:rsidRDefault="00DF7F26">
      <w:pPr>
        <w:pStyle w:val="P68B1DB1-aff464"/>
        <w:widowControl/>
        <w:numPr>
          <w:ilvl w:val="0"/>
          <w:numId w:val="11"/>
        </w:numPr>
        <w:spacing w:beforeLines="50" w:before="120" w:line="360" w:lineRule="auto"/>
        <w:ind w:right="301" w:firstLineChars="0"/>
        <w:jc w:val="left"/>
        <w:rPr>
          <w:rFonts w:ascii="Times New Roman" w:hAnsi="Times New Roman" w:hint="default"/>
        </w:rPr>
      </w:pPr>
      <w:r w:rsidRPr="00775168">
        <w:rPr>
          <w:rFonts w:ascii="Times New Roman" w:hAnsi="Times New Roman"/>
        </w:rPr>
        <w:t xml:space="preserve">Okayama Lung Cancer Research Collaborative Group reported a phase II single-arm 11-center clinical study (1001 study) to evaluate the efficacy and safety of gefitinib combined with bevacizumab in first-line treatment of advanced NSCLC with EGFR gene mutation. The results showed that the PFS time was 14.4 months in patients with advanced NSCLC with EGFR mutation treated with gemfibrozil combined with bevacizumab as first-line therapy. The analysis showed that PFS was significantly longer in patients with EGFR19 exon mutations than in those with L858R mutations (18.0 months vs 9.4 months, P = 0.006).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Both the TaLung and 1001 studies demonstrated a significant increase in PFS after the combination of EGFR-TKIs and bevacizumab, and the same conclusion was reached in the Beanalysis, that is, patients with exon 19 mutations could achieve a better therapeutic effect.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As the first effective vascular-targeted drug for the treatment of advanced NSCLC, anlotinib targets VEGFR1/2/3, FGFR1/2/3 and PDGFR</w:t>
      </w:r>
      <w:r w:rsidRPr="00775168">
        <w:rPr>
          <w:rFonts w:ascii="Times New Roman" w:hAnsi="Times New Roman"/>
        </w:rPr>
        <w:t>α</w:t>
      </w:r>
      <w:r w:rsidRPr="00775168">
        <w:rPr>
          <w:rFonts w:ascii="Times New Roman" w:hAnsi="Times New Roman"/>
        </w:rPr>
        <w:t>/</w:t>
      </w:r>
      <w:r w:rsidRPr="00775168">
        <w:rPr>
          <w:rFonts w:ascii="Times New Roman" w:hAnsi="Times New Roman"/>
        </w:rPr>
        <w:t>β</w:t>
      </w:r>
      <w:r w:rsidRPr="00775168">
        <w:rPr>
          <w:rFonts w:ascii="Times New Roman" w:hAnsi="Times New Roman"/>
        </w:rPr>
        <w:t xml:space="preserve">. Compared with bevacizumab, the inhibition of neovascularization targets is more comprehensive, which can avoid the drug resistance caused by complementary signaling pathways and achieve the effect of efficient inhibition of angiogenesis. However, the current indications of Anlotinib are as follows: third- or later-line treatment for advanced or locally advanced NSCLC. At present, there is no evidence demonstrating that patients can benefit from the combination of Anlotinib with the first-generation EGFR-TKIs in the case of </w:t>
      </w:r>
      <w:r w:rsidR="003A58EF" w:rsidRPr="00775168">
        <w:rPr>
          <w:rFonts w:ascii="Times New Roman" w:hAnsi="Times New Roman"/>
        </w:rPr>
        <w:t>gradual</w:t>
      </w:r>
      <w:r w:rsidRPr="00775168">
        <w:rPr>
          <w:rFonts w:ascii="Times New Roman" w:hAnsi="Times New Roman"/>
        </w:rPr>
        <w:t xml:space="preserve"> progression, </w:t>
      </w:r>
      <w:r w:rsidR="003A58EF" w:rsidRPr="00775168">
        <w:rPr>
          <w:rFonts w:ascii="Times New Roman" w:hAnsi="Times New Roman"/>
        </w:rPr>
        <w:t>oligo</w:t>
      </w:r>
      <w:r w:rsidRPr="00775168">
        <w:rPr>
          <w:rFonts w:ascii="Times New Roman" w:hAnsi="Times New Roman"/>
        </w:rPr>
        <w:t xml:space="preserve"> progression or risk of progression after the first-generation EGFR-TKIs (gefitinib, erlotinib, icotinib); there is no study to confirm the increased risk of AEs and SAEs during the combination, which is also a problem that the study hopes to solve. In the case of </w:t>
      </w:r>
      <w:r w:rsidR="003A58EF" w:rsidRPr="00775168">
        <w:rPr>
          <w:rFonts w:ascii="Times New Roman" w:hAnsi="Times New Roman"/>
        </w:rPr>
        <w:t>gradual</w:t>
      </w:r>
      <w:r w:rsidRPr="00775168">
        <w:rPr>
          <w:rFonts w:ascii="Times New Roman" w:hAnsi="Times New Roman"/>
        </w:rPr>
        <w:t xml:space="preserve"> progression, </w:t>
      </w:r>
      <w:r w:rsidR="003A58EF" w:rsidRPr="00775168">
        <w:rPr>
          <w:rFonts w:ascii="Times New Roman" w:hAnsi="Times New Roman"/>
        </w:rPr>
        <w:t>oligo</w:t>
      </w:r>
      <w:r w:rsidRPr="00775168">
        <w:rPr>
          <w:rFonts w:ascii="Times New Roman" w:hAnsi="Times New Roman"/>
        </w:rPr>
        <w:t xml:space="preserve"> progression or risk of progression after the treatment with first-generation EGFR-TKIs (gefitinib, erlotinib, icotinib), the options available to the patients are: 1) change to platinum-based chemotherapy; 2) if the presence of drug resistance mutation T790M is confirmed after re-biopsy, switch to third-generation TKI therapy; 3) continue the use of TKI alone; and 4) continue the use of TKI combined with chemotherapy. </w:t>
      </w:r>
    </w:p>
    <w:p w:rsidR="00743320" w:rsidRPr="00775168" w:rsidRDefault="00DF7F26">
      <w:pPr>
        <w:pStyle w:val="P68B1DB1-265"/>
        <w:rPr>
          <w:rFonts w:ascii="Times New Roman" w:eastAsia="宋体" w:hAnsi="Times New Roman" w:cs="Times New Roman"/>
        </w:rPr>
      </w:pPr>
      <w:bookmarkStart w:id="36" w:name="_Toc178589656"/>
      <w:bookmarkStart w:id="37" w:name="_Toc292713341"/>
      <w:bookmarkStart w:id="38" w:name="_Toc512941681"/>
      <w:bookmarkStart w:id="39" w:name="_Toc512940920"/>
      <w:bookmarkStart w:id="40" w:name="_Toc430282271"/>
      <w:r w:rsidRPr="00775168">
        <w:rPr>
          <w:rFonts w:ascii="Times New Roman" w:eastAsia="宋体" w:hAnsi="Times New Roman" w:cs="宋体"/>
        </w:rPr>
        <w:lastRenderedPageBreak/>
        <w:t>1.2 Background of Anlotinib Development</w:t>
      </w:r>
      <w:bookmarkEnd w:id="36"/>
      <w:r w:rsidRPr="00775168">
        <w:rPr>
          <w:rFonts w:ascii="Times New Roman" w:eastAsia="宋体" w:hAnsi="Times New Roman" w:cs="宋体"/>
        </w:rPr>
        <w:t xml:space="preserve"> </w:t>
      </w:r>
      <w:bookmarkEnd w:id="37"/>
      <w:bookmarkEnd w:id="38"/>
      <w:bookmarkEnd w:id="39"/>
      <w:bookmarkEnd w:id="40"/>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Anlotinib hydrochloride is a multi-target receptor tyrosine kinase inhibitor that can </w:t>
      </w:r>
      <w:r w:rsidRPr="00775168">
        <w:rPr>
          <w:rFonts w:ascii="Times New Roman" w:hAnsi="Times New Roman"/>
        </w:rPr>
        <w:t>①</w:t>
      </w:r>
      <w:r w:rsidRPr="00775168">
        <w:rPr>
          <w:rFonts w:ascii="Times New Roman" w:hAnsi="Times New Roman"/>
        </w:rPr>
        <w:t xml:space="preserve"> significantly inhibit angiogenesis-related kinases, such as VEGFR, FGFR, PDGFR and tumor cell proliferation-related kinase-c-Kit kinase. Inhibition of angiogenesis kinase has a broader spectrum of inhibition (e.g., on Met, FGFR1/2/3). 2 also has significant inhibitory activity against some kinase targets under study, such as Aurora-B, c-FMS, and DDR1. </w:t>
      </w:r>
      <w:r w:rsidRPr="00775168">
        <w:rPr>
          <w:rFonts w:ascii="Times New Roman" w:hAnsi="Times New Roman"/>
        </w:rPr>
        <w:t>③</w:t>
      </w:r>
      <w:r w:rsidRPr="00775168">
        <w:rPr>
          <w:rFonts w:ascii="Times New Roman" w:hAnsi="Times New Roman"/>
        </w:rPr>
        <w:t xml:space="preserve"> It has significant inhibitory activity against a variety of kinase mutants, such as PDGFR</w:t>
      </w:r>
      <w:r w:rsidRPr="00775168">
        <w:rPr>
          <w:rFonts w:ascii="Times New Roman" w:hAnsi="Times New Roman"/>
        </w:rPr>
        <w:t>α</w:t>
      </w:r>
      <w:r w:rsidRPr="00775168">
        <w:rPr>
          <w:rFonts w:ascii="Times New Roman" w:hAnsi="Times New Roman"/>
        </w:rPr>
        <w:t xml:space="preserve">, cKit, Met, EGFR, etc., and the inhibitory activity against the mutants is even stronger than that against the wild-type.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Anlotinib hydrochloride capsules are hard capsules. The structural formula of the main component, Anlotinib, is shown in the figure below: </w:t>
      </w:r>
    </w:p>
    <w:p w:rsidR="00743320" w:rsidRPr="00775168" w:rsidRDefault="00DF7F26">
      <w:pPr>
        <w:widowControl/>
        <w:spacing w:beforeLines="50" w:before="120" w:line="360" w:lineRule="auto"/>
        <w:ind w:right="301" w:firstLineChars="200" w:firstLine="420"/>
        <w:jc w:val="center"/>
        <w:rPr>
          <w:kern w:val="0"/>
          <w:sz w:val="24"/>
        </w:rPr>
      </w:pPr>
      <w:r w:rsidRPr="00775168">
        <w:object w:dxaOrig="1990" w:dyaOrig="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5pt;height:94pt" o:ole="">
            <v:imagedata r:id="rId10" o:title=""/>
          </v:shape>
          <o:OLEObject Type="Embed" ProgID="Msxml2.SAXXMLReader.5.0" ShapeID="_x0000_i1025" DrawAspect="Content" ObjectID="_1789202902" r:id="rId11"/>
        </w:object>
      </w:r>
    </w:p>
    <w:p w:rsidR="00743320" w:rsidRPr="00775168" w:rsidRDefault="00DF7F26">
      <w:pPr>
        <w:pStyle w:val="P68B1DB1-a066"/>
        <w:widowControl/>
        <w:spacing w:beforeLines="50" w:before="120" w:line="360" w:lineRule="auto"/>
        <w:ind w:right="301" w:firstLineChars="200" w:firstLine="480"/>
        <w:jc w:val="left"/>
        <w:rPr>
          <w:rFonts w:ascii="Times New Roman" w:hint="default"/>
        </w:rPr>
      </w:pPr>
      <w:r w:rsidRPr="00775168">
        <w:rPr>
          <w:rFonts w:ascii="Times New Roman"/>
        </w:rPr>
        <w:t xml:space="preserve">Molecular formula: C23H22FN3O3 </w:t>
      </w:r>
      <w:r w:rsidRPr="00775168">
        <w:rPr>
          <w:rFonts w:ascii="Times New Roman"/>
        </w:rPr>
        <w:t>•</w:t>
      </w:r>
      <w:r w:rsidRPr="00775168">
        <w:rPr>
          <w:rFonts w:ascii="Times New Roman"/>
        </w:rPr>
        <w:t xml:space="preserve"> 2HCl Molecular weight: 480.36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 xml:space="preserve">Chia Tai Tianqing Pharmaceutical Group Co., Ltd. has independent intellectual property rights in the development and application of Anlotinib Hydrochloride Capsules. In March 2011, CFDA obtained the clinical study approval letter (SFDA: 2011L00661) and approved to carry out the clinical study. Since March 2016, under the leadership of the Chest Hospital Affiliated to Shanghai Jiao Tong University, a phase III preliminary efficacy and safety study of cell lung cancer has been completed. 439 patients were randomly divided into treatment placebo group (2:1) and treatment group (12 mg/d). The study found that PFS was 5.37 months and 1.4 months, OS was 9.63 months and 6.3 months in the placebo group, while objective response rate and disease control rate were 9.18% and 80.95% in the anlotinib group, significantly better than 0.7% and 37.06% in the placebo group, respectively. Adverse effects in the Anlotinib group mainly included hypertension, proteinuria, and hand-foot syndrome, but all were mild or moderate and manageable. The results showed that anlotinib was highly effective and safe in patients with advanced non-squamous NSCLC. </w:t>
      </w:r>
    </w:p>
    <w:p w:rsidR="00743320" w:rsidRPr="00775168" w:rsidRDefault="00DF7F26">
      <w:pPr>
        <w:pStyle w:val="P68B1DB1-a063"/>
        <w:widowControl/>
        <w:spacing w:beforeLines="50" w:before="120" w:line="360" w:lineRule="auto"/>
        <w:ind w:right="301" w:firstLineChars="200" w:firstLine="480"/>
        <w:jc w:val="left"/>
        <w:rPr>
          <w:rFonts w:ascii="Times New Roman" w:hAnsi="Times New Roman" w:hint="default"/>
        </w:rPr>
      </w:pPr>
      <w:r w:rsidRPr="00775168">
        <w:rPr>
          <w:rFonts w:ascii="Times New Roman" w:hAnsi="Times New Roman"/>
        </w:rPr>
        <w:t>As the first effective vascular-targeted drug for the treatment of advanced NSCLC, its targets include VEGFR1/2/3, FGFR1/2/3 and PDGFR</w:t>
      </w:r>
      <w:r w:rsidRPr="00775168">
        <w:rPr>
          <w:rFonts w:ascii="Times New Roman" w:hAnsi="Times New Roman"/>
        </w:rPr>
        <w:t>α</w:t>
      </w:r>
      <w:r w:rsidRPr="00775168">
        <w:rPr>
          <w:rFonts w:ascii="Times New Roman" w:hAnsi="Times New Roman"/>
        </w:rPr>
        <w:t>/</w:t>
      </w:r>
      <w:r w:rsidRPr="00775168">
        <w:rPr>
          <w:rFonts w:ascii="Times New Roman" w:hAnsi="Times New Roman"/>
        </w:rPr>
        <w:t>β</w:t>
      </w:r>
      <w:r w:rsidRPr="00775168">
        <w:rPr>
          <w:rFonts w:ascii="Times New Roman" w:hAnsi="Times New Roman"/>
        </w:rPr>
        <w:t xml:space="preserve">. Compared with bevacizumab, the inhibition of neovascularization target is more comprehensive, which can avoid the drug resistance caused by </w:t>
      </w:r>
      <w:r w:rsidRPr="00775168">
        <w:rPr>
          <w:rFonts w:ascii="Times New Roman" w:hAnsi="Times New Roman"/>
        </w:rPr>
        <w:lastRenderedPageBreak/>
        <w:t xml:space="preserve">complementary signaling pathways and achieve the effect of highly effective inhibition of angiogenesis. Therefore, it can be hypothesized that the first-line treatment of wild-type non-squamous NSCLC patients with anlotinib combined with pemetrexed cisplatin can prolong the survival time of patients. </w:t>
      </w:r>
    </w:p>
    <w:p w:rsidR="00743320" w:rsidRPr="00775168" w:rsidRDefault="00DF7F26">
      <w:pPr>
        <w:pStyle w:val="P68B1DB1-265"/>
        <w:rPr>
          <w:rFonts w:ascii="Times New Roman" w:eastAsia="宋体" w:hAnsi="Times New Roman" w:cs="Times New Roman"/>
        </w:rPr>
      </w:pPr>
      <w:bookmarkStart w:id="41" w:name="_Toc178589657"/>
      <w:bookmarkStart w:id="42" w:name="_Toc512941682"/>
      <w:bookmarkStart w:id="43" w:name="_Toc430282272"/>
      <w:bookmarkStart w:id="44" w:name="_Toc292713342"/>
      <w:bookmarkStart w:id="45" w:name="_Toc512940921"/>
      <w:r w:rsidRPr="00775168">
        <w:rPr>
          <w:rFonts w:ascii="Times New Roman" w:eastAsia="宋体" w:hAnsi="Times New Roman" w:cs="宋体"/>
        </w:rPr>
        <w:t>1.3 Preclinical Study Results for Anlotinib</w:t>
      </w:r>
      <w:bookmarkEnd w:id="41"/>
      <w:r w:rsidRPr="00775168">
        <w:rPr>
          <w:rFonts w:ascii="Times New Roman" w:eastAsia="宋体" w:hAnsi="Times New Roman" w:cs="宋体"/>
        </w:rPr>
        <w:t xml:space="preserve"> </w:t>
      </w:r>
      <w:bookmarkEnd w:id="42"/>
      <w:bookmarkEnd w:id="43"/>
      <w:bookmarkEnd w:id="44"/>
      <w:bookmarkEnd w:id="45"/>
    </w:p>
    <w:p w:rsidR="00743320" w:rsidRPr="00775168" w:rsidRDefault="00DF7F26" w:rsidP="005524E2">
      <w:pPr>
        <w:pStyle w:val="P68B1DB1-377"/>
        <w:rPr>
          <w:rFonts w:ascii="Times New Roman" w:hAnsi="Times New Roman" w:hint="default"/>
        </w:rPr>
      </w:pPr>
      <w:r w:rsidRPr="00775168">
        <w:rPr>
          <w:rFonts w:ascii="Times New Roman" w:hAnsi="Times New Roman"/>
        </w:rPr>
        <w:t xml:space="preserve">1.3.1 Animal Experimental Study on Drug Metabolism of Anlotinib </w:t>
      </w:r>
    </w:p>
    <w:p w:rsidR="00743320" w:rsidRPr="00775168" w:rsidRDefault="00DF7F26">
      <w:pPr>
        <w:pStyle w:val="P68B1DB1-aff268"/>
        <w:ind w:firstLine="480"/>
        <w:rPr>
          <w:rFonts w:ascii="Times New Roman" w:hAnsi="Times New Roman" w:cs="Times New Roman" w:hint="default"/>
          <w:b/>
        </w:rPr>
      </w:pPr>
      <w:r w:rsidRPr="00775168">
        <w:rPr>
          <w:rFonts w:ascii="Times New Roman" w:hAnsi="Times New Roman"/>
        </w:rPr>
        <w:t xml:space="preserve">In the pharmacological study of Anlotinib Hydrochloride, there was no significant effect on the general behavior and spontaneous activity of mice intragastrically administered with 2, 6 and 20 mg/kg for 24 hours; different concentrations of Anlotinib Hydrochloride (0.3, 0.9 and 3 mg/kg) were administered intraduodenally to anesthetized Beagle dogs, and no significant effect on systolic blood pressure, diastolic blood pressure and mean arterial pressure was observed in each dose group during 240 minutes of observation, without arrhythmia. There was no significant effect on heart rate, PR, QRS and QTC intervals in ECG, nor on respiratory rate and respiratory amplitude. </w:t>
      </w:r>
    </w:p>
    <w:p w:rsidR="00743320" w:rsidRPr="00775168" w:rsidRDefault="00DF7F26" w:rsidP="005524E2">
      <w:pPr>
        <w:pStyle w:val="P68B1DB1-377"/>
        <w:rPr>
          <w:rFonts w:ascii="Times New Roman" w:hAnsi="Times New Roman" w:hint="default"/>
        </w:rPr>
      </w:pPr>
      <w:r w:rsidRPr="00775168">
        <w:rPr>
          <w:rFonts w:ascii="Times New Roman" w:hAnsi="Times New Roman"/>
        </w:rPr>
        <w:t xml:space="preserve">1.3.2 Preclinical Studies of Anlotinib Efficacy </w:t>
      </w:r>
    </w:p>
    <w:p w:rsidR="00743320" w:rsidRPr="00775168" w:rsidRDefault="00DF7F26">
      <w:pPr>
        <w:pStyle w:val="P68B1DB1-a070"/>
        <w:spacing w:line="360" w:lineRule="auto"/>
        <w:ind w:firstLineChars="200" w:firstLine="480"/>
        <w:rPr>
          <w:rFonts w:hint="default"/>
          <w:b/>
        </w:rPr>
      </w:pPr>
      <w:r w:rsidRPr="00775168">
        <w:t xml:space="preserve">Anlotinib hydrochloride significantly inhibited the growth of transplanted tumors in nude mice with colon cancer SW-620, ovarian cancer SK-OV-3, lung cancer Calu-3, and liver cancer SMMC-7721, and led to some tumor shrinkage; it also had a good effect on renal cancer Caki-1 and glioma U87MG. The efficacy in the above tumor models was equivalent to that of sunitinib, but significantly stronger than that of sorafenib. Whether it is a relatively low dose once daily, continuous 21-day oral regimen, or a higher dose once daily, continuous 10-day discontinuation regimen, anlotinib hydrochloride produces quite good efficacy, suggesting the flexibility of clinical medication regimen. Anlotinib hydrochloride was well tolerated in tumor-bearing mice; no significant weight loss was observed when anlotinib hydrochloride produced significant efficacy. The combination of anlotinib hydrochloride with 5-fluorouracil and oxaliplatin did not synergize with each other, at least in the colon cancer SW-620 model, and they did not synergize with each other, nor did they have a significant additive effect on toxicity </w:t>
      </w:r>
    </w:p>
    <w:p w:rsidR="00743320" w:rsidRPr="00775168" w:rsidRDefault="00DF7F26" w:rsidP="005524E2">
      <w:pPr>
        <w:pStyle w:val="P68B1DB1-377"/>
        <w:rPr>
          <w:rFonts w:ascii="Times New Roman" w:hAnsi="Times New Roman" w:hint="default"/>
        </w:rPr>
      </w:pPr>
      <w:r w:rsidRPr="00775168">
        <w:rPr>
          <w:rFonts w:ascii="Times New Roman" w:hAnsi="Times New Roman"/>
        </w:rPr>
        <w:t xml:space="preserve">1.3.3 Animal Experimental Studies on Anlotinib Toxicity </w:t>
      </w:r>
    </w:p>
    <w:p w:rsidR="00743320" w:rsidRPr="00775168" w:rsidRDefault="00DF7F26">
      <w:pPr>
        <w:pStyle w:val="P68B1DB1-a033"/>
        <w:spacing w:line="360" w:lineRule="auto"/>
      </w:pPr>
      <w:r w:rsidRPr="00775168">
        <w:t xml:space="preserve">1.3.3.1 Acute toxicity test in animals </w:t>
      </w:r>
    </w:p>
    <w:p w:rsidR="00743320" w:rsidRPr="00775168" w:rsidRDefault="00DF7F26">
      <w:pPr>
        <w:pStyle w:val="P68B1DB1-a033"/>
        <w:spacing w:line="360" w:lineRule="auto"/>
        <w:ind w:firstLineChars="150" w:firstLine="360"/>
        <w:rPr>
          <w:b/>
        </w:rPr>
      </w:pPr>
      <w:r w:rsidRPr="00775168">
        <w:rPr>
          <w:rFonts w:hint="eastAsia"/>
        </w:rPr>
        <w:t xml:space="preserve">After intragastric administration of anlotinib in ICR mice for 14 days, the LD50 was 1735.9 mg/kg, 95% confidence limit was 1365.5 to 5474.6 mg/kg; after continuous observation for 22 days, the LD50 </w:t>
      </w:r>
      <w:r w:rsidRPr="00775168">
        <w:rPr>
          <w:rFonts w:hint="eastAsia"/>
        </w:rPr>
        <w:lastRenderedPageBreak/>
        <w:t xml:space="preserve">was 982.8 mg/kg, 95% confidence limit was 657.28 to 1180.3 mg/kg. Possible target organs were liver, gallbladder, small intestine (mainly duodenum), kidney, spleen and testis. Paget's dogs were intragastrically administered with anlotinib and observed for 14 days after discontinuation; the maximum tolerated dose was 20 mg/kg and the minimum lethal dose was 67.5 mg/kg; drug-related toxicities were similar to those reported in the literature for similar drugs. </w:t>
      </w:r>
    </w:p>
    <w:p w:rsidR="00743320" w:rsidRPr="00775168" w:rsidRDefault="00DF7F26">
      <w:pPr>
        <w:pStyle w:val="P68B1DB1-a033"/>
        <w:spacing w:line="360" w:lineRule="auto"/>
      </w:pPr>
      <w:r w:rsidRPr="00775168">
        <w:t xml:space="preserve">1.3.3.2 Long-term toxicity test in animals </w:t>
      </w:r>
    </w:p>
    <w:p w:rsidR="00743320" w:rsidRPr="00775168" w:rsidRDefault="00DF7F26">
      <w:pPr>
        <w:pStyle w:val="P68B1DB1-a024"/>
        <w:autoSpaceDE w:val="0"/>
        <w:autoSpaceDN w:val="0"/>
        <w:adjustRightInd w:val="0"/>
        <w:spacing w:line="360" w:lineRule="auto"/>
        <w:ind w:firstLineChars="200" w:firstLine="480"/>
        <w:jc w:val="left"/>
        <w:rPr>
          <w:rFonts w:hint="default"/>
        </w:rPr>
      </w:pPr>
      <w:r w:rsidRPr="00775168">
        <w:t xml:space="preserve">SD rats were intragastrically administered with anlotinib for 13 consecutive weeks, followed by a 6-week recovery period. The no-observed-adverse-effect level (NOAEL) was 0.25 mg/kg; the toxic dose was </w:t>
      </w:r>
      <w:r w:rsidRPr="00775168">
        <w:t>≥</w:t>
      </w:r>
      <w:r w:rsidRPr="00775168">
        <w:t xml:space="preserve"> 1 mg/kg. The target organs of toxicity were teeth, hepatobiliary system, duodenum, pancreas, adrenal gland, kidney and hematological system. Among them, the lesions of hepatobiliary system, teeth and hematological system were significantly recovered after drug withdrawal, and the changes of other organs were completely recovered. </w:t>
      </w:r>
    </w:p>
    <w:p w:rsidR="00743320" w:rsidRPr="00775168" w:rsidRDefault="00DF7F26">
      <w:pPr>
        <w:pStyle w:val="P68B1DB1-a024"/>
        <w:spacing w:line="360" w:lineRule="auto"/>
        <w:ind w:firstLineChars="196" w:firstLine="470"/>
        <w:rPr>
          <w:rFonts w:cs="宋体" w:hint="default"/>
        </w:rPr>
      </w:pPr>
      <w:r w:rsidRPr="00775168">
        <w:t xml:space="preserve">After intragastric administration of Anlotinib Hydrochloride to Beagle dogs for 13 weeks followed by a 4-week recovery period, the main toxicities at 0.40 mg/kg (AUC0 </w:t>
      </w:r>
      <w:r w:rsidRPr="00775168">
        <w:t>→</w:t>
      </w:r>
      <w:r w:rsidRPr="00775168">
        <w:t xml:space="preserve"> 8h of 195 ng </w:t>
      </w:r>
      <w:r w:rsidRPr="00775168">
        <w:t>·</w:t>
      </w:r>
      <w:r w:rsidRPr="00775168">
        <w:t xml:space="preserve"> h/mL) were gastrointestinal reactions, slightly decreased heart rate and effects on liver and kidney functional parameters; the no-observed-adverse-effect level (NOAEL) was 0.12 mg/kg (AUC0 </w:t>
      </w:r>
      <w:r w:rsidRPr="00775168">
        <w:t>→</w:t>
      </w:r>
      <w:r w:rsidRPr="00775168">
        <w:t xml:space="preserve"> 8h of 51.7 ng </w:t>
      </w:r>
      <w:r w:rsidRPr="00775168">
        <w:t>·</w:t>
      </w:r>
      <w:r w:rsidRPr="00775168">
        <w:t xml:space="preserve"> h/mL). After 4 weeks of drug withdrawal and recovery, the above toxicities were observed to recover, and delayed toxicities were not observed. </w:t>
      </w:r>
    </w:p>
    <w:p w:rsidR="00743320" w:rsidRPr="00775168" w:rsidRDefault="00DF7F26">
      <w:pPr>
        <w:pStyle w:val="P68B1DB1-a471"/>
        <w:spacing w:line="360" w:lineRule="auto"/>
        <w:ind w:firstLineChars="0" w:firstLine="0"/>
      </w:pPr>
      <w:r w:rsidRPr="00775168">
        <w:rPr>
          <w:rFonts w:hint="eastAsia"/>
        </w:rPr>
        <w:t xml:space="preserve">1.3.3.3 Mutagenicity test and literature data </w:t>
      </w:r>
    </w:p>
    <w:p w:rsidR="00743320" w:rsidRPr="00775168" w:rsidRDefault="00DF7F26">
      <w:pPr>
        <w:pStyle w:val="P68B1DB1-a033"/>
        <w:spacing w:line="360" w:lineRule="auto"/>
        <w:ind w:firstLine="480"/>
      </w:pPr>
      <w:r w:rsidRPr="00775168">
        <w:rPr>
          <w:rFonts w:hint="eastAsia"/>
        </w:rPr>
        <w:t xml:space="preserve">Anlotinib was not mutagenic to Salmonella typhimurium in the Salmonella typhimurium reverse mutation assay (Ames); it did not induce structural chromosomal aberrations in Chinese hamster lung fibroblast (CHL) cells in the chromosomal aberration assay; and it did not induce increased micronucleus rates in mouse bone marrow polychromatic erythrocytes in the micronucleus assay. </w:t>
      </w:r>
    </w:p>
    <w:p w:rsidR="00743320" w:rsidRPr="00775168" w:rsidRDefault="00DF7F26">
      <w:pPr>
        <w:pStyle w:val="P68B1DB1-a471"/>
        <w:spacing w:line="360" w:lineRule="auto"/>
        <w:ind w:firstLineChars="0" w:firstLine="0"/>
      </w:pPr>
      <w:r w:rsidRPr="00775168">
        <w:rPr>
          <w:rFonts w:hint="eastAsia"/>
        </w:rPr>
        <w:t xml:space="preserve">1.3.3.4 Reproductive toxicity test and literature data </w:t>
      </w:r>
    </w:p>
    <w:p w:rsidR="00743320" w:rsidRPr="00775168" w:rsidRDefault="00DF7F26">
      <w:pPr>
        <w:pStyle w:val="P68B1DB1-a034"/>
        <w:spacing w:line="360" w:lineRule="auto"/>
        <w:ind w:firstLineChars="196" w:firstLine="470"/>
        <w:rPr>
          <w:rFonts w:hint="default"/>
        </w:rPr>
      </w:pPr>
      <w:r w:rsidRPr="00775168">
        <w:t xml:space="preserve">After intragastric administration of anlotinib to SD pregnant rats, the no-observed-adverse-effect level (NOAEL) for fetal development was &lt; 0.3 mg/kg. </w:t>
      </w:r>
    </w:p>
    <w:p w:rsidR="00743320" w:rsidRPr="00775168" w:rsidRDefault="00DF7F26" w:rsidP="005524E2">
      <w:pPr>
        <w:pStyle w:val="P68B1DB1-377"/>
        <w:rPr>
          <w:rFonts w:ascii="Times New Roman" w:hAnsi="Times New Roman" w:hint="default"/>
        </w:rPr>
      </w:pPr>
      <w:r w:rsidRPr="00775168">
        <w:rPr>
          <w:rFonts w:ascii="Times New Roman" w:hAnsi="Times New Roman"/>
        </w:rPr>
        <w:t xml:space="preserve">1.3.4 Summary of Preclinical Studies of Anlotinib </w:t>
      </w:r>
    </w:p>
    <w:p w:rsidR="00743320" w:rsidRPr="00775168" w:rsidRDefault="00DF7F26">
      <w:pPr>
        <w:pStyle w:val="P68B1DB1-a070"/>
        <w:spacing w:line="360" w:lineRule="auto"/>
        <w:ind w:firstLineChars="196" w:firstLine="470"/>
        <w:rPr>
          <w:rFonts w:hint="default"/>
        </w:rPr>
      </w:pPr>
      <w:r w:rsidRPr="00775168">
        <w:t xml:space="preserve">Pharmacokinetic parameters: The results of plasma pharmacokinetic studies in rats and dogs showed that after oral administration, absorption of anlotinib hydrochloride from the gastrointestinal tract was slow. Bioavailability was approximately 34% in rats and 67% in dogs. </w:t>
      </w:r>
    </w:p>
    <w:p w:rsidR="00743320" w:rsidRPr="00775168" w:rsidRDefault="00DF7F26">
      <w:pPr>
        <w:pStyle w:val="P68B1DB1-a070"/>
        <w:spacing w:line="360" w:lineRule="auto"/>
        <w:ind w:firstLineChars="196" w:firstLine="470"/>
        <w:rPr>
          <w:rFonts w:hint="default"/>
        </w:rPr>
      </w:pPr>
      <w:r w:rsidRPr="00775168">
        <w:t xml:space="preserve">Plasma protein binding rate: The protein binding rate of this product to rat, dog and human plasma was high, 97%, 96% and 93%, respectively, and changed with the change of drug concentration. </w:t>
      </w:r>
    </w:p>
    <w:p w:rsidR="00743320" w:rsidRPr="00775168" w:rsidRDefault="00DF7F26">
      <w:pPr>
        <w:pStyle w:val="P68B1DB1-a070"/>
        <w:spacing w:line="360" w:lineRule="auto"/>
        <w:ind w:firstLineChars="196" w:firstLine="470"/>
        <w:rPr>
          <w:rFonts w:hint="default"/>
        </w:rPr>
      </w:pPr>
      <w:r w:rsidRPr="00775168">
        <w:lastRenderedPageBreak/>
        <w:t xml:space="preserve">Tissue distribution: The drug concentrations in all tissues were higher than those at the same time point, and there was no significant gender difference in the tissue distribution of anlotinib. Among them, the peak concentration in lung tissue was about 184 (male rats) and 331 (female rats) times of plasma concentration at the same time, the peak concentration in spleen, adrenal gland, large intestine, small intestine, ovary and kidney was 65 ~ 144 times of plasma concentration, the peak concentration in uterus, heart, liver, stomach, bladder, bone marrow and fat was 20 ~ 47 times of plasma concentration, and the peak concentration in skeletal muscle, pancreas, testis and brain was 1.7 ~ 13 times of plasma concentration. </w:t>
      </w:r>
    </w:p>
    <w:p w:rsidR="00743320" w:rsidRPr="00775168" w:rsidRDefault="00DF7F26">
      <w:pPr>
        <w:pStyle w:val="P68B1DB1-a070"/>
        <w:spacing w:line="360" w:lineRule="auto"/>
        <w:ind w:firstLineChars="196" w:firstLine="470"/>
        <w:rPr>
          <w:rFonts w:hint="default"/>
        </w:rPr>
      </w:pPr>
      <w:r w:rsidRPr="00775168">
        <w:t xml:space="preserve">Tissue distribution in tumor-bearing mice: After oral administration, the concentration of anlotinib in the tissues of tumor-bearing nude mice was the highest at 4 hours. The AUC of anlotinib concentration in each tissue was positively correlated with the administered dose, and the AUC in liver tissue was linearly correlated with the administered dose. Lung and liver concentrations were highest in each tissue (approximately 10 to 14 times the plasma AUC), followed by kidney (approximately 5.9 to 8.6 times the plasma AUC), the AUC of anlotinib was approximately 2.4 to 2.6 times the plasma AUC, and the concentration in colon was similar to that in plasma (approximately 0.8 to 1.0 times the plasma AUC). </w:t>
      </w:r>
    </w:p>
    <w:p w:rsidR="00743320" w:rsidRPr="00775168" w:rsidRDefault="00DF7F26">
      <w:pPr>
        <w:pStyle w:val="P68B1DB1-a024"/>
        <w:spacing w:line="360" w:lineRule="auto"/>
        <w:ind w:firstLine="480"/>
        <w:rPr>
          <w:rFonts w:hint="default"/>
        </w:rPr>
      </w:pPr>
      <w:r w:rsidRPr="00775168">
        <w:t xml:space="preserve">Excretion: Cumulative excretion of unchanged anlotinib hydrochloride in urine (0 </w:t>
      </w:r>
      <w:r w:rsidRPr="00775168">
        <w:t>–</w:t>
      </w:r>
      <w:r w:rsidRPr="00775168">
        <w:t xml:space="preserve"> 72 h), feces (0 </w:t>
      </w:r>
      <w:r w:rsidRPr="00775168">
        <w:t>–</w:t>
      </w:r>
      <w:r w:rsidRPr="00775168">
        <w:t xml:space="preserve"> 72 h) and bile (0 </w:t>
      </w:r>
      <w:r w:rsidRPr="00775168">
        <w:t>–</w:t>
      </w:r>
      <w:r w:rsidRPr="00775168">
        <w:t xml:space="preserve"> 24 h) (Cum. Ae) less than 5% of the injected dose (1.5 mg/kg). These results suggest that metabolic transformation is the main elimination pathway of anlotinib. </w:t>
      </w:r>
    </w:p>
    <w:p w:rsidR="00743320" w:rsidRPr="00775168" w:rsidRDefault="00DF7F26">
      <w:pPr>
        <w:pStyle w:val="P68B1DB1-a070"/>
        <w:spacing w:line="360" w:lineRule="auto"/>
        <w:ind w:firstLineChars="196" w:firstLine="470"/>
        <w:rPr>
          <w:rFonts w:cs="宋体" w:hint="default"/>
        </w:rPr>
      </w:pPr>
      <w:r w:rsidRPr="00775168">
        <w:t xml:space="preserve">Metabolites: 23 metabolites were detected in rat bile; 16 metabolites were detected in rat urine; 12 metabolites were detected in feces; and 8 metabolites were detected in plasma. Among them, M16, M21 and M23 were the three most important plasma metabolites. M16 had the highest cumulative excretion in urine and bile, while M18 had the highest content in feces. </w:t>
      </w:r>
    </w:p>
    <w:p w:rsidR="00743320" w:rsidRPr="00775168" w:rsidRDefault="00DF7F26">
      <w:pPr>
        <w:pStyle w:val="P68B1DB1-a01"/>
        <w:spacing w:line="360" w:lineRule="auto"/>
        <w:ind w:firstLineChars="196" w:firstLine="470"/>
      </w:pPr>
      <w:r w:rsidRPr="00775168">
        <w:rPr>
          <w:rFonts w:hint="eastAsia"/>
        </w:rPr>
        <w:t xml:space="preserve">Anlotinib hydrochloride is primarily metabolized by CYP1A2 and CYP3A4/5. It is metabolized by CYP2B6, CYP2C8, CYP2C9, CYP2C19, and CYP2D6; anlotinib is not a substrate of P-glycoprotein. </w:t>
      </w:r>
    </w:p>
    <w:p w:rsidR="00743320" w:rsidRPr="00775168" w:rsidRDefault="00DF7F26">
      <w:pPr>
        <w:pStyle w:val="P68B1DB1-a072"/>
        <w:spacing w:line="360" w:lineRule="auto"/>
        <w:ind w:firstLineChars="196" w:firstLine="470"/>
        <w:rPr>
          <w:rFonts w:hint="default"/>
        </w:rPr>
      </w:pPr>
      <w:r w:rsidRPr="00775168">
        <w:t xml:space="preserve">CYP3A4/5 inducers (rifampicin, rifabutin, rifapentine, dexamethasone, phenytoin, carbamazepine or phenobarbital, etc.) and CYP1A2 inducers (montelukast, omeprazole, moricizine, etc.) may accelerate the metabolism of anlotinib hydrochloride and reduce its plasma concentration; strong CYP3A4/5 inhibitors (ketoconazole, itraconazole, clarithromycin, voriconazole, telithromycin, saquinavir, ritonavir, etc.) and strong CYP1A2 inhibitors (ciprofloxacin, enoxacin and fluvoxamine) may slow down the metabolism of anlotinib hydrochloride and increase its plasma concentration. </w:t>
      </w:r>
    </w:p>
    <w:p w:rsidR="00743320" w:rsidRPr="00775168" w:rsidRDefault="00DF7F26">
      <w:pPr>
        <w:pStyle w:val="P68B1DB1-a01"/>
        <w:spacing w:line="360" w:lineRule="auto"/>
        <w:ind w:firstLineChars="196" w:firstLine="470"/>
      </w:pPr>
      <w:r w:rsidRPr="00775168">
        <w:t xml:space="preserve">It is recommended to avoid co-administration with inhibitors and inducers of CYP1A2 and CYP3A4. </w:t>
      </w:r>
    </w:p>
    <w:p w:rsidR="00743320" w:rsidRPr="00775168" w:rsidRDefault="00DF7F26">
      <w:pPr>
        <w:pStyle w:val="P68B1DB1-a01"/>
        <w:spacing w:line="360" w:lineRule="auto"/>
        <w:ind w:firstLineChars="200" w:firstLine="480"/>
        <w:rPr>
          <w:b/>
        </w:rPr>
      </w:pPr>
      <w:r w:rsidRPr="00775168">
        <w:rPr>
          <w:rFonts w:hint="eastAsia"/>
        </w:rPr>
        <w:t xml:space="preserve">Metabolizing enzyme activity: Anlotinib had moderate and weak reversible inhibitory effects on 7 CYP enzymes (8 substrates) in human liver microsomes, and the specific intensity of action (IC50) was &gt; 100 µM (CYP1A2), 4.96 µM (CYP2B6), 3.71 µM (CYP2C8), 1.56 µM (CYP2C9), 1.67 µM (CYP2C19), </w:t>
      </w:r>
      <w:r w:rsidRPr="00775168">
        <w:rPr>
          <w:rFonts w:hint="eastAsia"/>
        </w:rPr>
        <w:lastRenderedPageBreak/>
        <w:t xml:space="preserve">18.5 µM (CYP 2D6), 9.56 µM (CYP3A4-midazolam), and 2.09 µM (CYP3A4-testosterone). The results of in vitro studies on the induction of three CYP450 isoforms CYP1A2, CYP2B6 and CYP3A4 by anlotinib in human hepatocytes suggest that clinical application of anlotinib has no significant induction effect on CYP1A2, CYP2B6 and CYP3A4. The concomitant use of anlotinib with drugs with a narrow therapeutic range metabolized by these enzymes, such as alfentanil and ergotamine metabolized by CYP3A4 and warfarin metabolized by CYP2C9, should be avoided. </w:t>
      </w:r>
    </w:p>
    <w:p w:rsidR="00743320" w:rsidRPr="00775168" w:rsidRDefault="00DF7F26">
      <w:pPr>
        <w:pStyle w:val="P68B1DB1-265"/>
        <w:rPr>
          <w:rFonts w:ascii="Times New Roman" w:eastAsia="宋体" w:hAnsi="Times New Roman" w:cs="Times New Roman"/>
        </w:rPr>
      </w:pPr>
      <w:bookmarkStart w:id="46" w:name="_Toc178589658"/>
      <w:bookmarkStart w:id="47" w:name="_Toc512941683"/>
      <w:bookmarkStart w:id="48" w:name="_Toc512940922"/>
      <w:bookmarkStart w:id="49" w:name="_Toc351496204"/>
      <w:bookmarkStart w:id="50" w:name="_Toc361143314"/>
      <w:bookmarkStart w:id="51" w:name="_Toc391568324"/>
      <w:bookmarkStart w:id="52" w:name="_Toc387775222"/>
      <w:bookmarkStart w:id="53" w:name="_Toc432523572"/>
      <w:bookmarkStart w:id="54" w:name="_Toc388447535"/>
      <w:bookmarkStart w:id="55" w:name="_Toc387776081"/>
      <w:bookmarkStart w:id="56" w:name="_Toc341248095"/>
      <w:bookmarkStart w:id="57" w:name="_Toc190163349"/>
      <w:bookmarkStart w:id="58" w:name="_Toc292713345"/>
      <w:bookmarkStart w:id="59" w:name="_Toc430282275"/>
      <w:bookmarkStart w:id="60" w:name="_Toc190163350"/>
      <w:r w:rsidRPr="00775168">
        <w:rPr>
          <w:rFonts w:ascii="Times New Roman" w:eastAsia="宋体" w:hAnsi="Times New Roman" w:cs="宋体"/>
        </w:rPr>
        <w:t xml:space="preserve">1.4 Phase </w:t>
      </w:r>
      <w:r w:rsidR="007A5033" w:rsidRPr="00775168">
        <w:rPr>
          <w:rFonts w:ascii="Times New Roman" w:eastAsia="宋体" w:hAnsi="Times New Roman" w:cs="宋体"/>
        </w:rPr>
        <w:t>I</w:t>
      </w:r>
      <w:r w:rsidRPr="00775168">
        <w:rPr>
          <w:rFonts w:ascii="Times New Roman" w:eastAsia="宋体" w:hAnsi="Times New Roman" w:cs="宋体"/>
        </w:rPr>
        <w:t xml:space="preserve"> Tolerability and Preliminary Efficacy Results</w:t>
      </w:r>
      <w:bookmarkEnd w:id="46"/>
      <w:r w:rsidRPr="00775168">
        <w:rPr>
          <w:rFonts w:ascii="Times New Roman" w:eastAsia="宋体" w:hAnsi="Times New Roman" w:cs="宋体"/>
        </w:rPr>
        <w:t xml:space="preserve"> </w:t>
      </w:r>
      <w:bookmarkEnd w:id="47"/>
      <w:bookmarkEnd w:id="48"/>
      <w:bookmarkEnd w:id="49"/>
      <w:bookmarkEnd w:id="50"/>
      <w:bookmarkEnd w:id="51"/>
      <w:bookmarkEnd w:id="52"/>
      <w:bookmarkEnd w:id="53"/>
      <w:bookmarkEnd w:id="54"/>
      <w:bookmarkEnd w:id="55"/>
      <w:bookmarkEnd w:id="56"/>
    </w:p>
    <w:p w:rsidR="00743320" w:rsidRPr="00775168" w:rsidRDefault="00DF7F26">
      <w:pPr>
        <w:pStyle w:val="31"/>
        <w:snapToGrid w:val="0"/>
        <w:rPr>
          <w:kern w:val="0"/>
        </w:rPr>
      </w:pPr>
      <w:r w:rsidRPr="00775168">
        <w:rPr>
          <w:rFonts w:hint="eastAsia"/>
        </w:rPr>
        <w:t xml:space="preserve">Phase I tolerability and preliminary efficacy studies included patients with malignant solid tumors who had a definite diagnosis and had failed standard treatment or lacked standard treatment to observe the tolerability of using Anlotinib Hydrochloride Capsules. </w:t>
      </w:r>
    </w:p>
    <w:p w:rsidR="00743320" w:rsidRPr="00775168" w:rsidRDefault="00DF7F26" w:rsidP="005524E2">
      <w:pPr>
        <w:pStyle w:val="P68B1DB1-377"/>
        <w:rPr>
          <w:rFonts w:ascii="Times New Roman" w:hAnsi="Times New Roman" w:hint="default"/>
        </w:rPr>
      </w:pPr>
      <w:r w:rsidRPr="00775168">
        <w:rPr>
          <w:rFonts w:ascii="Times New Roman" w:hAnsi="Times New Roman"/>
        </w:rPr>
        <w:t xml:space="preserve">1.4.1 Tolerability of continuous administration </w:t>
      </w:r>
    </w:p>
    <w:p w:rsidR="00743320" w:rsidRPr="00775168" w:rsidRDefault="00DF7F26">
      <w:pPr>
        <w:pStyle w:val="P68B1DB1-a070"/>
        <w:snapToGrid w:val="0"/>
        <w:spacing w:line="360" w:lineRule="auto"/>
        <w:ind w:firstLineChars="200" w:firstLine="480"/>
        <w:rPr>
          <w:rFonts w:hint="default"/>
        </w:rPr>
      </w:pPr>
      <w:r w:rsidRPr="00775168">
        <w:t xml:space="preserve">The initial study found that the elimination half-life of Anlotinib Hydrochloride Capsules in the human body was increased, and there was drug accumulation in the patients under continuous medication. There were many adverse reactions during the treatment of 10 mg for 28 days as a cycle. Considering the patient's tolerance, the study protocol with 2-week dosing followed by 1-week break was explored for tolerance observation, i.e., treatment for 2 consecutive weeks followed by 1-week break, i.e., 3 weeks (21 days) as a treatment cycle, with at least 2 cycles (42 days) of treatment. The results of the study are as follows: </w:t>
      </w:r>
    </w:p>
    <w:p w:rsidR="00743320" w:rsidRPr="00775168" w:rsidRDefault="00DF7F26">
      <w:pPr>
        <w:pStyle w:val="31"/>
        <w:snapToGrid w:val="0"/>
        <w:rPr>
          <w:kern w:val="0"/>
        </w:rPr>
      </w:pPr>
      <w:r w:rsidRPr="00775168">
        <w:rPr>
          <w:rFonts w:hint="eastAsia"/>
          <w:kern w:val="0"/>
          <w:u w:val="single"/>
        </w:rPr>
        <w:t xml:space="preserve">10 mg qd for 2 stops 1 regimen: </w:t>
      </w:r>
    </w:p>
    <w:p w:rsidR="00743320" w:rsidRPr="00775168" w:rsidRDefault="00DF7F26">
      <w:pPr>
        <w:pStyle w:val="P68B1DB1-a070"/>
        <w:snapToGrid w:val="0"/>
        <w:spacing w:line="360" w:lineRule="auto"/>
        <w:ind w:firstLineChars="200" w:firstLine="480"/>
        <w:rPr>
          <w:rFonts w:hint="default"/>
        </w:rPr>
      </w:pPr>
      <w:r w:rsidRPr="00775168">
        <w:t xml:space="preserve">In this study protocol, a total of 3 patients were observed. The adverse reactions occurring within 2 cycles were as follows: </w:t>
      </w:r>
    </w:p>
    <w:tbl>
      <w:tblPr>
        <w:tblW w:w="6484" w:type="dxa"/>
        <w:jc w:val="center"/>
        <w:tblBorders>
          <w:top w:val="single" w:sz="4" w:space="0" w:color="auto"/>
          <w:bottom w:val="single" w:sz="4" w:space="0" w:color="auto"/>
        </w:tblBorders>
        <w:tblLayout w:type="fixed"/>
        <w:tblLook w:val="04A0" w:firstRow="1" w:lastRow="0" w:firstColumn="1" w:lastColumn="0" w:noHBand="0" w:noVBand="1"/>
      </w:tblPr>
      <w:tblGrid>
        <w:gridCol w:w="2704"/>
        <w:gridCol w:w="1796"/>
        <w:gridCol w:w="1984"/>
      </w:tblGrid>
      <w:tr w:rsidR="00743320" w:rsidRPr="00775168">
        <w:trPr>
          <w:jc w:val="center"/>
        </w:trPr>
        <w:tc>
          <w:tcPr>
            <w:tcW w:w="2704"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Item </w:t>
            </w:r>
          </w:p>
        </w:tc>
        <w:tc>
          <w:tcPr>
            <w:tcW w:w="1796" w:type="dxa"/>
            <w:tcBorders>
              <w:top w:val="single" w:sz="4" w:space="0" w:color="auto"/>
              <w:bottom w:val="single" w:sz="4" w:space="0" w:color="auto"/>
            </w:tcBorders>
            <w:vAlign w:val="center"/>
          </w:tcPr>
          <w:p w:rsidR="00743320" w:rsidRPr="00775168" w:rsidRDefault="00DF7F26">
            <w:pPr>
              <w:pStyle w:val="P68B1DB1-a024"/>
              <w:adjustRightInd w:val="0"/>
              <w:snapToGrid w:val="0"/>
              <w:jc w:val="center"/>
              <w:rPr>
                <w:rFonts w:hint="default"/>
              </w:rPr>
            </w:pPr>
            <w:r w:rsidRPr="00775168">
              <w:t xml:space="preserve">N = 3 </w:t>
            </w:r>
          </w:p>
        </w:tc>
        <w:tc>
          <w:tcPr>
            <w:tcW w:w="1984"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Severity </w:t>
            </w:r>
          </w:p>
        </w:tc>
      </w:tr>
      <w:tr w:rsidR="00743320" w:rsidRPr="00775168">
        <w:trPr>
          <w:jc w:val="center"/>
        </w:trPr>
        <w:tc>
          <w:tcPr>
            <w:tcW w:w="2704"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Experiencing at least one adverse event </w:t>
            </w:r>
          </w:p>
        </w:tc>
        <w:tc>
          <w:tcPr>
            <w:tcW w:w="1796" w:type="dxa"/>
            <w:tcBorders>
              <w:top w:val="single" w:sz="4" w:space="0" w:color="auto"/>
              <w:bottom w:val="single" w:sz="4" w:space="0" w:color="auto"/>
            </w:tcBorders>
            <w:vAlign w:val="center"/>
          </w:tcPr>
          <w:p w:rsidR="00743320" w:rsidRPr="00775168" w:rsidRDefault="00DF7F26">
            <w:pPr>
              <w:pStyle w:val="P68B1DB1-a033"/>
              <w:adjustRightInd w:val="0"/>
              <w:snapToGrid w:val="0"/>
              <w:jc w:val="center"/>
            </w:pPr>
            <w:r w:rsidRPr="00775168">
              <w:t xml:space="preserve">3 </w:t>
            </w:r>
          </w:p>
        </w:tc>
        <w:tc>
          <w:tcPr>
            <w:tcW w:w="1984"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 </w:t>
            </w:r>
          </w:p>
        </w:tc>
      </w:tr>
      <w:tr w:rsidR="00743320" w:rsidRPr="00775168">
        <w:trPr>
          <w:jc w:val="center"/>
        </w:trPr>
        <w:tc>
          <w:tcPr>
            <w:tcW w:w="2704" w:type="dxa"/>
            <w:tcBorders>
              <w:top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Lipid, amylase increased </w:t>
            </w:r>
          </w:p>
        </w:tc>
        <w:tc>
          <w:tcPr>
            <w:tcW w:w="1796" w:type="dxa"/>
            <w:tcBorders>
              <w:top w:val="single" w:sz="4" w:space="0" w:color="auto"/>
            </w:tcBorders>
            <w:vAlign w:val="center"/>
          </w:tcPr>
          <w:p w:rsidR="00743320" w:rsidRPr="00775168" w:rsidRDefault="00DF7F26">
            <w:pPr>
              <w:pStyle w:val="P68B1DB1-a033"/>
              <w:spacing w:line="276" w:lineRule="auto"/>
              <w:jc w:val="center"/>
            </w:pPr>
            <w:r w:rsidRPr="00775168">
              <w:t xml:space="preserve">1 </w:t>
            </w:r>
          </w:p>
        </w:tc>
        <w:tc>
          <w:tcPr>
            <w:tcW w:w="1984" w:type="dxa"/>
            <w:tcBorders>
              <w:top w:val="single" w:sz="4" w:space="0" w:color="auto"/>
            </w:tcBorders>
            <w:vAlign w:val="center"/>
          </w:tcPr>
          <w:p w:rsidR="00743320" w:rsidRPr="00775168" w:rsidRDefault="00DF7F26">
            <w:pPr>
              <w:pStyle w:val="P68B1DB1-a024"/>
              <w:spacing w:line="276" w:lineRule="auto"/>
              <w:jc w:val="center"/>
              <w:rPr>
                <w:rFonts w:hint="default"/>
              </w:rPr>
            </w:pPr>
            <w:r w:rsidRPr="00775168">
              <w:t xml:space="preserve">Class III </w:t>
            </w:r>
          </w:p>
        </w:tc>
      </w:tr>
      <w:tr w:rsidR="00743320" w:rsidRPr="00775168">
        <w:trPr>
          <w:jc w:val="center"/>
        </w:trPr>
        <w:tc>
          <w:tcPr>
            <w:tcW w:w="2704" w:type="dxa"/>
            <w:vAlign w:val="center"/>
          </w:tcPr>
          <w:p w:rsidR="00743320" w:rsidRPr="00775168" w:rsidRDefault="00DF7F26">
            <w:pPr>
              <w:pStyle w:val="P68B1DB1-a09"/>
              <w:spacing w:line="276" w:lineRule="auto"/>
              <w:jc w:val="center"/>
              <w:rPr>
                <w:rFonts w:hint="default"/>
              </w:rPr>
            </w:pPr>
            <w:r w:rsidRPr="00775168">
              <w:t xml:space="preserve">Asthenia </w:t>
            </w:r>
          </w:p>
        </w:tc>
        <w:tc>
          <w:tcPr>
            <w:tcW w:w="1796" w:type="dxa"/>
            <w:vAlign w:val="center"/>
          </w:tcPr>
          <w:p w:rsidR="00743320" w:rsidRPr="00775168" w:rsidRDefault="00DF7F26">
            <w:pPr>
              <w:pStyle w:val="P68B1DB1-a033"/>
              <w:spacing w:line="276" w:lineRule="auto"/>
              <w:jc w:val="center"/>
            </w:pPr>
            <w:r w:rsidRPr="00775168">
              <w:t xml:space="preserve">1 </w:t>
            </w:r>
          </w:p>
        </w:tc>
        <w:tc>
          <w:tcPr>
            <w:tcW w:w="1984" w:type="dxa"/>
            <w:vAlign w:val="center"/>
          </w:tcPr>
          <w:p w:rsidR="00743320" w:rsidRPr="00775168" w:rsidRDefault="00DF7F26">
            <w:pPr>
              <w:pStyle w:val="P68B1DB1-a024"/>
              <w:spacing w:line="276" w:lineRule="auto"/>
              <w:jc w:val="center"/>
              <w:rPr>
                <w:rFonts w:hint="default"/>
              </w:rPr>
            </w:pPr>
            <w:r w:rsidRPr="00775168">
              <w:t xml:space="preserve">Level II </w:t>
            </w:r>
          </w:p>
        </w:tc>
      </w:tr>
      <w:tr w:rsidR="00743320" w:rsidRPr="00775168">
        <w:trPr>
          <w:jc w:val="center"/>
        </w:trPr>
        <w:tc>
          <w:tcPr>
            <w:tcW w:w="2704" w:type="dxa"/>
            <w:vAlign w:val="center"/>
          </w:tcPr>
          <w:p w:rsidR="00743320" w:rsidRPr="00775168" w:rsidRDefault="00DF7F26">
            <w:pPr>
              <w:pStyle w:val="P68B1DB1-a09"/>
              <w:spacing w:line="276" w:lineRule="auto"/>
              <w:jc w:val="center"/>
              <w:rPr>
                <w:rFonts w:hint="default"/>
              </w:rPr>
            </w:pPr>
            <w:r w:rsidRPr="00775168">
              <w:t xml:space="preserve">Blood pressure increased </w:t>
            </w:r>
          </w:p>
        </w:tc>
        <w:tc>
          <w:tcPr>
            <w:tcW w:w="1796" w:type="dxa"/>
            <w:vAlign w:val="center"/>
          </w:tcPr>
          <w:p w:rsidR="00743320" w:rsidRPr="00775168" w:rsidRDefault="00DF7F26">
            <w:pPr>
              <w:pStyle w:val="P68B1DB1-a033"/>
              <w:spacing w:line="276" w:lineRule="auto"/>
              <w:jc w:val="center"/>
            </w:pPr>
            <w:r w:rsidRPr="00775168">
              <w:t xml:space="preserve">1 </w:t>
            </w:r>
          </w:p>
        </w:tc>
        <w:tc>
          <w:tcPr>
            <w:tcW w:w="1984" w:type="dxa"/>
            <w:vAlign w:val="center"/>
          </w:tcPr>
          <w:p w:rsidR="00743320" w:rsidRPr="00775168" w:rsidRDefault="00DF7F26">
            <w:pPr>
              <w:pStyle w:val="P68B1DB1-a024"/>
              <w:spacing w:line="276" w:lineRule="auto"/>
              <w:jc w:val="center"/>
              <w:rPr>
                <w:rFonts w:hint="default"/>
              </w:rPr>
            </w:pPr>
            <w:r w:rsidRPr="00775168">
              <w:t xml:space="preserve">Level I </w:t>
            </w:r>
          </w:p>
        </w:tc>
      </w:tr>
      <w:tr w:rsidR="00743320" w:rsidRPr="00775168">
        <w:trPr>
          <w:jc w:val="center"/>
        </w:trPr>
        <w:tc>
          <w:tcPr>
            <w:tcW w:w="2704" w:type="dxa"/>
            <w:vAlign w:val="center"/>
          </w:tcPr>
          <w:p w:rsidR="00743320" w:rsidRPr="00775168" w:rsidRDefault="00DF7F26">
            <w:pPr>
              <w:pStyle w:val="P68B1DB1-a09"/>
              <w:spacing w:line="276" w:lineRule="auto"/>
              <w:jc w:val="center"/>
              <w:rPr>
                <w:rFonts w:hint="default"/>
              </w:rPr>
            </w:pPr>
            <w:r w:rsidRPr="00775168">
              <w:t xml:space="preserve">Diarrhoea, abdominal pain </w:t>
            </w:r>
          </w:p>
        </w:tc>
        <w:tc>
          <w:tcPr>
            <w:tcW w:w="1796" w:type="dxa"/>
            <w:vAlign w:val="center"/>
          </w:tcPr>
          <w:p w:rsidR="00743320" w:rsidRPr="00775168" w:rsidRDefault="00DF7F26">
            <w:pPr>
              <w:pStyle w:val="P68B1DB1-a033"/>
              <w:spacing w:line="276" w:lineRule="auto"/>
              <w:jc w:val="center"/>
            </w:pPr>
            <w:r w:rsidRPr="00775168">
              <w:t xml:space="preserve">1 </w:t>
            </w:r>
          </w:p>
        </w:tc>
        <w:tc>
          <w:tcPr>
            <w:tcW w:w="1984" w:type="dxa"/>
            <w:vAlign w:val="center"/>
          </w:tcPr>
          <w:p w:rsidR="00743320" w:rsidRPr="00775168" w:rsidRDefault="00DF7F26">
            <w:pPr>
              <w:pStyle w:val="P68B1DB1-a024"/>
              <w:spacing w:line="276" w:lineRule="auto"/>
              <w:jc w:val="center"/>
              <w:rPr>
                <w:rFonts w:hint="default"/>
              </w:rPr>
            </w:pPr>
            <w:r w:rsidRPr="00775168">
              <w:t xml:space="preserve">Level I </w:t>
            </w:r>
          </w:p>
        </w:tc>
      </w:tr>
      <w:tr w:rsidR="00743320" w:rsidRPr="00775168">
        <w:trPr>
          <w:jc w:val="center"/>
        </w:trPr>
        <w:tc>
          <w:tcPr>
            <w:tcW w:w="2704" w:type="dxa"/>
            <w:tcBorders>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Hoarseness </w:t>
            </w:r>
          </w:p>
        </w:tc>
        <w:tc>
          <w:tcPr>
            <w:tcW w:w="1796" w:type="dxa"/>
            <w:tcBorders>
              <w:bottom w:val="single" w:sz="4" w:space="0" w:color="auto"/>
            </w:tcBorders>
            <w:vAlign w:val="center"/>
          </w:tcPr>
          <w:p w:rsidR="00743320" w:rsidRPr="00775168" w:rsidRDefault="00DF7F26">
            <w:pPr>
              <w:pStyle w:val="P68B1DB1-a033"/>
              <w:spacing w:line="276" w:lineRule="auto"/>
              <w:jc w:val="center"/>
            </w:pPr>
            <w:r w:rsidRPr="00775168">
              <w:t xml:space="preserve">2 </w:t>
            </w:r>
          </w:p>
        </w:tc>
        <w:tc>
          <w:tcPr>
            <w:tcW w:w="1984" w:type="dxa"/>
            <w:tcBorders>
              <w:bottom w:val="single" w:sz="4" w:space="0" w:color="auto"/>
            </w:tcBorders>
            <w:vAlign w:val="center"/>
          </w:tcPr>
          <w:p w:rsidR="00743320" w:rsidRPr="00775168" w:rsidRDefault="00DF7F26">
            <w:pPr>
              <w:pStyle w:val="P68B1DB1-a024"/>
              <w:spacing w:line="276" w:lineRule="auto"/>
              <w:jc w:val="center"/>
              <w:rPr>
                <w:rFonts w:hint="default"/>
              </w:rPr>
            </w:pPr>
            <w:r w:rsidRPr="00775168">
              <w:t xml:space="preserve">Level I </w:t>
            </w:r>
          </w:p>
        </w:tc>
      </w:tr>
    </w:tbl>
    <w:p w:rsidR="00743320" w:rsidRPr="00775168" w:rsidRDefault="00DF7F26">
      <w:pPr>
        <w:pStyle w:val="31"/>
        <w:snapToGrid w:val="0"/>
        <w:rPr>
          <w:kern w:val="0"/>
        </w:rPr>
      </w:pPr>
      <w:r w:rsidRPr="00775168">
        <w:rPr>
          <w:rFonts w:hint="eastAsia"/>
          <w:kern w:val="0"/>
        </w:rPr>
        <w:t xml:space="preserve">One patient with the above amylase abnormality had abnormal elevation of lipase and amylase after 5 cycles of treatment, which fluctuated within the range of Grade 1-3, with the highest incidence of Grade 4 lipase elevation and Grade 3 amylase elevation. During the study, patients took Xiaoyanlidan Tablets until tumor progression (118 weeks). </w:t>
      </w:r>
    </w:p>
    <w:p w:rsidR="00743320" w:rsidRPr="00775168" w:rsidRDefault="00DF7F26">
      <w:pPr>
        <w:pStyle w:val="31"/>
        <w:snapToGrid w:val="0"/>
        <w:rPr>
          <w:kern w:val="0"/>
          <w:u w:val="single"/>
        </w:rPr>
      </w:pPr>
      <w:r w:rsidRPr="00775168">
        <w:rPr>
          <w:rFonts w:hint="eastAsia"/>
          <w:kern w:val="0"/>
        </w:rPr>
        <w:lastRenderedPageBreak/>
        <w:t xml:space="preserve">During treatment after Cycle 2, 1 patient had grade 2 adverse reactions of diarrhea and leukopenia. Grade 1 adverse reactions included: 1 case of headache/dizziness, 1 case of hand-foot-skin reaction, 1 case of leukopenia, proteinuria and elevated transaminases. </w:t>
      </w:r>
    </w:p>
    <w:p w:rsidR="00743320" w:rsidRPr="00775168" w:rsidRDefault="00DF7F26">
      <w:pPr>
        <w:pStyle w:val="31"/>
        <w:snapToGrid w:val="0"/>
        <w:rPr>
          <w:kern w:val="0"/>
        </w:rPr>
      </w:pPr>
      <w:r w:rsidRPr="00775168">
        <w:rPr>
          <w:rFonts w:hint="eastAsia"/>
          <w:kern w:val="0"/>
          <w:u w:val="single"/>
        </w:rPr>
        <w:t xml:space="preserve">16 mg qd for 2 stops 1 regimen: </w:t>
      </w:r>
    </w:p>
    <w:p w:rsidR="00743320" w:rsidRPr="00775168" w:rsidRDefault="00DF7F26">
      <w:pPr>
        <w:pStyle w:val="31"/>
        <w:snapToGrid w:val="0"/>
        <w:rPr>
          <w:kern w:val="0"/>
        </w:rPr>
      </w:pPr>
      <w:r w:rsidRPr="00775168">
        <w:rPr>
          <w:rFonts w:hint="eastAsia"/>
        </w:rPr>
        <w:t xml:space="preserve">A total of 3 patients were enrolled in this medication regimen. One patient developed grade 3 hypertension (week 3) and grade 3 fatigue within 2 cycles of medication, respectively. The investigator considered 16 mg to be the dose at which Anlotinib Hydrochloride Capsules experienced limiting toxicity (DLT) on this dosing regimen. Additional adverse events that occurred within 2 cycles are listed in the table below. </w:t>
      </w:r>
    </w:p>
    <w:tbl>
      <w:tblPr>
        <w:tblW w:w="6568" w:type="dxa"/>
        <w:jc w:val="center"/>
        <w:tblBorders>
          <w:top w:val="single" w:sz="4" w:space="0" w:color="auto"/>
          <w:bottom w:val="single" w:sz="4" w:space="0" w:color="auto"/>
        </w:tblBorders>
        <w:tblLayout w:type="fixed"/>
        <w:tblLook w:val="04A0" w:firstRow="1" w:lastRow="0" w:firstColumn="1" w:lastColumn="0" w:noHBand="0" w:noVBand="1"/>
      </w:tblPr>
      <w:tblGrid>
        <w:gridCol w:w="2940"/>
        <w:gridCol w:w="1714"/>
        <w:gridCol w:w="1914"/>
      </w:tblGrid>
      <w:tr w:rsidR="00743320" w:rsidRPr="00775168">
        <w:trPr>
          <w:jc w:val="center"/>
        </w:trPr>
        <w:tc>
          <w:tcPr>
            <w:tcW w:w="2940"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Item </w:t>
            </w:r>
          </w:p>
        </w:tc>
        <w:tc>
          <w:tcPr>
            <w:tcW w:w="1714" w:type="dxa"/>
            <w:tcBorders>
              <w:top w:val="single" w:sz="4" w:space="0" w:color="auto"/>
              <w:bottom w:val="single" w:sz="4" w:space="0" w:color="auto"/>
            </w:tcBorders>
            <w:vAlign w:val="center"/>
          </w:tcPr>
          <w:p w:rsidR="00743320" w:rsidRPr="00775168" w:rsidRDefault="00DF7F26">
            <w:pPr>
              <w:pStyle w:val="P68B1DB1-a024"/>
              <w:adjustRightInd w:val="0"/>
              <w:snapToGrid w:val="0"/>
              <w:jc w:val="center"/>
              <w:rPr>
                <w:rFonts w:hint="default"/>
              </w:rPr>
            </w:pPr>
            <w:r w:rsidRPr="00775168">
              <w:t xml:space="preserve">N = 3 </w:t>
            </w:r>
          </w:p>
        </w:tc>
        <w:tc>
          <w:tcPr>
            <w:tcW w:w="1914"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Severity </w:t>
            </w:r>
          </w:p>
        </w:tc>
      </w:tr>
      <w:tr w:rsidR="00743320" w:rsidRPr="00775168">
        <w:trPr>
          <w:jc w:val="center"/>
        </w:trPr>
        <w:tc>
          <w:tcPr>
            <w:tcW w:w="2940"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Experiencing at least one adverse event </w:t>
            </w:r>
          </w:p>
        </w:tc>
        <w:tc>
          <w:tcPr>
            <w:tcW w:w="1714" w:type="dxa"/>
            <w:tcBorders>
              <w:top w:val="single" w:sz="4" w:space="0" w:color="auto"/>
              <w:bottom w:val="single" w:sz="4" w:space="0" w:color="auto"/>
            </w:tcBorders>
            <w:vAlign w:val="center"/>
          </w:tcPr>
          <w:p w:rsidR="00743320" w:rsidRPr="00775168" w:rsidRDefault="00DF7F26">
            <w:pPr>
              <w:pStyle w:val="P68B1DB1-a033"/>
              <w:adjustRightInd w:val="0"/>
              <w:snapToGrid w:val="0"/>
              <w:jc w:val="center"/>
            </w:pPr>
            <w:r w:rsidRPr="00775168">
              <w:t xml:space="preserve">3 </w:t>
            </w:r>
          </w:p>
        </w:tc>
        <w:tc>
          <w:tcPr>
            <w:tcW w:w="1914"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 </w:t>
            </w:r>
          </w:p>
        </w:tc>
      </w:tr>
      <w:tr w:rsidR="00743320" w:rsidRPr="00775168">
        <w:trPr>
          <w:jc w:val="center"/>
        </w:trPr>
        <w:tc>
          <w:tcPr>
            <w:tcW w:w="2940" w:type="dxa"/>
            <w:tcBorders>
              <w:top w:val="single" w:sz="4" w:space="0" w:color="auto"/>
            </w:tcBorders>
            <w:vAlign w:val="center"/>
          </w:tcPr>
          <w:p w:rsidR="00743320" w:rsidRPr="00775168" w:rsidRDefault="00DF7F26">
            <w:pPr>
              <w:pStyle w:val="P68B1DB1-a024"/>
              <w:spacing w:line="276" w:lineRule="auto"/>
              <w:jc w:val="center"/>
              <w:rPr>
                <w:rFonts w:hint="default"/>
              </w:rPr>
            </w:pPr>
            <w:r w:rsidRPr="00775168">
              <w:t xml:space="preserve">Asthenia (DLT) </w:t>
            </w:r>
          </w:p>
        </w:tc>
        <w:tc>
          <w:tcPr>
            <w:tcW w:w="1714" w:type="dxa"/>
            <w:tcBorders>
              <w:top w:val="single" w:sz="4" w:space="0" w:color="auto"/>
            </w:tcBorders>
            <w:vAlign w:val="center"/>
          </w:tcPr>
          <w:p w:rsidR="00743320" w:rsidRPr="00775168" w:rsidRDefault="00DF7F26">
            <w:pPr>
              <w:pStyle w:val="P68B1DB1-a033"/>
              <w:spacing w:line="276" w:lineRule="auto"/>
              <w:jc w:val="center"/>
            </w:pPr>
            <w:r w:rsidRPr="00775168">
              <w:t xml:space="preserve">1 </w:t>
            </w:r>
          </w:p>
        </w:tc>
        <w:tc>
          <w:tcPr>
            <w:tcW w:w="1914" w:type="dxa"/>
            <w:tcBorders>
              <w:top w:val="single" w:sz="4" w:space="0" w:color="auto"/>
            </w:tcBorders>
            <w:vAlign w:val="center"/>
          </w:tcPr>
          <w:p w:rsidR="00743320" w:rsidRPr="00775168" w:rsidRDefault="00DF7F26">
            <w:pPr>
              <w:pStyle w:val="P68B1DB1-a024"/>
              <w:spacing w:line="276" w:lineRule="auto"/>
              <w:jc w:val="center"/>
              <w:rPr>
                <w:rFonts w:hint="default"/>
              </w:rPr>
            </w:pPr>
            <w:r w:rsidRPr="00775168">
              <w:t xml:space="preserve">Class III </w:t>
            </w:r>
          </w:p>
        </w:tc>
      </w:tr>
      <w:tr w:rsidR="00743320" w:rsidRPr="00775168">
        <w:trPr>
          <w:cantSplit/>
          <w:jc w:val="center"/>
        </w:trPr>
        <w:tc>
          <w:tcPr>
            <w:tcW w:w="2940" w:type="dxa"/>
            <w:vMerge w:val="restart"/>
            <w:vAlign w:val="center"/>
          </w:tcPr>
          <w:p w:rsidR="00743320" w:rsidRPr="00775168" w:rsidRDefault="00DF7F26">
            <w:pPr>
              <w:pStyle w:val="P68B1DB1-a024"/>
              <w:spacing w:line="276" w:lineRule="auto"/>
              <w:jc w:val="center"/>
              <w:rPr>
                <w:rFonts w:hint="default"/>
              </w:rPr>
            </w:pPr>
            <w:r w:rsidRPr="00775168">
              <w:t xml:space="preserve">Blood pressure increased (DLT) </w:t>
            </w:r>
          </w:p>
        </w:tc>
        <w:tc>
          <w:tcPr>
            <w:tcW w:w="1714" w:type="dxa"/>
            <w:vAlign w:val="center"/>
          </w:tcPr>
          <w:p w:rsidR="00743320" w:rsidRPr="00775168" w:rsidRDefault="00DF7F26">
            <w:pPr>
              <w:pStyle w:val="P68B1DB1-a033"/>
              <w:spacing w:line="276" w:lineRule="auto"/>
              <w:jc w:val="center"/>
            </w:pPr>
            <w:r w:rsidRPr="00775168">
              <w:t xml:space="preserve">1 </w:t>
            </w:r>
          </w:p>
        </w:tc>
        <w:tc>
          <w:tcPr>
            <w:tcW w:w="1914" w:type="dxa"/>
            <w:vAlign w:val="center"/>
          </w:tcPr>
          <w:p w:rsidR="00743320" w:rsidRPr="00775168" w:rsidRDefault="00DF7F26">
            <w:pPr>
              <w:pStyle w:val="P68B1DB1-a024"/>
              <w:spacing w:line="276" w:lineRule="auto"/>
              <w:jc w:val="center"/>
              <w:rPr>
                <w:rFonts w:hint="default"/>
              </w:rPr>
            </w:pPr>
            <w:r w:rsidRPr="00775168">
              <w:t xml:space="preserve">Class III </w:t>
            </w:r>
          </w:p>
        </w:tc>
      </w:tr>
      <w:tr w:rsidR="00743320" w:rsidRPr="00775168">
        <w:trPr>
          <w:cantSplit/>
          <w:jc w:val="center"/>
        </w:trPr>
        <w:tc>
          <w:tcPr>
            <w:tcW w:w="2940" w:type="dxa"/>
            <w:vMerge/>
            <w:vAlign w:val="center"/>
          </w:tcPr>
          <w:p w:rsidR="00743320" w:rsidRPr="00775168" w:rsidRDefault="00743320">
            <w:pPr>
              <w:spacing w:line="276" w:lineRule="auto"/>
              <w:jc w:val="center"/>
              <w:rPr>
                <w:sz w:val="24"/>
              </w:rPr>
            </w:pPr>
          </w:p>
        </w:tc>
        <w:tc>
          <w:tcPr>
            <w:tcW w:w="1714" w:type="dxa"/>
            <w:vAlign w:val="center"/>
          </w:tcPr>
          <w:p w:rsidR="00743320" w:rsidRPr="00775168" w:rsidRDefault="00DF7F26">
            <w:pPr>
              <w:pStyle w:val="P68B1DB1-a033"/>
              <w:spacing w:line="276" w:lineRule="auto"/>
              <w:jc w:val="center"/>
            </w:pPr>
            <w:r w:rsidRPr="00775168">
              <w:t xml:space="preserve">1 </w:t>
            </w:r>
          </w:p>
        </w:tc>
        <w:tc>
          <w:tcPr>
            <w:tcW w:w="1914" w:type="dxa"/>
            <w:vAlign w:val="center"/>
          </w:tcPr>
          <w:p w:rsidR="00743320" w:rsidRPr="00775168" w:rsidRDefault="00DF7F26">
            <w:pPr>
              <w:pStyle w:val="P68B1DB1-a024"/>
              <w:spacing w:line="276" w:lineRule="auto"/>
              <w:jc w:val="center"/>
              <w:rPr>
                <w:rFonts w:hint="default"/>
              </w:rPr>
            </w:pPr>
            <w:r w:rsidRPr="00775168">
              <w:t xml:space="preserve">Level II </w:t>
            </w:r>
          </w:p>
        </w:tc>
      </w:tr>
      <w:tr w:rsidR="00743320" w:rsidRPr="00775168">
        <w:trPr>
          <w:jc w:val="center"/>
        </w:trPr>
        <w:tc>
          <w:tcPr>
            <w:tcW w:w="2940" w:type="dxa"/>
            <w:vAlign w:val="center"/>
          </w:tcPr>
          <w:p w:rsidR="00743320" w:rsidRPr="00775168" w:rsidRDefault="00DF7F26">
            <w:pPr>
              <w:pStyle w:val="P68B1DB1-a09"/>
              <w:spacing w:line="276" w:lineRule="auto"/>
              <w:jc w:val="center"/>
              <w:rPr>
                <w:rFonts w:hint="default"/>
              </w:rPr>
            </w:pPr>
            <w:r w:rsidRPr="00775168">
              <w:t xml:space="preserve">A low </w:t>
            </w:r>
          </w:p>
        </w:tc>
        <w:tc>
          <w:tcPr>
            <w:tcW w:w="1714" w:type="dxa"/>
            <w:vAlign w:val="center"/>
          </w:tcPr>
          <w:p w:rsidR="00743320" w:rsidRPr="00775168" w:rsidRDefault="00DF7F26">
            <w:pPr>
              <w:pStyle w:val="P68B1DB1-a033"/>
              <w:spacing w:line="276" w:lineRule="auto"/>
              <w:jc w:val="center"/>
            </w:pPr>
            <w:r w:rsidRPr="00775168">
              <w:t xml:space="preserve">2 </w:t>
            </w:r>
          </w:p>
        </w:tc>
        <w:tc>
          <w:tcPr>
            <w:tcW w:w="1914" w:type="dxa"/>
            <w:vAlign w:val="center"/>
          </w:tcPr>
          <w:p w:rsidR="00743320" w:rsidRPr="00775168" w:rsidRDefault="00DF7F26">
            <w:pPr>
              <w:pStyle w:val="P68B1DB1-a024"/>
              <w:spacing w:line="276" w:lineRule="auto"/>
              <w:jc w:val="center"/>
              <w:rPr>
                <w:rFonts w:hint="default"/>
              </w:rPr>
            </w:pPr>
            <w:r w:rsidRPr="00775168">
              <w:t xml:space="preserve">Level II </w:t>
            </w:r>
          </w:p>
        </w:tc>
      </w:tr>
      <w:tr w:rsidR="00743320" w:rsidRPr="00775168">
        <w:trPr>
          <w:jc w:val="center"/>
        </w:trPr>
        <w:tc>
          <w:tcPr>
            <w:tcW w:w="2940" w:type="dxa"/>
            <w:vAlign w:val="center"/>
          </w:tcPr>
          <w:p w:rsidR="00743320" w:rsidRPr="00775168" w:rsidRDefault="00DF7F26">
            <w:pPr>
              <w:pStyle w:val="P68B1DB1-a024"/>
              <w:spacing w:line="276" w:lineRule="auto"/>
              <w:jc w:val="center"/>
              <w:rPr>
                <w:rFonts w:hint="default"/>
              </w:rPr>
            </w:pPr>
            <w:r w:rsidRPr="00775168">
              <w:t xml:space="preserve">ALT, AST increased </w:t>
            </w:r>
          </w:p>
        </w:tc>
        <w:tc>
          <w:tcPr>
            <w:tcW w:w="1714" w:type="dxa"/>
            <w:vAlign w:val="center"/>
          </w:tcPr>
          <w:p w:rsidR="00743320" w:rsidRPr="00775168" w:rsidRDefault="00DF7F26">
            <w:pPr>
              <w:pStyle w:val="P68B1DB1-a033"/>
              <w:spacing w:line="276" w:lineRule="auto"/>
              <w:jc w:val="center"/>
            </w:pPr>
            <w:r w:rsidRPr="00775168">
              <w:t xml:space="preserve">1 </w:t>
            </w:r>
          </w:p>
        </w:tc>
        <w:tc>
          <w:tcPr>
            <w:tcW w:w="1914" w:type="dxa"/>
            <w:vAlign w:val="center"/>
          </w:tcPr>
          <w:p w:rsidR="00743320" w:rsidRPr="00775168" w:rsidRDefault="00DF7F26">
            <w:pPr>
              <w:pStyle w:val="P68B1DB1-a024"/>
              <w:spacing w:line="276" w:lineRule="auto"/>
              <w:jc w:val="center"/>
              <w:rPr>
                <w:rFonts w:hint="default"/>
              </w:rPr>
            </w:pPr>
            <w:r w:rsidRPr="00775168">
              <w:t xml:space="preserve">Level II </w:t>
            </w:r>
          </w:p>
        </w:tc>
      </w:tr>
      <w:tr w:rsidR="00743320" w:rsidRPr="00775168">
        <w:trPr>
          <w:jc w:val="center"/>
        </w:trPr>
        <w:tc>
          <w:tcPr>
            <w:tcW w:w="2940" w:type="dxa"/>
            <w:vAlign w:val="center"/>
          </w:tcPr>
          <w:p w:rsidR="00743320" w:rsidRPr="00775168" w:rsidRDefault="00DF7F26">
            <w:pPr>
              <w:pStyle w:val="P68B1DB1-a09"/>
              <w:spacing w:line="276" w:lineRule="auto"/>
              <w:jc w:val="center"/>
              <w:rPr>
                <w:rFonts w:hint="default"/>
              </w:rPr>
            </w:pPr>
            <w:r w:rsidRPr="00775168">
              <w:t xml:space="preserve">Hemorrhage </w:t>
            </w:r>
          </w:p>
        </w:tc>
        <w:tc>
          <w:tcPr>
            <w:tcW w:w="1714" w:type="dxa"/>
            <w:vAlign w:val="center"/>
          </w:tcPr>
          <w:p w:rsidR="00743320" w:rsidRPr="00775168" w:rsidRDefault="00DF7F26">
            <w:pPr>
              <w:pStyle w:val="P68B1DB1-a033"/>
              <w:spacing w:line="276" w:lineRule="auto"/>
              <w:jc w:val="center"/>
            </w:pPr>
            <w:r w:rsidRPr="00775168">
              <w:t xml:space="preserve">1 </w:t>
            </w:r>
          </w:p>
        </w:tc>
        <w:tc>
          <w:tcPr>
            <w:tcW w:w="1914" w:type="dxa"/>
            <w:vAlign w:val="center"/>
          </w:tcPr>
          <w:p w:rsidR="00743320" w:rsidRPr="00775168" w:rsidRDefault="00DF7F26">
            <w:pPr>
              <w:pStyle w:val="P68B1DB1-a024"/>
              <w:spacing w:line="276" w:lineRule="auto"/>
              <w:jc w:val="center"/>
              <w:rPr>
                <w:rFonts w:hint="default"/>
              </w:rPr>
            </w:pPr>
            <w:r w:rsidRPr="00775168">
              <w:t xml:space="preserve">Level II </w:t>
            </w:r>
          </w:p>
        </w:tc>
      </w:tr>
      <w:tr w:rsidR="00743320" w:rsidRPr="00775168">
        <w:trPr>
          <w:jc w:val="center"/>
        </w:trPr>
        <w:tc>
          <w:tcPr>
            <w:tcW w:w="2940" w:type="dxa"/>
            <w:vAlign w:val="center"/>
          </w:tcPr>
          <w:p w:rsidR="00743320" w:rsidRPr="00775168" w:rsidRDefault="00DF7F26">
            <w:pPr>
              <w:pStyle w:val="P68B1DB1-a09"/>
              <w:spacing w:line="276" w:lineRule="auto"/>
              <w:jc w:val="center"/>
              <w:rPr>
                <w:rFonts w:hint="default"/>
              </w:rPr>
            </w:pPr>
            <w:r w:rsidRPr="00775168">
              <w:t xml:space="preserve">Diarrhoea, abdominal pain </w:t>
            </w:r>
          </w:p>
        </w:tc>
        <w:tc>
          <w:tcPr>
            <w:tcW w:w="1714" w:type="dxa"/>
            <w:vAlign w:val="center"/>
          </w:tcPr>
          <w:p w:rsidR="00743320" w:rsidRPr="00775168" w:rsidRDefault="00DF7F26">
            <w:pPr>
              <w:pStyle w:val="P68B1DB1-a033"/>
              <w:spacing w:line="276" w:lineRule="auto"/>
              <w:jc w:val="center"/>
            </w:pPr>
            <w:r w:rsidRPr="00775168">
              <w:t xml:space="preserve">1 </w:t>
            </w:r>
          </w:p>
        </w:tc>
        <w:tc>
          <w:tcPr>
            <w:tcW w:w="1914" w:type="dxa"/>
            <w:vAlign w:val="center"/>
          </w:tcPr>
          <w:p w:rsidR="00743320" w:rsidRPr="00775168" w:rsidRDefault="00DF7F26">
            <w:pPr>
              <w:pStyle w:val="P68B1DB1-a024"/>
              <w:spacing w:line="276" w:lineRule="auto"/>
              <w:jc w:val="center"/>
              <w:rPr>
                <w:rFonts w:hint="default"/>
              </w:rPr>
            </w:pPr>
            <w:r w:rsidRPr="00775168">
              <w:t xml:space="preserve">Level I </w:t>
            </w:r>
          </w:p>
        </w:tc>
      </w:tr>
      <w:tr w:rsidR="00743320" w:rsidRPr="00775168">
        <w:trPr>
          <w:jc w:val="center"/>
        </w:trPr>
        <w:tc>
          <w:tcPr>
            <w:tcW w:w="2940" w:type="dxa"/>
            <w:vAlign w:val="center"/>
          </w:tcPr>
          <w:p w:rsidR="00743320" w:rsidRPr="00775168" w:rsidRDefault="00DF7F26">
            <w:pPr>
              <w:pStyle w:val="P68B1DB1-a024"/>
              <w:spacing w:line="276" w:lineRule="auto"/>
              <w:jc w:val="center"/>
              <w:rPr>
                <w:rFonts w:hint="default"/>
              </w:rPr>
            </w:pPr>
            <w:r w:rsidRPr="00775168">
              <w:t xml:space="preserve">Triglyceride increased </w:t>
            </w:r>
          </w:p>
        </w:tc>
        <w:tc>
          <w:tcPr>
            <w:tcW w:w="1714" w:type="dxa"/>
            <w:vAlign w:val="center"/>
          </w:tcPr>
          <w:p w:rsidR="00743320" w:rsidRPr="00775168" w:rsidRDefault="00DF7F26">
            <w:pPr>
              <w:pStyle w:val="P68B1DB1-a033"/>
              <w:spacing w:line="276" w:lineRule="auto"/>
              <w:jc w:val="center"/>
            </w:pPr>
            <w:r w:rsidRPr="00775168">
              <w:t xml:space="preserve">2 </w:t>
            </w:r>
          </w:p>
        </w:tc>
        <w:tc>
          <w:tcPr>
            <w:tcW w:w="1914" w:type="dxa"/>
            <w:vAlign w:val="center"/>
          </w:tcPr>
          <w:p w:rsidR="00743320" w:rsidRPr="00775168" w:rsidRDefault="00DF7F26">
            <w:pPr>
              <w:pStyle w:val="P68B1DB1-a024"/>
              <w:spacing w:line="276" w:lineRule="auto"/>
              <w:jc w:val="center"/>
              <w:rPr>
                <w:rFonts w:hint="default"/>
              </w:rPr>
            </w:pPr>
            <w:r w:rsidRPr="00775168">
              <w:t xml:space="preserve">Level I </w:t>
            </w:r>
          </w:p>
        </w:tc>
      </w:tr>
      <w:tr w:rsidR="00743320" w:rsidRPr="00775168">
        <w:trPr>
          <w:jc w:val="center"/>
        </w:trPr>
        <w:tc>
          <w:tcPr>
            <w:tcW w:w="2940" w:type="dxa"/>
            <w:tcBorders>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Hoarseness </w:t>
            </w:r>
          </w:p>
        </w:tc>
        <w:tc>
          <w:tcPr>
            <w:tcW w:w="1714" w:type="dxa"/>
            <w:tcBorders>
              <w:bottom w:val="single" w:sz="4" w:space="0" w:color="auto"/>
            </w:tcBorders>
            <w:vAlign w:val="center"/>
          </w:tcPr>
          <w:p w:rsidR="00743320" w:rsidRPr="00775168" w:rsidRDefault="00DF7F26">
            <w:pPr>
              <w:pStyle w:val="P68B1DB1-a033"/>
              <w:spacing w:line="276" w:lineRule="auto"/>
              <w:jc w:val="center"/>
            </w:pPr>
            <w:r w:rsidRPr="00775168">
              <w:t xml:space="preserve">1 </w:t>
            </w:r>
          </w:p>
        </w:tc>
        <w:tc>
          <w:tcPr>
            <w:tcW w:w="1914" w:type="dxa"/>
            <w:tcBorders>
              <w:bottom w:val="single" w:sz="4" w:space="0" w:color="auto"/>
            </w:tcBorders>
            <w:vAlign w:val="center"/>
          </w:tcPr>
          <w:p w:rsidR="00743320" w:rsidRPr="00775168" w:rsidRDefault="00DF7F26">
            <w:pPr>
              <w:pStyle w:val="P68B1DB1-a024"/>
              <w:spacing w:line="276" w:lineRule="auto"/>
              <w:jc w:val="center"/>
              <w:rPr>
                <w:rFonts w:hint="default"/>
              </w:rPr>
            </w:pPr>
            <w:r w:rsidRPr="00775168">
              <w:t xml:space="preserve">Level I </w:t>
            </w:r>
          </w:p>
        </w:tc>
      </w:tr>
    </w:tbl>
    <w:p w:rsidR="00743320" w:rsidRPr="00775168" w:rsidRDefault="00DF7F26">
      <w:pPr>
        <w:pStyle w:val="31"/>
        <w:snapToGrid w:val="0"/>
        <w:rPr>
          <w:kern w:val="0"/>
        </w:rPr>
      </w:pPr>
      <w:r w:rsidRPr="00775168">
        <w:rPr>
          <w:rFonts w:hint="eastAsia"/>
          <w:kern w:val="0"/>
        </w:rPr>
        <w:t xml:space="preserve">After 2 cycles of treatment, 1 patient experienced the following adverse reactions again, including grade 2 adverse reactions of hemorrhage (the dose was subsequently reduced to 12 mg and the patient continued to be observed), elevated bilirubin, hypertension, elevated transaminases and hypothyroidism; and grade 1 adverse reactions of proteinuria, hoarseness, diarrhea, toothache and tinnitus. </w:t>
      </w:r>
    </w:p>
    <w:p w:rsidR="00743320" w:rsidRPr="00775168" w:rsidRDefault="00DF7F26">
      <w:pPr>
        <w:pStyle w:val="31"/>
        <w:adjustRightInd w:val="0"/>
        <w:snapToGrid w:val="0"/>
        <w:rPr>
          <w:kern w:val="0"/>
        </w:rPr>
      </w:pPr>
      <w:r w:rsidRPr="00775168">
        <w:rPr>
          <w:rFonts w:hint="eastAsia"/>
          <w:kern w:val="0"/>
          <w:u w:val="single"/>
        </w:rPr>
        <w:t xml:space="preserve">12 mg qd for 2 stops 1 regimen: </w:t>
      </w:r>
    </w:p>
    <w:p w:rsidR="00743320" w:rsidRPr="00775168" w:rsidRDefault="00DF7F26">
      <w:pPr>
        <w:pStyle w:val="31"/>
        <w:adjustRightInd w:val="0"/>
        <w:snapToGrid w:val="0"/>
      </w:pPr>
      <w:r w:rsidRPr="00775168">
        <w:rPr>
          <w:rFonts w:hint="eastAsia"/>
          <w:kern w:val="0"/>
        </w:rPr>
        <w:t xml:space="preserve">Considering the wide range of 10 and 16 mg qd, the investigators further explored the maximum tolerated dose, i.e., 12 mg qd. After observing the tolerability of 21 patients successively, it was basically recognized that 12 mg qd for 2 doses and 1 dose regimen was the recommended regimen for subsequent studies, and 12 mg qd was the maximum tolerated dose. </w:t>
      </w:r>
    </w:p>
    <w:p w:rsidR="00743320" w:rsidRPr="00775168" w:rsidRDefault="00DF7F26">
      <w:pPr>
        <w:pStyle w:val="31"/>
        <w:adjustRightInd w:val="0"/>
        <w:snapToGrid w:val="0"/>
        <w:rPr>
          <w:kern w:val="0"/>
        </w:rPr>
      </w:pPr>
      <w:r w:rsidRPr="00775168">
        <w:rPr>
          <w:rFonts w:hint="eastAsia"/>
        </w:rPr>
        <w:t xml:space="preserve">Adverse reactions possibly related to the drug occurred during the study (as of July 1, 2014, 8 patients were still on medication) were statistically analyzed according to the first 2 cycles and the whole course of medication, as shown in the table below. In this dose group, a total of 5 patients experienced grade 3 adverse reactions 7 times during the whole course of treatment: specifically elevated triglycerides in patient 24, hypertension and hand-foot-skin reactions in patient 29, elevated lipase in patient 31, elevated bilirubin in patient 32, and hypertension and elevated triglycerides in patient 34. </w:t>
      </w:r>
    </w:p>
    <w:tbl>
      <w:tblPr>
        <w:tblW w:w="8403" w:type="dxa"/>
        <w:jc w:val="center"/>
        <w:tblBorders>
          <w:top w:val="single" w:sz="4" w:space="0" w:color="auto"/>
          <w:bottom w:val="single" w:sz="4" w:space="0" w:color="auto"/>
        </w:tblBorders>
        <w:tblLayout w:type="fixed"/>
        <w:tblLook w:val="04A0" w:firstRow="1" w:lastRow="0" w:firstColumn="1" w:lastColumn="0" w:noHBand="0" w:noVBand="1"/>
      </w:tblPr>
      <w:tblGrid>
        <w:gridCol w:w="2302"/>
        <w:gridCol w:w="1466"/>
        <w:gridCol w:w="1713"/>
        <w:gridCol w:w="1273"/>
        <w:gridCol w:w="1649"/>
      </w:tblGrid>
      <w:tr w:rsidR="00743320" w:rsidRPr="00775168">
        <w:trPr>
          <w:cantSplit/>
          <w:tblHeader/>
          <w:jc w:val="center"/>
        </w:trPr>
        <w:tc>
          <w:tcPr>
            <w:tcW w:w="2302" w:type="dxa"/>
            <w:vMerge w:val="restart"/>
            <w:tcBorders>
              <w:top w:val="single" w:sz="4" w:space="0" w:color="auto"/>
              <w:bottom w:val="single" w:sz="4" w:space="0" w:color="auto"/>
            </w:tcBorders>
            <w:vAlign w:val="center"/>
          </w:tcPr>
          <w:p w:rsidR="00743320" w:rsidRPr="00775168" w:rsidRDefault="00DF7F26">
            <w:pPr>
              <w:pStyle w:val="P68B1DB1-a09"/>
              <w:adjustRightInd w:val="0"/>
              <w:snapToGrid w:val="0"/>
              <w:jc w:val="center"/>
              <w:rPr>
                <w:rFonts w:hint="default"/>
              </w:rPr>
            </w:pPr>
            <w:r w:rsidRPr="00775168">
              <w:lastRenderedPageBreak/>
              <w:t xml:space="preserve">ADVERSE REACTIONS </w:t>
            </w:r>
          </w:p>
          <w:p w:rsidR="00743320" w:rsidRPr="00775168" w:rsidRDefault="00DF7F26">
            <w:pPr>
              <w:pStyle w:val="P68B1DB1-a024"/>
              <w:adjustRightInd w:val="0"/>
              <w:snapToGrid w:val="0"/>
              <w:jc w:val="center"/>
              <w:rPr>
                <w:rFonts w:hint="default"/>
              </w:rPr>
            </w:pPr>
            <w:r w:rsidRPr="00775168">
              <w:t xml:space="preserve">N = 21 n (%) </w:t>
            </w:r>
          </w:p>
        </w:tc>
        <w:tc>
          <w:tcPr>
            <w:tcW w:w="3179" w:type="dxa"/>
            <w:gridSpan w:val="2"/>
            <w:tcBorders>
              <w:top w:val="single" w:sz="4" w:space="0" w:color="auto"/>
              <w:bottom w:val="single" w:sz="4" w:space="0" w:color="auto"/>
            </w:tcBorders>
            <w:vAlign w:val="center"/>
          </w:tcPr>
          <w:p w:rsidR="00743320" w:rsidRPr="00775168" w:rsidRDefault="00DF7F26">
            <w:pPr>
              <w:pStyle w:val="P68B1DB1-a024"/>
              <w:spacing w:line="276" w:lineRule="auto"/>
              <w:jc w:val="center"/>
              <w:rPr>
                <w:rFonts w:hint="default"/>
              </w:rPr>
            </w:pPr>
            <w:r w:rsidRPr="00775168">
              <w:t xml:space="preserve">Number of grade I/II cases </w:t>
            </w:r>
          </w:p>
        </w:tc>
        <w:tc>
          <w:tcPr>
            <w:tcW w:w="2922" w:type="dxa"/>
            <w:gridSpan w:val="2"/>
            <w:tcBorders>
              <w:top w:val="single" w:sz="4" w:space="0" w:color="auto"/>
              <w:bottom w:val="single" w:sz="4" w:space="0" w:color="auto"/>
            </w:tcBorders>
          </w:tcPr>
          <w:p w:rsidR="00743320" w:rsidRPr="00775168" w:rsidRDefault="00DF7F26">
            <w:pPr>
              <w:pStyle w:val="P68B1DB1-a024"/>
              <w:spacing w:line="276" w:lineRule="auto"/>
              <w:jc w:val="center"/>
              <w:rPr>
                <w:rFonts w:hint="default"/>
              </w:rPr>
            </w:pPr>
            <w:r w:rsidRPr="00775168">
              <w:t xml:space="preserve">Number of grade III cases </w:t>
            </w:r>
          </w:p>
        </w:tc>
      </w:tr>
      <w:tr w:rsidR="00743320" w:rsidRPr="00775168">
        <w:trPr>
          <w:cantSplit/>
          <w:tblHeader/>
          <w:jc w:val="center"/>
        </w:trPr>
        <w:tc>
          <w:tcPr>
            <w:tcW w:w="2302" w:type="dxa"/>
            <w:vMerge/>
            <w:tcBorders>
              <w:top w:val="single" w:sz="4" w:space="0" w:color="auto"/>
              <w:bottom w:val="single" w:sz="4" w:space="0" w:color="auto"/>
            </w:tcBorders>
            <w:vAlign w:val="center"/>
          </w:tcPr>
          <w:p w:rsidR="00743320" w:rsidRPr="00775168" w:rsidRDefault="00743320">
            <w:pPr>
              <w:spacing w:line="276" w:lineRule="auto"/>
              <w:jc w:val="center"/>
              <w:rPr>
                <w:sz w:val="24"/>
              </w:rPr>
            </w:pPr>
          </w:p>
        </w:tc>
        <w:tc>
          <w:tcPr>
            <w:tcW w:w="1466" w:type="dxa"/>
            <w:tcBorders>
              <w:top w:val="single" w:sz="4" w:space="0" w:color="auto"/>
              <w:bottom w:val="single" w:sz="4" w:space="0" w:color="auto"/>
            </w:tcBorders>
            <w:vAlign w:val="center"/>
          </w:tcPr>
          <w:p w:rsidR="00743320" w:rsidRPr="00775168" w:rsidRDefault="00DF7F26">
            <w:pPr>
              <w:pStyle w:val="P68B1DB1-a024"/>
              <w:spacing w:line="276" w:lineRule="auto"/>
              <w:jc w:val="center"/>
              <w:rPr>
                <w:rFonts w:hint="default"/>
              </w:rPr>
            </w:pPr>
            <w:r w:rsidRPr="00775168">
              <w:t xml:space="preserve">First 2 cycles </w:t>
            </w:r>
          </w:p>
        </w:tc>
        <w:tc>
          <w:tcPr>
            <w:tcW w:w="1713"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Study process </w:t>
            </w:r>
          </w:p>
        </w:tc>
        <w:tc>
          <w:tcPr>
            <w:tcW w:w="1273" w:type="dxa"/>
            <w:tcBorders>
              <w:top w:val="single" w:sz="4" w:space="0" w:color="auto"/>
              <w:bottom w:val="single" w:sz="4" w:space="0" w:color="auto"/>
            </w:tcBorders>
            <w:vAlign w:val="center"/>
          </w:tcPr>
          <w:p w:rsidR="00743320" w:rsidRPr="00775168" w:rsidRDefault="00DF7F26">
            <w:pPr>
              <w:pStyle w:val="P68B1DB1-a024"/>
              <w:spacing w:line="276" w:lineRule="auto"/>
              <w:jc w:val="center"/>
              <w:rPr>
                <w:rFonts w:hint="default"/>
              </w:rPr>
            </w:pPr>
            <w:r w:rsidRPr="00775168">
              <w:t xml:space="preserve">First 2 cycles </w:t>
            </w:r>
          </w:p>
        </w:tc>
        <w:tc>
          <w:tcPr>
            <w:tcW w:w="1649"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Study process </w:t>
            </w:r>
          </w:p>
        </w:tc>
      </w:tr>
      <w:tr w:rsidR="00743320" w:rsidRPr="00775168">
        <w:trPr>
          <w:jc w:val="center"/>
        </w:trPr>
        <w:tc>
          <w:tcPr>
            <w:tcW w:w="2302" w:type="dxa"/>
            <w:tcBorders>
              <w:top w:val="single" w:sz="4" w:space="0" w:color="auto"/>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At least one occurrence </w:t>
            </w:r>
          </w:p>
        </w:tc>
        <w:tc>
          <w:tcPr>
            <w:tcW w:w="1466" w:type="dxa"/>
            <w:tcBorders>
              <w:top w:val="single" w:sz="4" w:space="0" w:color="auto"/>
              <w:bottom w:val="single" w:sz="4" w:space="0" w:color="auto"/>
            </w:tcBorders>
            <w:vAlign w:val="center"/>
          </w:tcPr>
          <w:p w:rsidR="00743320" w:rsidRPr="00775168" w:rsidRDefault="00DF7F26">
            <w:pPr>
              <w:pStyle w:val="P68B1DB1-a033"/>
              <w:spacing w:line="276" w:lineRule="auto"/>
              <w:jc w:val="center"/>
            </w:pPr>
            <w:r w:rsidRPr="00775168">
              <w:t xml:space="preserve">21 (100%) </w:t>
            </w:r>
          </w:p>
        </w:tc>
        <w:tc>
          <w:tcPr>
            <w:tcW w:w="1713" w:type="dxa"/>
            <w:tcBorders>
              <w:top w:val="single" w:sz="4" w:space="0" w:color="auto"/>
              <w:bottom w:val="single" w:sz="4" w:space="0" w:color="auto"/>
            </w:tcBorders>
            <w:vAlign w:val="center"/>
          </w:tcPr>
          <w:p w:rsidR="00743320" w:rsidRPr="00775168" w:rsidRDefault="00DF7F26">
            <w:pPr>
              <w:pStyle w:val="P68B1DB1-a033"/>
              <w:adjustRightInd w:val="0"/>
              <w:snapToGrid w:val="0"/>
              <w:jc w:val="center"/>
            </w:pPr>
            <w:r w:rsidRPr="00775168">
              <w:t xml:space="preserve">21 (100%) </w:t>
            </w:r>
          </w:p>
        </w:tc>
        <w:tc>
          <w:tcPr>
            <w:tcW w:w="1273" w:type="dxa"/>
            <w:tcBorders>
              <w:top w:val="single" w:sz="4" w:space="0" w:color="auto"/>
              <w:bottom w:val="single" w:sz="4" w:space="0" w:color="auto"/>
            </w:tcBorders>
            <w:vAlign w:val="center"/>
          </w:tcPr>
          <w:p w:rsidR="00743320" w:rsidRPr="00775168" w:rsidRDefault="00DF7F26">
            <w:pPr>
              <w:pStyle w:val="P68B1DB1-a033"/>
              <w:spacing w:line="276" w:lineRule="auto"/>
              <w:jc w:val="center"/>
            </w:pPr>
            <w:r w:rsidRPr="00775168">
              <w:t xml:space="preserve">2 (9.52%) </w:t>
            </w:r>
          </w:p>
        </w:tc>
        <w:tc>
          <w:tcPr>
            <w:tcW w:w="1649" w:type="dxa"/>
            <w:tcBorders>
              <w:top w:val="single" w:sz="4" w:space="0" w:color="auto"/>
              <w:bottom w:val="single" w:sz="4" w:space="0" w:color="auto"/>
            </w:tcBorders>
            <w:vAlign w:val="center"/>
          </w:tcPr>
          <w:p w:rsidR="00743320" w:rsidRPr="00775168" w:rsidRDefault="00DF7F26">
            <w:pPr>
              <w:pStyle w:val="P68B1DB1-a033"/>
              <w:spacing w:line="276" w:lineRule="auto"/>
              <w:jc w:val="center"/>
            </w:pPr>
            <w:r w:rsidRPr="00775168">
              <w:t xml:space="preserve">7 (33.33%) </w:t>
            </w:r>
          </w:p>
        </w:tc>
      </w:tr>
      <w:tr w:rsidR="00743320" w:rsidRPr="00775168">
        <w:trPr>
          <w:jc w:val="center"/>
        </w:trPr>
        <w:tc>
          <w:tcPr>
            <w:tcW w:w="2302" w:type="dxa"/>
            <w:tcBorders>
              <w:top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Hand-foot skin reaction </w:t>
            </w:r>
          </w:p>
        </w:tc>
        <w:tc>
          <w:tcPr>
            <w:tcW w:w="1466" w:type="dxa"/>
            <w:tcBorders>
              <w:top w:val="single" w:sz="4" w:space="0" w:color="auto"/>
            </w:tcBorders>
            <w:vAlign w:val="center"/>
          </w:tcPr>
          <w:p w:rsidR="00743320" w:rsidRPr="00775168" w:rsidRDefault="00DF7F26">
            <w:pPr>
              <w:pStyle w:val="P68B1DB1-a033"/>
              <w:spacing w:line="276" w:lineRule="auto"/>
              <w:jc w:val="center"/>
            </w:pPr>
            <w:r w:rsidRPr="00775168">
              <w:t xml:space="preserve">4 (19.05%) </w:t>
            </w:r>
          </w:p>
        </w:tc>
        <w:tc>
          <w:tcPr>
            <w:tcW w:w="1713" w:type="dxa"/>
            <w:tcBorders>
              <w:top w:val="single" w:sz="4" w:space="0" w:color="auto"/>
            </w:tcBorders>
            <w:vAlign w:val="center"/>
          </w:tcPr>
          <w:p w:rsidR="00743320" w:rsidRPr="00775168" w:rsidRDefault="00DF7F26">
            <w:pPr>
              <w:pStyle w:val="P68B1DB1-a033"/>
              <w:spacing w:line="276" w:lineRule="auto"/>
              <w:jc w:val="center"/>
            </w:pPr>
            <w:r w:rsidRPr="00775168">
              <w:t xml:space="preserve">10 (47.62%) </w:t>
            </w:r>
          </w:p>
        </w:tc>
        <w:tc>
          <w:tcPr>
            <w:tcW w:w="1273" w:type="dxa"/>
            <w:tcBorders>
              <w:top w:val="single" w:sz="4" w:space="0" w:color="auto"/>
            </w:tcBorders>
            <w:vAlign w:val="center"/>
          </w:tcPr>
          <w:p w:rsidR="00743320" w:rsidRPr="00775168" w:rsidRDefault="00DF7F26">
            <w:pPr>
              <w:pStyle w:val="P68B1DB1-a033"/>
              <w:spacing w:line="276" w:lineRule="auto"/>
              <w:jc w:val="center"/>
            </w:pPr>
            <w:r w:rsidRPr="00775168">
              <w:t xml:space="preserve">0 </w:t>
            </w:r>
          </w:p>
        </w:tc>
        <w:tc>
          <w:tcPr>
            <w:tcW w:w="1649" w:type="dxa"/>
            <w:tcBorders>
              <w:top w:val="single" w:sz="4" w:space="0" w:color="auto"/>
            </w:tcBorders>
            <w:vAlign w:val="center"/>
          </w:tcPr>
          <w:p w:rsidR="00743320" w:rsidRPr="00775168" w:rsidRDefault="00DF7F26">
            <w:pPr>
              <w:pStyle w:val="P68B1DB1-a033"/>
              <w:spacing w:line="276" w:lineRule="auto"/>
              <w:jc w:val="center"/>
            </w:pPr>
            <w:r w:rsidRPr="00775168">
              <w:t xml:space="preserve">1 (4.76%)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Rash </w:t>
            </w:r>
          </w:p>
        </w:tc>
        <w:tc>
          <w:tcPr>
            <w:tcW w:w="1466" w:type="dxa"/>
            <w:vAlign w:val="center"/>
          </w:tcPr>
          <w:p w:rsidR="00743320" w:rsidRPr="00775168" w:rsidRDefault="00DF7F26">
            <w:pPr>
              <w:pStyle w:val="P68B1DB1-a033"/>
              <w:spacing w:line="276" w:lineRule="auto"/>
              <w:jc w:val="center"/>
            </w:pPr>
            <w:r w:rsidRPr="00775168">
              <w:t xml:space="preserve">4 (19.05%) </w:t>
            </w:r>
          </w:p>
        </w:tc>
        <w:tc>
          <w:tcPr>
            <w:tcW w:w="1713" w:type="dxa"/>
            <w:vAlign w:val="center"/>
          </w:tcPr>
          <w:p w:rsidR="00743320" w:rsidRPr="00775168" w:rsidRDefault="00DF7F26">
            <w:pPr>
              <w:pStyle w:val="P68B1DB1-a033"/>
              <w:spacing w:line="276" w:lineRule="auto"/>
              <w:jc w:val="center"/>
            </w:pPr>
            <w:r w:rsidRPr="00775168">
              <w:t xml:space="preserve">6 (28.57%)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Blood pressure increased </w:t>
            </w:r>
          </w:p>
        </w:tc>
        <w:tc>
          <w:tcPr>
            <w:tcW w:w="1466" w:type="dxa"/>
            <w:vAlign w:val="center"/>
          </w:tcPr>
          <w:p w:rsidR="00743320" w:rsidRPr="00775168" w:rsidRDefault="00DF7F26">
            <w:pPr>
              <w:pStyle w:val="P68B1DB1-a033"/>
              <w:spacing w:line="276" w:lineRule="auto"/>
              <w:jc w:val="center"/>
            </w:pPr>
            <w:r w:rsidRPr="00775168">
              <w:t xml:space="preserve">5 (23.81%) </w:t>
            </w:r>
          </w:p>
        </w:tc>
        <w:tc>
          <w:tcPr>
            <w:tcW w:w="1713" w:type="dxa"/>
            <w:vAlign w:val="center"/>
          </w:tcPr>
          <w:p w:rsidR="00743320" w:rsidRPr="00775168" w:rsidRDefault="00DF7F26">
            <w:pPr>
              <w:pStyle w:val="P68B1DB1-a033"/>
              <w:spacing w:line="276" w:lineRule="auto"/>
              <w:jc w:val="center"/>
            </w:pPr>
            <w:r w:rsidRPr="00775168">
              <w:t xml:space="preserve">5 (23.81%)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2 (9.52%)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Proteinuria </w:t>
            </w:r>
          </w:p>
        </w:tc>
        <w:tc>
          <w:tcPr>
            <w:tcW w:w="1466" w:type="dxa"/>
          </w:tcPr>
          <w:p w:rsidR="00743320" w:rsidRPr="00775168" w:rsidRDefault="00DF7F26">
            <w:pPr>
              <w:pStyle w:val="P68B1DB1-a033"/>
              <w:jc w:val="center"/>
            </w:pPr>
            <w:r w:rsidRPr="00775168">
              <w:t xml:space="preserve">5 (23.81%) </w:t>
            </w:r>
          </w:p>
        </w:tc>
        <w:tc>
          <w:tcPr>
            <w:tcW w:w="1713" w:type="dxa"/>
            <w:vAlign w:val="center"/>
          </w:tcPr>
          <w:p w:rsidR="00743320" w:rsidRPr="00775168" w:rsidRDefault="00DF7F26">
            <w:pPr>
              <w:pStyle w:val="P68B1DB1-a033"/>
              <w:spacing w:line="276" w:lineRule="auto"/>
              <w:jc w:val="center"/>
            </w:pPr>
            <w:r w:rsidRPr="00775168">
              <w:t xml:space="preserve">14 (67%)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24"/>
              <w:spacing w:line="276" w:lineRule="auto"/>
              <w:jc w:val="center"/>
              <w:rPr>
                <w:rFonts w:hint="default"/>
              </w:rPr>
            </w:pPr>
            <w:r w:rsidRPr="00775168">
              <w:t xml:space="preserve">Triglyceride increased </w:t>
            </w:r>
          </w:p>
        </w:tc>
        <w:tc>
          <w:tcPr>
            <w:tcW w:w="1466" w:type="dxa"/>
            <w:vAlign w:val="center"/>
          </w:tcPr>
          <w:p w:rsidR="00743320" w:rsidRPr="00775168" w:rsidRDefault="00DF7F26">
            <w:pPr>
              <w:pStyle w:val="P68B1DB1-a033"/>
              <w:spacing w:line="276" w:lineRule="auto"/>
              <w:jc w:val="center"/>
            </w:pPr>
            <w:r w:rsidRPr="00775168">
              <w:t xml:space="preserve">6 (28.57%) </w:t>
            </w:r>
          </w:p>
        </w:tc>
        <w:tc>
          <w:tcPr>
            <w:tcW w:w="1713" w:type="dxa"/>
            <w:vAlign w:val="center"/>
          </w:tcPr>
          <w:p w:rsidR="00743320" w:rsidRPr="00775168" w:rsidRDefault="00DF7F26">
            <w:pPr>
              <w:pStyle w:val="P68B1DB1-a033"/>
              <w:spacing w:line="276" w:lineRule="auto"/>
              <w:jc w:val="center"/>
            </w:pPr>
            <w:r w:rsidRPr="00775168">
              <w:t xml:space="preserve">11 (52.38%) </w:t>
            </w:r>
          </w:p>
        </w:tc>
        <w:tc>
          <w:tcPr>
            <w:tcW w:w="1273" w:type="dxa"/>
            <w:vAlign w:val="center"/>
          </w:tcPr>
          <w:p w:rsidR="00743320" w:rsidRPr="00775168" w:rsidRDefault="00DF7F26">
            <w:pPr>
              <w:pStyle w:val="P68B1DB1-a033"/>
              <w:spacing w:line="276" w:lineRule="auto"/>
              <w:jc w:val="center"/>
            </w:pPr>
            <w:r w:rsidRPr="00775168">
              <w:t xml:space="preserve">1 (4.76%) </w:t>
            </w:r>
          </w:p>
        </w:tc>
        <w:tc>
          <w:tcPr>
            <w:tcW w:w="1649" w:type="dxa"/>
            <w:vAlign w:val="center"/>
          </w:tcPr>
          <w:p w:rsidR="00743320" w:rsidRPr="00775168" w:rsidRDefault="00DF7F26">
            <w:pPr>
              <w:pStyle w:val="P68B1DB1-a033"/>
              <w:spacing w:line="276" w:lineRule="auto"/>
              <w:jc w:val="center"/>
            </w:pPr>
            <w:r w:rsidRPr="00775168">
              <w:t xml:space="preserve">2 (9.52%)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Total cholesterol increased </w:t>
            </w:r>
          </w:p>
        </w:tc>
        <w:tc>
          <w:tcPr>
            <w:tcW w:w="1466" w:type="dxa"/>
            <w:vAlign w:val="center"/>
          </w:tcPr>
          <w:p w:rsidR="00743320" w:rsidRPr="00775168" w:rsidRDefault="00DF7F26">
            <w:pPr>
              <w:pStyle w:val="P68B1DB1-a033"/>
              <w:spacing w:line="276" w:lineRule="auto"/>
              <w:jc w:val="center"/>
            </w:pPr>
            <w:r w:rsidRPr="00775168">
              <w:t xml:space="preserve">6 (28.57%) </w:t>
            </w:r>
          </w:p>
        </w:tc>
        <w:tc>
          <w:tcPr>
            <w:tcW w:w="1713" w:type="dxa"/>
            <w:vAlign w:val="center"/>
          </w:tcPr>
          <w:p w:rsidR="00743320" w:rsidRPr="00775168" w:rsidRDefault="00DF7F26">
            <w:pPr>
              <w:pStyle w:val="P68B1DB1-a033"/>
              <w:spacing w:line="276" w:lineRule="auto"/>
              <w:jc w:val="center"/>
            </w:pPr>
            <w:r w:rsidRPr="00775168">
              <w:t xml:space="preserve">13 (62%)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Low density lipoprotein increased </w:t>
            </w:r>
          </w:p>
        </w:tc>
        <w:tc>
          <w:tcPr>
            <w:tcW w:w="1466" w:type="dxa"/>
            <w:vAlign w:val="center"/>
          </w:tcPr>
          <w:p w:rsidR="00743320" w:rsidRPr="00775168" w:rsidRDefault="00DF7F26">
            <w:pPr>
              <w:pStyle w:val="P68B1DB1-a033"/>
              <w:spacing w:line="276" w:lineRule="auto"/>
              <w:jc w:val="center"/>
            </w:pPr>
            <w:r w:rsidRPr="00775168">
              <w:t xml:space="preserve">4 (19.05%) </w:t>
            </w:r>
          </w:p>
        </w:tc>
        <w:tc>
          <w:tcPr>
            <w:tcW w:w="1713" w:type="dxa"/>
            <w:vAlign w:val="center"/>
          </w:tcPr>
          <w:p w:rsidR="00743320" w:rsidRPr="00775168" w:rsidRDefault="00DF7F26">
            <w:pPr>
              <w:pStyle w:val="P68B1DB1-a033"/>
              <w:spacing w:line="276" w:lineRule="auto"/>
              <w:jc w:val="center"/>
            </w:pPr>
            <w:r w:rsidRPr="00775168">
              <w:t xml:space="preserve">11 (52.38%)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A low </w:t>
            </w:r>
          </w:p>
        </w:tc>
        <w:tc>
          <w:tcPr>
            <w:tcW w:w="1466" w:type="dxa"/>
            <w:vAlign w:val="center"/>
          </w:tcPr>
          <w:p w:rsidR="00743320" w:rsidRPr="00775168" w:rsidRDefault="00DF7F26">
            <w:pPr>
              <w:pStyle w:val="P68B1DB1-a033"/>
              <w:spacing w:line="276" w:lineRule="auto"/>
              <w:jc w:val="center"/>
            </w:pPr>
            <w:r w:rsidRPr="00775168">
              <w:t xml:space="preserve">8 (38.10%) </w:t>
            </w:r>
          </w:p>
        </w:tc>
        <w:tc>
          <w:tcPr>
            <w:tcW w:w="1713" w:type="dxa"/>
            <w:vAlign w:val="center"/>
          </w:tcPr>
          <w:p w:rsidR="00743320" w:rsidRPr="00775168" w:rsidRDefault="00DF7F26">
            <w:pPr>
              <w:pStyle w:val="P68B1DB1-a033"/>
              <w:spacing w:line="276" w:lineRule="auto"/>
              <w:jc w:val="center"/>
            </w:pPr>
            <w:r w:rsidRPr="00775168">
              <w:t xml:space="preserve">12 (57%)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Hyperthyroidism </w:t>
            </w:r>
          </w:p>
        </w:tc>
        <w:tc>
          <w:tcPr>
            <w:tcW w:w="1466" w:type="dxa"/>
            <w:vAlign w:val="center"/>
          </w:tcPr>
          <w:p w:rsidR="00743320" w:rsidRPr="00775168" w:rsidRDefault="00DF7F26">
            <w:pPr>
              <w:pStyle w:val="P68B1DB1-a033"/>
              <w:spacing w:line="276" w:lineRule="auto"/>
              <w:jc w:val="center"/>
            </w:pPr>
            <w:r w:rsidRPr="00775168">
              <w:t xml:space="preserve">2 (9.52%) </w:t>
            </w:r>
          </w:p>
        </w:tc>
        <w:tc>
          <w:tcPr>
            <w:tcW w:w="1713" w:type="dxa"/>
            <w:vAlign w:val="center"/>
          </w:tcPr>
          <w:p w:rsidR="00743320" w:rsidRPr="00775168" w:rsidRDefault="00DF7F26">
            <w:pPr>
              <w:pStyle w:val="P68B1DB1-a033"/>
              <w:spacing w:line="276" w:lineRule="auto"/>
              <w:jc w:val="center"/>
            </w:pPr>
            <w:r w:rsidRPr="00775168">
              <w:t xml:space="preserve">2 (9.52%)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24"/>
              <w:spacing w:line="276" w:lineRule="auto"/>
              <w:jc w:val="center"/>
              <w:rPr>
                <w:rFonts w:hint="default"/>
              </w:rPr>
            </w:pPr>
            <w:r w:rsidRPr="00775168">
              <w:t xml:space="preserve">Thyrotropin increased </w:t>
            </w:r>
          </w:p>
        </w:tc>
        <w:tc>
          <w:tcPr>
            <w:tcW w:w="1466" w:type="dxa"/>
            <w:vAlign w:val="center"/>
          </w:tcPr>
          <w:p w:rsidR="00743320" w:rsidRPr="00775168" w:rsidRDefault="00DF7F26">
            <w:pPr>
              <w:pStyle w:val="P68B1DB1-a033"/>
              <w:spacing w:line="276" w:lineRule="auto"/>
              <w:jc w:val="center"/>
            </w:pPr>
            <w:r w:rsidRPr="00775168">
              <w:t xml:space="preserve">2 (9.52%) </w:t>
            </w:r>
          </w:p>
        </w:tc>
        <w:tc>
          <w:tcPr>
            <w:tcW w:w="1713" w:type="dxa"/>
            <w:vAlign w:val="center"/>
          </w:tcPr>
          <w:p w:rsidR="00743320" w:rsidRPr="00775168" w:rsidRDefault="00DF7F26">
            <w:pPr>
              <w:pStyle w:val="P68B1DB1-a033"/>
              <w:spacing w:line="276" w:lineRule="auto"/>
              <w:jc w:val="center"/>
            </w:pPr>
            <w:r w:rsidRPr="00775168">
              <w:t xml:space="preserve">4 (19.05%)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24"/>
              <w:spacing w:line="276" w:lineRule="auto"/>
              <w:jc w:val="center"/>
              <w:rPr>
                <w:rFonts w:hint="default"/>
              </w:rPr>
            </w:pPr>
            <w:r w:rsidRPr="00775168">
              <w:t xml:space="preserve">ALT increased </w:t>
            </w:r>
          </w:p>
        </w:tc>
        <w:tc>
          <w:tcPr>
            <w:tcW w:w="1466" w:type="dxa"/>
            <w:vAlign w:val="center"/>
          </w:tcPr>
          <w:p w:rsidR="00743320" w:rsidRPr="00775168" w:rsidRDefault="00DF7F26">
            <w:pPr>
              <w:pStyle w:val="P68B1DB1-a033"/>
              <w:spacing w:line="276" w:lineRule="auto"/>
              <w:jc w:val="center"/>
            </w:pPr>
            <w:r w:rsidRPr="00775168">
              <w:t xml:space="preserve">6 (28.57%) </w:t>
            </w:r>
          </w:p>
        </w:tc>
        <w:tc>
          <w:tcPr>
            <w:tcW w:w="1713" w:type="dxa"/>
            <w:vAlign w:val="center"/>
          </w:tcPr>
          <w:p w:rsidR="00743320" w:rsidRPr="00775168" w:rsidRDefault="00DF7F26">
            <w:pPr>
              <w:pStyle w:val="P68B1DB1-a033"/>
              <w:spacing w:line="276" w:lineRule="auto"/>
              <w:jc w:val="center"/>
            </w:pPr>
            <w:r w:rsidRPr="00775168">
              <w:t xml:space="preserve">10 (47.62%)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24"/>
              <w:spacing w:line="276" w:lineRule="auto"/>
              <w:jc w:val="center"/>
              <w:rPr>
                <w:rFonts w:hint="default"/>
              </w:rPr>
            </w:pPr>
            <w:r w:rsidRPr="00775168">
              <w:t xml:space="preserve">AST increased </w:t>
            </w:r>
          </w:p>
        </w:tc>
        <w:tc>
          <w:tcPr>
            <w:tcW w:w="1466" w:type="dxa"/>
            <w:vAlign w:val="center"/>
          </w:tcPr>
          <w:p w:rsidR="00743320" w:rsidRPr="00775168" w:rsidRDefault="00DF7F26">
            <w:pPr>
              <w:pStyle w:val="P68B1DB1-a033"/>
              <w:spacing w:line="276" w:lineRule="auto"/>
              <w:jc w:val="center"/>
            </w:pPr>
            <w:r w:rsidRPr="00775168">
              <w:t xml:space="preserve">4 (19.05%) </w:t>
            </w:r>
          </w:p>
        </w:tc>
        <w:tc>
          <w:tcPr>
            <w:tcW w:w="1713" w:type="dxa"/>
            <w:vAlign w:val="center"/>
          </w:tcPr>
          <w:p w:rsidR="00743320" w:rsidRPr="00775168" w:rsidRDefault="00DF7F26">
            <w:pPr>
              <w:pStyle w:val="P68B1DB1-a033"/>
              <w:spacing w:line="276" w:lineRule="auto"/>
              <w:jc w:val="center"/>
            </w:pPr>
            <w:r w:rsidRPr="00775168">
              <w:t xml:space="preserve">9 (42.86%)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Creatinine increased </w:t>
            </w:r>
          </w:p>
        </w:tc>
        <w:tc>
          <w:tcPr>
            <w:tcW w:w="1466" w:type="dxa"/>
            <w:vAlign w:val="center"/>
          </w:tcPr>
          <w:p w:rsidR="00743320" w:rsidRPr="00775168" w:rsidRDefault="00DF7F26">
            <w:pPr>
              <w:pStyle w:val="P68B1DB1-a033"/>
              <w:spacing w:line="276" w:lineRule="auto"/>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2 (9.52%)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Total bilirubin increased </w:t>
            </w:r>
          </w:p>
        </w:tc>
        <w:tc>
          <w:tcPr>
            <w:tcW w:w="1466" w:type="dxa"/>
            <w:vAlign w:val="center"/>
          </w:tcPr>
          <w:p w:rsidR="00743320" w:rsidRPr="00775168" w:rsidRDefault="00DF7F26">
            <w:pPr>
              <w:pStyle w:val="P68B1DB1-a033"/>
              <w:spacing w:line="276" w:lineRule="auto"/>
              <w:jc w:val="center"/>
            </w:pPr>
            <w:r w:rsidRPr="00775168">
              <w:t xml:space="preserve">5 (23.81%) </w:t>
            </w:r>
          </w:p>
        </w:tc>
        <w:tc>
          <w:tcPr>
            <w:tcW w:w="1713" w:type="dxa"/>
            <w:vAlign w:val="center"/>
          </w:tcPr>
          <w:p w:rsidR="00743320" w:rsidRPr="00775168" w:rsidRDefault="00DF7F26">
            <w:pPr>
              <w:pStyle w:val="P68B1DB1-a033"/>
              <w:spacing w:line="276" w:lineRule="auto"/>
              <w:jc w:val="center"/>
            </w:pPr>
            <w:r w:rsidRPr="00775168">
              <w:t xml:space="preserve">8 (38.10%)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Direct bilirubin increased </w:t>
            </w:r>
          </w:p>
        </w:tc>
        <w:tc>
          <w:tcPr>
            <w:tcW w:w="1466" w:type="dxa"/>
            <w:vAlign w:val="center"/>
          </w:tcPr>
          <w:p w:rsidR="00743320" w:rsidRPr="00775168" w:rsidRDefault="00DF7F26">
            <w:pPr>
              <w:pStyle w:val="P68B1DB1-a033"/>
              <w:spacing w:line="276" w:lineRule="auto"/>
              <w:jc w:val="center"/>
            </w:pPr>
            <w:r w:rsidRPr="00775168">
              <w:t xml:space="preserve">3 (14.29%) </w:t>
            </w:r>
          </w:p>
        </w:tc>
        <w:tc>
          <w:tcPr>
            <w:tcW w:w="1713" w:type="dxa"/>
            <w:vAlign w:val="center"/>
          </w:tcPr>
          <w:p w:rsidR="00743320" w:rsidRPr="00775168" w:rsidRDefault="00DF7F26">
            <w:pPr>
              <w:pStyle w:val="P68B1DB1-a033"/>
              <w:spacing w:line="276" w:lineRule="auto"/>
              <w:jc w:val="center"/>
            </w:pPr>
            <w:r w:rsidRPr="00775168">
              <w:t xml:space="preserve">8 (38.10%)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1 (4.76%)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Indirect bilirubin increased </w:t>
            </w:r>
          </w:p>
        </w:tc>
        <w:tc>
          <w:tcPr>
            <w:tcW w:w="1466" w:type="dxa"/>
            <w:vAlign w:val="center"/>
          </w:tcPr>
          <w:p w:rsidR="00743320" w:rsidRPr="00775168" w:rsidRDefault="00DF7F26">
            <w:pPr>
              <w:pStyle w:val="P68B1DB1-a033"/>
              <w:spacing w:line="276" w:lineRule="auto"/>
              <w:jc w:val="center"/>
            </w:pPr>
            <w:r w:rsidRPr="00775168">
              <w:t xml:space="preserve">4 (19.05%) </w:t>
            </w:r>
          </w:p>
        </w:tc>
        <w:tc>
          <w:tcPr>
            <w:tcW w:w="1713" w:type="dxa"/>
            <w:vAlign w:val="center"/>
          </w:tcPr>
          <w:p w:rsidR="00743320" w:rsidRPr="00775168" w:rsidRDefault="00DF7F26">
            <w:pPr>
              <w:pStyle w:val="P68B1DB1-a033"/>
              <w:spacing w:line="276" w:lineRule="auto"/>
              <w:jc w:val="center"/>
            </w:pPr>
            <w:r w:rsidRPr="00775168">
              <w:t xml:space="preserve">5 (23.81%)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Lipase </w:t>
            </w:r>
          </w:p>
        </w:tc>
        <w:tc>
          <w:tcPr>
            <w:tcW w:w="1466" w:type="dxa"/>
            <w:vAlign w:val="center"/>
          </w:tcPr>
          <w:p w:rsidR="00743320" w:rsidRPr="00775168" w:rsidRDefault="00DF7F26">
            <w:pPr>
              <w:pStyle w:val="P68B1DB1-a033"/>
              <w:spacing w:line="276" w:lineRule="auto"/>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5 (23.81%) </w:t>
            </w:r>
          </w:p>
        </w:tc>
        <w:tc>
          <w:tcPr>
            <w:tcW w:w="1273" w:type="dxa"/>
            <w:vAlign w:val="center"/>
          </w:tcPr>
          <w:p w:rsidR="00743320" w:rsidRPr="00775168" w:rsidRDefault="00DF7F26">
            <w:pPr>
              <w:pStyle w:val="P68B1DB1-a033"/>
              <w:spacing w:line="276" w:lineRule="auto"/>
              <w:jc w:val="center"/>
            </w:pPr>
            <w:r w:rsidRPr="00775168">
              <w:t xml:space="preserve">1 (4.76%) </w:t>
            </w:r>
          </w:p>
        </w:tc>
        <w:tc>
          <w:tcPr>
            <w:tcW w:w="1649" w:type="dxa"/>
            <w:vAlign w:val="center"/>
          </w:tcPr>
          <w:p w:rsidR="00743320" w:rsidRPr="00775168" w:rsidRDefault="00DF7F26">
            <w:pPr>
              <w:pStyle w:val="P68B1DB1-a033"/>
              <w:spacing w:line="276" w:lineRule="auto"/>
              <w:jc w:val="center"/>
            </w:pPr>
            <w:r w:rsidRPr="00775168">
              <w:t xml:space="preserve">1 (4.76%)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Blood amylase </w:t>
            </w:r>
          </w:p>
        </w:tc>
        <w:tc>
          <w:tcPr>
            <w:tcW w:w="1466" w:type="dxa"/>
            <w:vAlign w:val="center"/>
          </w:tcPr>
          <w:p w:rsidR="00743320" w:rsidRPr="00775168" w:rsidRDefault="00DF7F26">
            <w:pPr>
              <w:pStyle w:val="P68B1DB1-a033"/>
              <w:spacing w:line="276" w:lineRule="auto"/>
              <w:jc w:val="center"/>
            </w:pPr>
            <w:r w:rsidRPr="00775168">
              <w:t xml:space="preserve">4 (19.05%) </w:t>
            </w:r>
          </w:p>
        </w:tc>
        <w:tc>
          <w:tcPr>
            <w:tcW w:w="1713" w:type="dxa"/>
            <w:vAlign w:val="center"/>
          </w:tcPr>
          <w:p w:rsidR="00743320" w:rsidRPr="00775168" w:rsidRDefault="00DF7F26">
            <w:pPr>
              <w:pStyle w:val="P68B1DB1-a033"/>
              <w:spacing w:line="276" w:lineRule="auto"/>
              <w:jc w:val="center"/>
            </w:pPr>
            <w:r w:rsidRPr="00775168">
              <w:t xml:space="preserve">9 (42.86%)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Cardiac enzymes abnormal </w:t>
            </w:r>
          </w:p>
        </w:tc>
        <w:tc>
          <w:tcPr>
            <w:tcW w:w="1466" w:type="dxa"/>
            <w:vAlign w:val="center"/>
          </w:tcPr>
          <w:p w:rsidR="00743320" w:rsidRPr="00775168" w:rsidRDefault="00DF7F26">
            <w:pPr>
              <w:pStyle w:val="P68B1DB1-a033"/>
              <w:spacing w:line="276" w:lineRule="auto"/>
              <w:jc w:val="center"/>
            </w:pPr>
            <w:r w:rsidRPr="00775168">
              <w:t xml:space="preserve">2 (9.52%) </w:t>
            </w:r>
          </w:p>
        </w:tc>
        <w:tc>
          <w:tcPr>
            <w:tcW w:w="1713" w:type="dxa"/>
            <w:vAlign w:val="center"/>
          </w:tcPr>
          <w:p w:rsidR="00743320" w:rsidRPr="00775168" w:rsidRDefault="00DF7F26">
            <w:pPr>
              <w:pStyle w:val="P68B1DB1-a033"/>
              <w:spacing w:line="276" w:lineRule="auto"/>
              <w:jc w:val="center"/>
            </w:pPr>
            <w:r w:rsidRPr="00775168">
              <w:t xml:space="preserve">3 (14.29%)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White blood cell decreased </w:t>
            </w:r>
          </w:p>
        </w:tc>
        <w:tc>
          <w:tcPr>
            <w:tcW w:w="1466" w:type="dxa"/>
            <w:vAlign w:val="center"/>
          </w:tcPr>
          <w:p w:rsidR="00743320" w:rsidRPr="00775168" w:rsidRDefault="00DF7F26">
            <w:pPr>
              <w:pStyle w:val="P68B1DB1-a033"/>
              <w:spacing w:line="276" w:lineRule="auto"/>
              <w:jc w:val="center"/>
            </w:pPr>
            <w:r w:rsidRPr="00775168">
              <w:t xml:space="preserve">3 (14.29%) </w:t>
            </w:r>
          </w:p>
        </w:tc>
        <w:tc>
          <w:tcPr>
            <w:tcW w:w="1713" w:type="dxa"/>
            <w:vAlign w:val="center"/>
          </w:tcPr>
          <w:p w:rsidR="00743320" w:rsidRPr="00775168" w:rsidRDefault="00DF7F26">
            <w:pPr>
              <w:pStyle w:val="P68B1DB1-a033"/>
              <w:spacing w:line="276" w:lineRule="auto"/>
              <w:jc w:val="center"/>
            </w:pPr>
            <w:r w:rsidRPr="00775168">
              <w:t xml:space="preserve">6 (28.57%)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Neutrophils decreased </w:t>
            </w:r>
          </w:p>
        </w:tc>
        <w:tc>
          <w:tcPr>
            <w:tcW w:w="1466" w:type="dxa"/>
            <w:vAlign w:val="center"/>
          </w:tcPr>
          <w:p w:rsidR="00743320" w:rsidRPr="00775168" w:rsidRDefault="00DF7F26">
            <w:pPr>
              <w:pStyle w:val="P68B1DB1-a033"/>
              <w:spacing w:line="276" w:lineRule="auto"/>
              <w:jc w:val="center"/>
            </w:pPr>
            <w:r w:rsidRPr="00775168">
              <w:t xml:space="preserve">0 </w:t>
            </w:r>
          </w:p>
        </w:tc>
        <w:tc>
          <w:tcPr>
            <w:tcW w:w="1713" w:type="dxa"/>
            <w:vAlign w:val="center"/>
          </w:tcPr>
          <w:p w:rsidR="00743320" w:rsidRPr="00775168" w:rsidRDefault="00DF7F26">
            <w:pPr>
              <w:pStyle w:val="P68B1DB1-a033"/>
              <w:spacing w:line="276" w:lineRule="auto"/>
              <w:jc w:val="center"/>
            </w:pPr>
            <w:r w:rsidRPr="00775168">
              <w:t xml:space="preserve">2 (9.52%)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Platelet decreased </w:t>
            </w:r>
          </w:p>
        </w:tc>
        <w:tc>
          <w:tcPr>
            <w:tcW w:w="1466" w:type="dxa"/>
            <w:vAlign w:val="center"/>
          </w:tcPr>
          <w:p w:rsidR="00743320" w:rsidRPr="00775168" w:rsidRDefault="00DF7F26">
            <w:pPr>
              <w:pStyle w:val="P68B1DB1-a033"/>
              <w:spacing w:line="276" w:lineRule="auto"/>
              <w:jc w:val="center"/>
            </w:pPr>
            <w:r w:rsidRPr="00775168">
              <w:t xml:space="preserve">0 </w:t>
            </w:r>
          </w:p>
        </w:tc>
        <w:tc>
          <w:tcPr>
            <w:tcW w:w="1713" w:type="dxa"/>
            <w:vAlign w:val="center"/>
          </w:tcPr>
          <w:p w:rsidR="00743320" w:rsidRPr="00775168" w:rsidRDefault="00DF7F26">
            <w:pPr>
              <w:pStyle w:val="P68B1DB1-a033"/>
              <w:spacing w:line="276" w:lineRule="auto"/>
              <w:jc w:val="center"/>
            </w:pPr>
            <w:r w:rsidRPr="00775168">
              <w:t xml:space="preserve">2 (9.52%)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Hemorrhage </w:t>
            </w:r>
          </w:p>
        </w:tc>
        <w:tc>
          <w:tcPr>
            <w:tcW w:w="1466" w:type="dxa"/>
          </w:tcPr>
          <w:p w:rsidR="00743320" w:rsidRPr="00775168" w:rsidRDefault="00DF7F26">
            <w:pPr>
              <w:pStyle w:val="P68B1DB1-a033"/>
              <w:jc w:val="center"/>
            </w:pPr>
            <w:r w:rsidRPr="00775168">
              <w:t xml:space="preserve">0 </w:t>
            </w:r>
          </w:p>
        </w:tc>
        <w:tc>
          <w:tcPr>
            <w:tcW w:w="1713" w:type="dxa"/>
            <w:vAlign w:val="center"/>
          </w:tcPr>
          <w:p w:rsidR="00743320" w:rsidRPr="00775168" w:rsidRDefault="00DF7F26">
            <w:pPr>
              <w:pStyle w:val="P68B1DB1-a033"/>
              <w:spacing w:line="276" w:lineRule="auto"/>
              <w:jc w:val="center"/>
            </w:pPr>
            <w:r w:rsidRPr="00775168">
              <w:t xml:space="preserve">1 (4.76%)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Urinary occult blood </w:t>
            </w:r>
          </w:p>
        </w:tc>
        <w:tc>
          <w:tcPr>
            <w:tcW w:w="1466" w:type="dxa"/>
          </w:tcPr>
          <w:p w:rsidR="00743320" w:rsidRPr="00775168" w:rsidRDefault="00DF7F26">
            <w:pPr>
              <w:pStyle w:val="P68B1DB1-a033"/>
              <w:jc w:val="center"/>
            </w:pPr>
            <w:r w:rsidRPr="00775168">
              <w:t xml:space="preserve">5 (23.81%) </w:t>
            </w:r>
          </w:p>
        </w:tc>
        <w:tc>
          <w:tcPr>
            <w:tcW w:w="1713" w:type="dxa"/>
            <w:vAlign w:val="center"/>
          </w:tcPr>
          <w:p w:rsidR="00743320" w:rsidRPr="00775168" w:rsidRDefault="00DF7F26">
            <w:pPr>
              <w:pStyle w:val="P68B1DB1-a033"/>
              <w:spacing w:line="276" w:lineRule="auto"/>
              <w:jc w:val="center"/>
            </w:pPr>
            <w:r w:rsidRPr="00775168">
              <w:t xml:space="preserve">8 (38.10%)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vAlign w:val="center"/>
          </w:tcPr>
          <w:p w:rsidR="00743320" w:rsidRPr="00775168" w:rsidRDefault="00DF7F26">
            <w:pPr>
              <w:pStyle w:val="P68B1DB1-a033"/>
              <w:spacing w:line="276" w:lineRule="auto"/>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Asthenia </w:t>
            </w:r>
          </w:p>
        </w:tc>
        <w:tc>
          <w:tcPr>
            <w:tcW w:w="1466" w:type="dxa"/>
          </w:tcPr>
          <w:p w:rsidR="00743320" w:rsidRPr="00775168" w:rsidRDefault="00DF7F26">
            <w:pPr>
              <w:pStyle w:val="P68B1DB1-a033"/>
              <w:spacing w:line="276" w:lineRule="auto"/>
              <w:jc w:val="center"/>
            </w:pPr>
            <w:r w:rsidRPr="00775168">
              <w:t xml:space="preserve">5 (23.81%) </w:t>
            </w:r>
          </w:p>
        </w:tc>
        <w:tc>
          <w:tcPr>
            <w:tcW w:w="1713" w:type="dxa"/>
            <w:vAlign w:val="center"/>
          </w:tcPr>
          <w:p w:rsidR="00743320" w:rsidRPr="00775168" w:rsidRDefault="00DF7F26">
            <w:pPr>
              <w:pStyle w:val="P68B1DB1-a033"/>
              <w:spacing w:line="276" w:lineRule="auto"/>
              <w:jc w:val="center"/>
            </w:pPr>
            <w:r w:rsidRPr="00775168">
              <w:t xml:space="preserve">7 (33.33%)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Diarrhea </w:t>
            </w:r>
          </w:p>
        </w:tc>
        <w:tc>
          <w:tcPr>
            <w:tcW w:w="1466" w:type="dxa"/>
          </w:tcPr>
          <w:p w:rsidR="00743320" w:rsidRPr="00775168" w:rsidRDefault="00DF7F26">
            <w:pPr>
              <w:pStyle w:val="P68B1DB1-a033"/>
              <w:spacing w:line="276" w:lineRule="auto"/>
              <w:jc w:val="center"/>
            </w:pPr>
            <w:r w:rsidRPr="00775168">
              <w:t xml:space="preserve">6 (28.57%) </w:t>
            </w:r>
          </w:p>
        </w:tc>
        <w:tc>
          <w:tcPr>
            <w:tcW w:w="1713" w:type="dxa"/>
            <w:vAlign w:val="center"/>
          </w:tcPr>
          <w:p w:rsidR="00743320" w:rsidRPr="00775168" w:rsidRDefault="00DF7F26">
            <w:pPr>
              <w:pStyle w:val="P68B1DB1-a033"/>
              <w:spacing w:line="276" w:lineRule="auto"/>
              <w:jc w:val="center"/>
            </w:pPr>
            <w:r w:rsidRPr="00775168">
              <w:t xml:space="preserve">7 (33.33%)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Hoarseness </w:t>
            </w:r>
          </w:p>
        </w:tc>
        <w:tc>
          <w:tcPr>
            <w:tcW w:w="1466" w:type="dxa"/>
          </w:tcPr>
          <w:p w:rsidR="00743320" w:rsidRPr="00775168" w:rsidRDefault="00DF7F26">
            <w:pPr>
              <w:pStyle w:val="P68B1DB1-a033"/>
              <w:jc w:val="center"/>
            </w:pPr>
            <w:r w:rsidRPr="00775168">
              <w:t xml:space="preserve">3 (14.29%) </w:t>
            </w:r>
          </w:p>
        </w:tc>
        <w:tc>
          <w:tcPr>
            <w:tcW w:w="1713" w:type="dxa"/>
            <w:vAlign w:val="center"/>
          </w:tcPr>
          <w:p w:rsidR="00743320" w:rsidRPr="00775168" w:rsidRDefault="00DF7F26">
            <w:pPr>
              <w:pStyle w:val="P68B1DB1-a033"/>
              <w:spacing w:line="276" w:lineRule="auto"/>
              <w:jc w:val="center"/>
            </w:pPr>
            <w:r w:rsidRPr="00775168">
              <w:t xml:space="preserve">5 (23.81%)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lastRenderedPageBreak/>
              <w:t xml:space="preserve">Nausea </w:t>
            </w:r>
          </w:p>
        </w:tc>
        <w:tc>
          <w:tcPr>
            <w:tcW w:w="1466" w:type="dxa"/>
          </w:tcPr>
          <w:p w:rsidR="00743320" w:rsidRPr="00775168" w:rsidRDefault="00DF7F26">
            <w:pPr>
              <w:pStyle w:val="P68B1DB1-a024"/>
              <w:spacing w:line="276" w:lineRule="auto"/>
              <w:jc w:val="center"/>
              <w:rPr>
                <w:rFonts w:hint="default"/>
              </w:rPr>
            </w:pPr>
            <w:r w:rsidRPr="00775168">
              <w:t xml:space="preserve">3 (14.29%) </w:t>
            </w:r>
          </w:p>
        </w:tc>
        <w:tc>
          <w:tcPr>
            <w:tcW w:w="1713" w:type="dxa"/>
            <w:vAlign w:val="center"/>
          </w:tcPr>
          <w:p w:rsidR="00743320" w:rsidRPr="00775168" w:rsidRDefault="00DF7F26">
            <w:pPr>
              <w:pStyle w:val="P68B1DB1-a033"/>
              <w:spacing w:line="276" w:lineRule="auto"/>
              <w:jc w:val="center"/>
            </w:pPr>
            <w:r w:rsidRPr="00775168">
              <w:t xml:space="preserve">3 (14.29%)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Decreased appetite </w:t>
            </w:r>
          </w:p>
        </w:tc>
        <w:tc>
          <w:tcPr>
            <w:tcW w:w="1466" w:type="dxa"/>
          </w:tcPr>
          <w:p w:rsidR="00743320" w:rsidRPr="00775168" w:rsidRDefault="00DF7F26">
            <w:pPr>
              <w:pStyle w:val="P68B1DB1-a033"/>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2 (9.52%)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Toothache </w:t>
            </w:r>
          </w:p>
        </w:tc>
        <w:tc>
          <w:tcPr>
            <w:tcW w:w="1466" w:type="dxa"/>
          </w:tcPr>
          <w:p w:rsidR="00743320" w:rsidRPr="00775168" w:rsidRDefault="00DF7F26">
            <w:pPr>
              <w:pStyle w:val="P68B1DB1-a033"/>
              <w:spacing w:line="276" w:lineRule="auto"/>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4 (19.05%)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Gingivitis </w:t>
            </w:r>
          </w:p>
        </w:tc>
        <w:tc>
          <w:tcPr>
            <w:tcW w:w="1466" w:type="dxa"/>
          </w:tcPr>
          <w:p w:rsidR="00743320" w:rsidRPr="00775168" w:rsidRDefault="00DF7F26">
            <w:pPr>
              <w:pStyle w:val="P68B1DB1-a033"/>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1 (4.76%)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Pain </w:t>
            </w:r>
          </w:p>
        </w:tc>
        <w:tc>
          <w:tcPr>
            <w:tcW w:w="1466" w:type="dxa"/>
          </w:tcPr>
          <w:p w:rsidR="00743320" w:rsidRPr="00775168" w:rsidRDefault="00DF7F26">
            <w:pPr>
              <w:pStyle w:val="P68B1DB1-a033"/>
              <w:jc w:val="center"/>
            </w:pPr>
            <w:r w:rsidRPr="00775168">
              <w:t xml:space="preserve">4 (19.05%) </w:t>
            </w:r>
          </w:p>
        </w:tc>
        <w:tc>
          <w:tcPr>
            <w:tcW w:w="1713" w:type="dxa"/>
            <w:vAlign w:val="center"/>
          </w:tcPr>
          <w:p w:rsidR="00743320" w:rsidRPr="00775168" w:rsidRDefault="00DF7F26">
            <w:pPr>
              <w:pStyle w:val="P68B1DB1-a033"/>
              <w:spacing w:line="276" w:lineRule="auto"/>
              <w:jc w:val="center"/>
            </w:pPr>
            <w:r w:rsidRPr="00775168">
              <w:t xml:space="preserve">4 (19.05%)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Sore throat </w:t>
            </w:r>
          </w:p>
        </w:tc>
        <w:tc>
          <w:tcPr>
            <w:tcW w:w="1466" w:type="dxa"/>
          </w:tcPr>
          <w:p w:rsidR="00743320" w:rsidRPr="00775168" w:rsidRDefault="00DF7F26">
            <w:pPr>
              <w:pStyle w:val="P68B1DB1-a033"/>
              <w:spacing w:line="276" w:lineRule="auto"/>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4 (19.05%)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24"/>
              <w:spacing w:line="276" w:lineRule="auto"/>
              <w:jc w:val="center"/>
              <w:rPr>
                <w:rFonts w:hint="default"/>
              </w:rPr>
            </w:pPr>
            <w:r w:rsidRPr="00775168">
              <w:t xml:space="preserve">Dizziness/headache </w:t>
            </w:r>
          </w:p>
        </w:tc>
        <w:tc>
          <w:tcPr>
            <w:tcW w:w="1466" w:type="dxa"/>
          </w:tcPr>
          <w:p w:rsidR="00743320" w:rsidRPr="00775168" w:rsidRDefault="00DF7F26">
            <w:pPr>
              <w:pStyle w:val="P68B1DB1-a033"/>
              <w:spacing w:line="276" w:lineRule="auto"/>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2 (9.52%)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Fever </w:t>
            </w:r>
          </w:p>
        </w:tc>
        <w:tc>
          <w:tcPr>
            <w:tcW w:w="1466" w:type="dxa"/>
          </w:tcPr>
          <w:p w:rsidR="00743320" w:rsidRPr="00775168" w:rsidRDefault="00DF7F26">
            <w:pPr>
              <w:pStyle w:val="P68B1DB1-a033"/>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2 (9.52%)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Oral mucositis </w:t>
            </w:r>
          </w:p>
        </w:tc>
        <w:tc>
          <w:tcPr>
            <w:tcW w:w="1466" w:type="dxa"/>
          </w:tcPr>
          <w:p w:rsidR="00743320" w:rsidRPr="00775168" w:rsidRDefault="00DF7F26">
            <w:pPr>
              <w:pStyle w:val="P68B1DB1-a033"/>
              <w:spacing w:line="276" w:lineRule="auto"/>
              <w:jc w:val="center"/>
            </w:pPr>
            <w:r w:rsidRPr="00775168">
              <w:t xml:space="preserve">0 </w:t>
            </w:r>
          </w:p>
        </w:tc>
        <w:tc>
          <w:tcPr>
            <w:tcW w:w="1713" w:type="dxa"/>
            <w:vAlign w:val="center"/>
          </w:tcPr>
          <w:p w:rsidR="00743320" w:rsidRPr="00775168" w:rsidRDefault="00DF7F26">
            <w:pPr>
              <w:pStyle w:val="P68B1DB1-a033"/>
              <w:spacing w:line="276" w:lineRule="auto"/>
              <w:jc w:val="center"/>
            </w:pPr>
            <w:r w:rsidRPr="00775168">
              <w:t xml:space="preserve">2 (9.52%)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vAlign w:val="center"/>
          </w:tcPr>
          <w:p w:rsidR="00743320" w:rsidRPr="00775168" w:rsidRDefault="00DF7F26">
            <w:pPr>
              <w:pStyle w:val="P68B1DB1-a09"/>
              <w:spacing w:line="276" w:lineRule="auto"/>
              <w:jc w:val="center"/>
              <w:rPr>
                <w:rFonts w:hint="default"/>
              </w:rPr>
            </w:pPr>
            <w:r w:rsidRPr="00775168">
              <w:t xml:space="preserve">Tinnitus </w:t>
            </w:r>
          </w:p>
        </w:tc>
        <w:tc>
          <w:tcPr>
            <w:tcW w:w="1466" w:type="dxa"/>
          </w:tcPr>
          <w:p w:rsidR="00743320" w:rsidRPr="00775168" w:rsidRDefault="00DF7F26">
            <w:pPr>
              <w:pStyle w:val="P68B1DB1-a033"/>
              <w:jc w:val="center"/>
            </w:pPr>
            <w:r w:rsidRPr="00775168">
              <w:t xml:space="preserve">1 (4.76%) </w:t>
            </w:r>
          </w:p>
        </w:tc>
        <w:tc>
          <w:tcPr>
            <w:tcW w:w="1713" w:type="dxa"/>
            <w:vAlign w:val="center"/>
          </w:tcPr>
          <w:p w:rsidR="00743320" w:rsidRPr="00775168" w:rsidRDefault="00DF7F26">
            <w:pPr>
              <w:pStyle w:val="P68B1DB1-a033"/>
              <w:spacing w:line="276" w:lineRule="auto"/>
              <w:jc w:val="center"/>
            </w:pPr>
            <w:r w:rsidRPr="00775168">
              <w:t xml:space="preserve">1 (4.76%) </w:t>
            </w:r>
          </w:p>
        </w:tc>
        <w:tc>
          <w:tcPr>
            <w:tcW w:w="1273" w:type="dxa"/>
            <w:vAlign w:val="center"/>
          </w:tcPr>
          <w:p w:rsidR="00743320" w:rsidRPr="00775168" w:rsidRDefault="00DF7F26">
            <w:pPr>
              <w:pStyle w:val="P68B1DB1-a033"/>
              <w:spacing w:line="276" w:lineRule="auto"/>
              <w:jc w:val="center"/>
            </w:pPr>
            <w:r w:rsidRPr="00775168">
              <w:t xml:space="preserve">0 </w:t>
            </w:r>
          </w:p>
        </w:tc>
        <w:tc>
          <w:tcPr>
            <w:tcW w:w="1649" w:type="dxa"/>
          </w:tcPr>
          <w:p w:rsidR="00743320" w:rsidRPr="00775168" w:rsidRDefault="00DF7F26">
            <w:pPr>
              <w:pStyle w:val="P68B1DB1-a033"/>
              <w:jc w:val="center"/>
            </w:pPr>
            <w:r w:rsidRPr="00775168">
              <w:t xml:space="preserve">0 </w:t>
            </w:r>
          </w:p>
        </w:tc>
      </w:tr>
      <w:tr w:rsidR="00743320" w:rsidRPr="00775168">
        <w:trPr>
          <w:jc w:val="center"/>
        </w:trPr>
        <w:tc>
          <w:tcPr>
            <w:tcW w:w="2302" w:type="dxa"/>
            <w:tcBorders>
              <w:bottom w:val="single" w:sz="4" w:space="0" w:color="auto"/>
            </w:tcBorders>
            <w:vAlign w:val="center"/>
          </w:tcPr>
          <w:p w:rsidR="00743320" w:rsidRPr="00775168" w:rsidRDefault="00DF7F26">
            <w:pPr>
              <w:pStyle w:val="P68B1DB1-a09"/>
              <w:spacing w:line="276" w:lineRule="auto"/>
              <w:jc w:val="center"/>
              <w:rPr>
                <w:rFonts w:hint="default"/>
              </w:rPr>
            </w:pPr>
            <w:r w:rsidRPr="00775168">
              <w:t xml:space="preserve">Premature beat </w:t>
            </w:r>
          </w:p>
        </w:tc>
        <w:tc>
          <w:tcPr>
            <w:tcW w:w="1466" w:type="dxa"/>
            <w:tcBorders>
              <w:bottom w:val="single" w:sz="4" w:space="0" w:color="auto"/>
            </w:tcBorders>
            <w:vAlign w:val="center"/>
          </w:tcPr>
          <w:p w:rsidR="00743320" w:rsidRPr="00775168" w:rsidRDefault="00DF7F26">
            <w:pPr>
              <w:pStyle w:val="P68B1DB1-a033"/>
              <w:spacing w:line="276" w:lineRule="auto"/>
              <w:jc w:val="center"/>
            </w:pPr>
            <w:r w:rsidRPr="00775168">
              <w:t xml:space="preserve">0 </w:t>
            </w:r>
          </w:p>
        </w:tc>
        <w:tc>
          <w:tcPr>
            <w:tcW w:w="1713" w:type="dxa"/>
            <w:tcBorders>
              <w:bottom w:val="single" w:sz="4" w:space="0" w:color="auto"/>
            </w:tcBorders>
            <w:vAlign w:val="center"/>
          </w:tcPr>
          <w:p w:rsidR="00743320" w:rsidRPr="00775168" w:rsidRDefault="00DF7F26">
            <w:pPr>
              <w:pStyle w:val="P68B1DB1-a033"/>
              <w:spacing w:line="276" w:lineRule="auto"/>
              <w:jc w:val="center"/>
            </w:pPr>
            <w:r w:rsidRPr="00775168">
              <w:t xml:space="preserve">1 (4.76%) </w:t>
            </w:r>
          </w:p>
        </w:tc>
        <w:tc>
          <w:tcPr>
            <w:tcW w:w="1273" w:type="dxa"/>
            <w:tcBorders>
              <w:bottom w:val="single" w:sz="4" w:space="0" w:color="auto"/>
            </w:tcBorders>
            <w:vAlign w:val="center"/>
          </w:tcPr>
          <w:p w:rsidR="00743320" w:rsidRPr="00775168" w:rsidRDefault="00DF7F26">
            <w:pPr>
              <w:pStyle w:val="P68B1DB1-a033"/>
              <w:spacing w:line="276" w:lineRule="auto"/>
              <w:jc w:val="center"/>
            </w:pPr>
            <w:r w:rsidRPr="00775168">
              <w:t xml:space="preserve">0 </w:t>
            </w:r>
          </w:p>
        </w:tc>
        <w:tc>
          <w:tcPr>
            <w:tcW w:w="1649" w:type="dxa"/>
            <w:tcBorders>
              <w:bottom w:val="single" w:sz="4" w:space="0" w:color="auto"/>
            </w:tcBorders>
            <w:vAlign w:val="center"/>
          </w:tcPr>
          <w:p w:rsidR="00743320" w:rsidRPr="00775168" w:rsidRDefault="00DF7F26">
            <w:pPr>
              <w:pStyle w:val="P68B1DB1-a033"/>
              <w:spacing w:line="276" w:lineRule="auto"/>
              <w:jc w:val="center"/>
            </w:pPr>
            <w:r w:rsidRPr="00775168">
              <w:t xml:space="preserve">0 </w:t>
            </w:r>
          </w:p>
        </w:tc>
      </w:tr>
    </w:tbl>
    <w:p w:rsidR="00743320" w:rsidRPr="00775168" w:rsidRDefault="00743320">
      <w:pPr>
        <w:adjustRightInd w:val="0"/>
        <w:snapToGrid w:val="0"/>
        <w:spacing w:line="360" w:lineRule="auto"/>
        <w:ind w:firstLineChars="200" w:firstLine="480"/>
        <w:rPr>
          <w:kern w:val="0"/>
          <w:sz w:val="24"/>
        </w:rPr>
      </w:pPr>
    </w:p>
    <w:p w:rsidR="00743320" w:rsidRPr="00775168" w:rsidRDefault="00DF7F26">
      <w:pPr>
        <w:pStyle w:val="P68B1DB1-265"/>
        <w:rPr>
          <w:rFonts w:ascii="Times New Roman" w:eastAsia="宋体" w:hAnsi="Times New Roman" w:cs="Times New Roman"/>
        </w:rPr>
      </w:pPr>
      <w:bookmarkStart w:id="61" w:name="_Toc178589659"/>
      <w:bookmarkStart w:id="62" w:name="_Toc512940923"/>
      <w:bookmarkStart w:id="63" w:name="_Toc430282274"/>
      <w:bookmarkStart w:id="64" w:name="_Toc292713344"/>
      <w:bookmarkStart w:id="65" w:name="_Toc512941684"/>
      <w:r w:rsidRPr="00775168">
        <w:rPr>
          <w:rFonts w:ascii="Times New Roman" w:eastAsia="宋体" w:hAnsi="Times New Roman" w:cs="宋体"/>
        </w:rPr>
        <w:t>1.5 Phase II Clinical Study Results of Anlotinib in the Treatment of Advanced Cell Lung Cancer</w:t>
      </w:r>
      <w:bookmarkEnd w:id="61"/>
      <w:r w:rsidRPr="00775168">
        <w:rPr>
          <w:rFonts w:ascii="Times New Roman" w:eastAsia="宋体" w:hAnsi="Times New Roman" w:cs="宋体"/>
        </w:rPr>
        <w:t xml:space="preserve"> </w:t>
      </w:r>
      <w:bookmarkEnd w:id="62"/>
      <w:bookmarkEnd w:id="63"/>
      <w:bookmarkEnd w:id="64"/>
      <w:bookmarkEnd w:id="65"/>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Since August 2013, a multicenter, randomized, double-blind, placebo 1:1 controlled design was conducted in 13 study sites nationwide to observe 117 patients with pathologically confirmed advanced (stage IIIB/IV) non-small cell lung cancer who received treatment for third-line or above or could not tolerate treatment. The primary efficacy endpoint was progression-free survival. </w:t>
      </w:r>
    </w:p>
    <w:p w:rsidR="00743320" w:rsidRPr="00775168" w:rsidRDefault="00DF7F26">
      <w:pPr>
        <w:pStyle w:val="P68B1DB1-a073"/>
        <w:adjustRightInd w:val="0"/>
        <w:snapToGrid w:val="0"/>
        <w:spacing w:line="360" w:lineRule="auto"/>
        <w:ind w:firstLineChars="200" w:firstLine="480"/>
        <w:rPr>
          <w:rFonts w:hAnsi="Times New Roman"/>
        </w:rPr>
      </w:pPr>
      <w:r w:rsidRPr="00775168">
        <w:rPr>
          <w:rFonts w:hAnsi="Times New Roman"/>
          <w:noProof/>
        </w:rPr>
        <w:drawing>
          <wp:inline distT="0" distB="0" distL="0" distR="0" wp14:anchorId="75552B3D" wp14:editId="5F68C216">
            <wp:extent cx="4410075" cy="2905125"/>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410075" cy="2905125"/>
                    </a:xfrm>
                    <a:prstGeom prst="rect">
                      <a:avLst/>
                    </a:prstGeom>
                    <a:noFill/>
                    <a:ln>
                      <a:noFill/>
                    </a:ln>
                  </pic:spPr>
                </pic:pic>
              </a:graphicData>
            </a:graphic>
          </wp:inline>
        </w:drawing>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The figure above shows the progression-free survival (PFS) after treatment in the two groups. The PFS was 4.83 months (95% CI: 3.47-6.40) in the anlotinib group (n = 60) and 1.23 months (95% CI: 0.70-1.60) in the placebo group (n = 57), (HR = 0.320, 95% CI: 0.200-0.511, p &lt;. 0001). </w:t>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The objective response rate was 10.00% in the two groups, and 0% in the placebo group (p &lt;. 0001). </w:t>
      </w:r>
    </w:p>
    <w:p w:rsidR="00743320" w:rsidRPr="00775168" w:rsidRDefault="00DF7F26">
      <w:pPr>
        <w:pStyle w:val="P68B1DB1-a073"/>
        <w:adjustRightInd w:val="0"/>
        <w:snapToGrid w:val="0"/>
        <w:spacing w:line="360" w:lineRule="auto"/>
        <w:ind w:firstLineChars="195" w:firstLine="468"/>
        <w:rPr>
          <w:rFonts w:hAnsi="Times New Roman"/>
        </w:rPr>
      </w:pPr>
      <w:r w:rsidRPr="00775168">
        <w:rPr>
          <w:rFonts w:hAnsi="Times New Roman"/>
          <w:noProof/>
        </w:rPr>
        <w:lastRenderedPageBreak/>
        <w:drawing>
          <wp:inline distT="0" distB="0" distL="0" distR="0" wp14:anchorId="50EABACE" wp14:editId="580D517E">
            <wp:extent cx="4467225" cy="258127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467225" cy="2581275"/>
                    </a:xfrm>
                    <a:prstGeom prst="rect">
                      <a:avLst/>
                    </a:prstGeom>
                    <a:noFill/>
                    <a:ln>
                      <a:noFill/>
                    </a:ln>
                  </pic:spPr>
                </pic:pic>
              </a:graphicData>
            </a:graphic>
          </wp:inline>
        </w:drawing>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As of February 2, 2016, overall survival (OS, months) was 9.3 months (95% CI: 6.8-15.1) in the anlotinib group and 6.3 months (95% CI: 4.3-10.5) in the placebo group (HR = 0.78; 95% CI: 0.51-1.18 p = 0.2316). </w:t>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The incidence of adverse events was 91.67% in the anlotinib group and 70.18% in the placebo group (p = 0.004), and the adverse events with statistically significant differences compared with the placebo group were mainly elevated blood pressure, elevated TSH, hand-foot syndrome, rash, elevated TG, elevated TC, elevated LDL, oral mucositis, sore throat, hoarseness, diarrhea, cough, and hemoptysis. There was no difference in fatigue, proteinuria, and elevated transaminases compared with the placebo group. </w:t>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Grade 3/4 adverse reactions occurred during the study were hypertension, elevated triglycerides, hand-foot syndrome and fatigue. </w:t>
      </w:r>
    </w:p>
    <w:p w:rsidR="00743320" w:rsidRPr="00775168" w:rsidRDefault="00DF7F26">
      <w:pPr>
        <w:pStyle w:val="P68B1DB1-a074"/>
        <w:spacing w:line="360" w:lineRule="auto"/>
        <w:rPr>
          <w:rFonts w:ascii="Times New Roman" w:hAnsi="Times New Roman" w:hint="default"/>
        </w:rPr>
      </w:pPr>
      <w:r w:rsidRPr="00775168">
        <w:rPr>
          <w:rFonts w:ascii="Times New Roman" w:hAnsi="Times New Roman"/>
        </w:rPr>
        <w:t xml:space="preserve">1.6 Phase III Clinical Study Results of Anlotinib in the Treatment of Advanced Cell Lung Cancer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From April 2016, a multicenter, randomized, double-blind, placebo 1:1 controlled design was conducted in 31 study sites nationwide to observe 439 patients with pathologically confirmed advanced (stage IIIB/IV) non-small cell lung cancer who received treatment for third-line or above or could not tolerate treatment. The primary efficacy endpoint was overall survival. </w:t>
      </w:r>
    </w:p>
    <w:p w:rsidR="00743320" w:rsidRPr="00775168" w:rsidRDefault="00DF7F26">
      <w:pPr>
        <w:pStyle w:val="P68B1DB1-a073"/>
        <w:adjustRightInd w:val="0"/>
        <w:snapToGrid w:val="0"/>
        <w:spacing w:line="360" w:lineRule="auto"/>
        <w:rPr>
          <w:rFonts w:hAnsi="Times New Roman"/>
        </w:rPr>
      </w:pPr>
      <w:r w:rsidRPr="00775168">
        <w:rPr>
          <w:rFonts w:hAnsi="Times New Roman"/>
          <w:noProof/>
        </w:rPr>
        <w:lastRenderedPageBreak/>
        <w:drawing>
          <wp:inline distT="0" distB="0" distL="0" distR="0" wp14:anchorId="11FC34C1" wp14:editId="13808BC2">
            <wp:extent cx="5257800" cy="32385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57800" cy="3238500"/>
                    </a:xfrm>
                    <a:prstGeom prst="rect">
                      <a:avLst/>
                    </a:prstGeom>
                    <a:noFill/>
                    <a:ln>
                      <a:noFill/>
                    </a:ln>
                  </pic:spPr>
                </pic:pic>
              </a:graphicData>
            </a:graphic>
          </wp:inline>
        </w:drawing>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The figure above shows the overall survival (OS) after treatment in the two groups, 9.63 months (95% CI: 8.17-10.60) and 6.3 months (95% CI: 5.00-8.10) in the anlotinib group (294 cases) and the placebo group (143 cases), respectively (HR = 0.68 95% CI: 0.54-0.87, p = 0.0018). </w:t>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The objective response rate was 9.18% for anlotinib and 0.7% for placebo (p &lt;. 0001). </w:t>
      </w:r>
    </w:p>
    <w:p w:rsidR="00743320" w:rsidRPr="00775168" w:rsidRDefault="00DF7F26">
      <w:pPr>
        <w:pStyle w:val="P68B1DB1-a073"/>
        <w:adjustRightInd w:val="0"/>
        <w:snapToGrid w:val="0"/>
        <w:spacing w:line="360" w:lineRule="auto"/>
        <w:rPr>
          <w:rFonts w:hAnsi="Times New Roman"/>
        </w:rPr>
      </w:pPr>
      <w:r w:rsidRPr="00775168">
        <w:rPr>
          <w:rFonts w:hAnsi="Times New Roman"/>
          <w:noProof/>
        </w:rPr>
        <w:drawing>
          <wp:inline distT="0" distB="0" distL="0" distR="0" wp14:anchorId="457E5B6E" wp14:editId="1B866F84">
            <wp:extent cx="5219700" cy="292417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19700" cy="2924175"/>
                    </a:xfrm>
                    <a:prstGeom prst="rect">
                      <a:avLst/>
                    </a:prstGeom>
                    <a:noFill/>
                    <a:ln>
                      <a:noFill/>
                    </a:ln>
                  </pic:spPr>
                </pic:pic>
              </a:graphicData>
            </a:graphic>
          </wp:inline>
        </w:drawing>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The figure above shows the progression-free survival (PFS) after treatment in the two groups, 5.37 months (95% CI: 4.40-5.63) and 1.40 months (95% CI: 1.07-1.50) in the anlotinib and placebo groups, respectively (HR = 0.25 95% CI: 0.19-0.31 p &lt; 0.0001). </w:t>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The incidence of adverse events was 99.66% in the anlotinib group and 98.60% in the placebo group (p = 0.2506), and the adverse events with statistically significant differences compared with the placebo group were mainly elevated blood pressure, elevated TSH, hand-foot syndrome, rash, elevated TG, </w:t>
      </w:r>
      <w:r w:rsidRPr="00775168">
        <w:rPr>
          <w:rFonts w:hAnsi="Times New Roman"/>
        </w:rPr>
        <w:lastRenderedPageBreak/>
        <w:t xml:space="preserve">elevated TC, elevated LDL, oral mucositis, sore throat, hoarseness, diarrhea, cough, and hemoptysis. There was no difference in fatigue, proteinuria, and elevated transaminases compared with the placebo group. </w:t>
      </w:r>
    </w:p>
    <w:p w:rsidR="00743320" w:rsidRPr="00775168" w:rsidRDefault="00DF7F26">
      <w:pPr>
        <w:pStyle w:val="P68B1DB1-a023"/>
        <w:adjustRightInd w:val="0"/>
        <w:snapToGrid w:val="0"/>
        <w:spacing w:line="360" w:lineRule="auto"/>
        <w:ind w:firstLineChars="195" w:firstLine="468"/>
        <w:rPr>
          <w:rFonts w:hAnsi="Times New Roman" w:hint="default"/>
        </w:rPr>
      </w:pPr>
      <w:r w:rsidRPr="00775168">
        <w:rPr>
          <w:rFonts w:hAnsi="Times New Roman"/>
        </w:rPr>
        <w:t xml:space="preserve">Grade 3/4 adverse reactions occurred during the study were hypertension, elevated triglycerides, skin toxicity and fatigue. </w:t>
      </w: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DF7F26">
      <w:pPr>
        <w:pStyle w:val="P68B1DB1-a033"/>
      </w:pPr>
      <w:bookmarkStart w:id="66" w:name="_Toc512941685"/>
      <w:bookmarkStart w:id="67" w:name="_Toc512940924"/>
      <w:r w:rsidRPr="00775168">
        <w:br w:type="page"/>
      </w:r>
    </w:p>
    <w:p w:rsidR="00743320" w:rsidRPr="00775168" w:rsidRDefault="00DF7F26">
      <w:pPr>
        <w:pStyle w:val="P68B1DB1-116"/>
        <w:ind w:firstLine="0"/>
        <w:rPr>
          <w:rFonts w:ascii="Times New Roman" w:hAnsi="Times New Roman" w:cs="Times New Roman" w:hint="default"/>
        </w:rPr>
      </w:pPr>
      <w:bookmarkStart w:id="68" w:name="_Toc178589660"/>
      <w:r w:rsidRPr="00775168">
        <w:rPr>
          <w:rFonts w:ascii="Times New Roman" w:hAnsi="Times New Roman"/>
        </w:rPr>
        <w:lastRenderedPageBreak/>
        <w:t xml:space="preserve">2. </w:t>
      </w:r>
      <w:r w:rsidR="007A5033" w:rsidRPr="00775168">
        <w:rPr>
          <w:rFonts w:ascii="Times New Roman" w:hAnsi="Times New Roman" w:hint="default"/>
        </w:rPr>
        <w:t>S</w:t>
      </w:r>
      <w:r w:rsidRPr="00775168">
        <w:rPr>
          <w:rFonts w:ascii="Times New Roman" w:hAnsi="Times New Roman"/>
        </w:rPr>
        <w:t xml:space="preserve">tudy </w:t>
      </w:r>
      <w:r w:rsidR="007A5033" w:rsidRPr="00775168">
        <w:rPr>
          <w:rFonts w:ascii="Times New Roman" w:hAnsi="Times New Roman" w:hint="default"/>
        </w:rPr>
        <w:t>O</w:t>
      </w:r>
      <w:r w:rsidRPr="00775168">
        <w:rPr>
          <w:rFonts w:ascii="Times New Roman" w:hAnsi="Times New Roman"/>
        </w:rPr>
        <w:t>bjectives</w:t>
      </w:r>
      <w:bookmarkEnd w:id="68"/>
      <w:r w:rsidRPr="00775168">
        <w:rPr>
          <w:rFonts w:ascii="Times New Roman" w:hAnsi="Times New Roman"/>
        </w:rPr>
        <w:t xml:space="preserve"> </w:t>
      </w:r>
      <w:bookmarkEnd w:id="57"/>
      <w:bookmarkEnd w:id="58"/>
      <w:bookmarkEnd w:id="59"/>
      <w:bookmarkEnd w:id="66"/>
      <w:bookmarkEnd w:id="67"/>
    </w:p>
    <w:p w:rsidR="00743320" w:rsidRPr="00775168" w:rsidRDefault="00DF7F26">
      <w:pPr>
        <w:pStyle w:val="P68B1DB1-a023"/>
        <w:spacing w:line="360" w:lineRule="auto"/>
        <w:ind w:firstLineChars="200" w:firstLine="480"/>
        <w:rPr>
          <w:rFonts w:hAnsi="Times New Roman" w:hint="default"/>
          <w:b/>
        </w:rPr>
      </w:pPr>
      <w:r w:rsidRPr="00775168">
        <w:rPr>
          <w:rFonts w:hAnsi="Times New Roman"/>
        </w:rPr>
        <w:t xml:space="preserve">To evaluate the efficacy and safety of Anlotinib combined with EGFR-TKIs in the treatment of acquired resistance to EGFR-TKIs in patients with advanced or locally advanced lung cancer. </w:t>
      </w:r>
    </w:p>
    <w:p w:rsidR="00743320" w:rsidRPr="00775168" w:rsidRDefault="00DF7F26" w:rsidP="005524E2">
      <w:pPr>
        <w:pStyle w:val="P68B1DB1-a074"/>
        <w:tabs>
          <w:tab w:val="left" w:pos="720"/>
        </w:tabs>
        <w:adjustRightInd w:val="0"/>
        <w:snapToGrid w:val="0"/>
        <w:spacing w:beforeLines="100" w:before="240" w:line="360" w:lineRule="auto"/>
        <w:outlineLvl w:val="1"/>
        <w:rPr>
          <w:rFonts w:ascii="Times New Roman" w:hAnsi="Times New Roman" w:hint="default"/>
        </w:rPr>
      </w:pPr>
      <w:bookmarkStart w:id="69" w:name="_Toc178589661"/>
      <w:bookmarkStart w:id="70" w:name="_Toc430282276"/>
      <w:bookmarkStart w:id="71" w:name="_Toc512941686"/>
      <w:bookmarkStart w:id="72" w:name="_Toc292713346"/>
      <w:bookmarkStart w:id="73" w:name="_Toc512940925"/>
      <w:r w:rsidRPr="00775168">
        <w:rPr>
          <w:rFonts w:ascii="Times New Roman" w:hAnsi="Times New Roman"/>
        </w:rPr>
        <w:t>2.1 Primary Objectives</w:t>
      </w:r>
      <w:bookmarkEnd w:id="69"/>
      <w:r w:rsidRPr="00775168">
        <w:rPr>
          <w:rFonts w:ascii="Times New Roman" w:hAnsi="Times New Roman"/>
        </w:rPr>
        <w:t xml:space="preserve"> </w:t>
      </w:r>
      <w:bookmarkEnd w:id="60"/>
      <w:bookmarkEnd w:id="70"/>
      <w:bookmarkEnd w:id="71"/>
      <w:bookmarkEnd w:id="72"/>
      <w:bookmarkEnd w:id="73"/>
    </w:p>
    <w:p w:rsidR="00743320" w:rsidRPr="00775168" w:rsidRDefault="00DF7F26" w:rsidP="005524E2">
      <w:pPr>
        <w:pStyle w:val="P68B1DB1-a024"/>
        <w:numPr>
          <w:ilvl w:val="0"/>
          <w:numId w:val="2"/>
        </w:numPr>
        <w:topLinePunct/>
        <w:adjustRightInd w:val="0"/>
        <w:snapToGrid w:val="0"/>
        <w:spacing w:line="360" w:lineRule="auto"/>
        <w:rPr>
          <w:rFonts w:hint="default"/>
        </w:rPr>
      </w:pPr>
      <w:r w:rsidRPr="00775168">
        <w:t xml:space="preserve">To evaluate the progression-free survival (PFS) of </w:t>
      </w:r>
      <w:r w:rsidR="005524E2" w:rsidRPr="00775168">
        <w:rPr>
          <w:rFonts w:hint="default"/>
        </w:rPr>
        <w:t>a</w:t>
      </w:r>
      <w:r w:rsidRPr="00775168">
        <w:t xml:space="preserve">nlotinib combined with EGFR-TKIs in the treatment of advanced or locally advanced NSCLC with acquired resistance to EGFR-TKIs. </w:t>
      </w:r>
    </w:p>
    <w:p w:rsidR="00743320" w:rsidRPr="00775168" w:rsidRDefault="00DF7F26">
      <w:pPr>
        <w:pStyle w:val="P68B1DB1-a074"/>
        <w:tabs>
          <w:tab w:val="left" w:pos="720"/>
        </w:tabs>
        <w:adjustRightInd w:val="0"/>
        <w:snapToGrid w:val="0"/>
        <w:spacing w:beforeLines="100" w:before="240" w:line="360" w:lineRule="auto"/>
        <w:outlineLvl w:val="1"/>
        <w:rPr>
          <w:rFonts w:ascii="Times New Roman" w:hAnsi="Times New Roman" w:hint="default"/>
        </w:rPr>
      </w:pPr>
      <w:bookmarkStart w:id="74" w:name="_Toc178589662"/>
      <w:bookmarkStart w:id="75" w:name="_Toc292713347"/>
      <w:bookmarkStart w:id="76" w:name="_Toc190163351"/>
      <w:bookmarkStart w:id="77" w:name="_Toc430282277"/>
      <w:bookmarkStart w:id="78" w:name="_Toc512941687"/>
      <w:bookmarkStart w:id="79" w:name="_Toc512940926"/>
      <w:r w:rsidRPr="00775168">
        <w:rPr>
          <w:rFonts w:ascii="Times New Roman" w:hAnsi="Times New Roman"/>
        </w:rPr>
        <w:t>2.2 Secondary Objectives</w:t>
      </w:r>
      <w:bookmarkEnd w:id="74"/>
      <w:r w:rsidRPr="00775168">
        <w:rPr>
          <w:rFonts w:ascii="Times New Roman" w:hAnsi="Times New Roman"/>
        </w:rPr>
        <w:t xml:space="preserve"> </w:t>
      </w:r>
      <w:bookmarkEnd w:id="75"/>
      <w:bookmarkEnd w:id="76"/>
      <w:bookmarkEnd w:id="77"/>
      <w:bookmarkEnd w:id="78"/>
      <w:bookmarkEnd w:id="79"/>
    </w:p>
    <w:p w:rsidR="00743320" w:rsidRPr="00775168" w:rsidRDefault="00DF7F26">
      <w:pPr>
        <w:pStyle w:val="P68B1DB1-a024"/>
        <w:numPr>
          <w:ilvl w:val="0"/>
          <w:numId w:val="2"/>
        </w:numPr>
        <w:topLinePunct/>
        <w:adjustRightInd w:val="0"/>
        <w:snapToGrid w:val="0"/>
        <w:spacing w:line="360" w:lineRule="auto"/>
        <w:rPr>
          <w:rFonts w:hint="default"/>
          <w:b/>
        </w:rPr>
      </w:pPr>
      <w:r w:rsidRPr="00775168">
        <w:t xml:space="preserve">To observe and evaluate 6-month PFS rate, 12-month PFS rate, objective response rate (ORR), disease control rate (DCR) and overall survival (OS) of patients with advanced or locally advanced NSCLC treated with anlotinib combined with EGFR-TKIs; </w:t>
      </w:r>
    </w:p>
    <w:p w:rsidR="00743320" w:rsidRPr="00223BDB" w:rsidRDefault="00DF7F26" w:rsidP="007A5033">
      <w:pPr>
        <w:pStyle w:val="P68B1DB1-a024"/>
        <w:numPr>
          <w:ilvl w:val="0"/>
          <w:numId w:val="2"/>
        </w:numPr>
        <w:topLinePunct/>
        <w:adjustRightInd w:val="0"/>
        <w:snapToGrid w:val="0"/>
        <w:spacing w:line="360" w:lineRule="auto"/>
        <w:rPr>
          <w:rFonts w:hint="default"/>
          <w:b/>
        </w:rPr>
      </w:pPr>
      <w:r w:rsidRPr="00775168">
        <w:t>To evaluate the safety of a</w:t>
      </w:r>
      <w:r w:rsidR="007A5033" w:rsidRPr="00775168">
        <w:rPr>
          <w:rFonts w:hint="default"/>
        </w:rPr>
        <w:t>nlo</w:t>
      </w:r>
      <w:r w:rsidRPr="00775168">
        <w:t xml:space="preserve">tinib combined with EGFR-TKIs in the treatment of patients with advanced or locally advanced NSCLC; </w:t>
      </w:r>
      <w:bookmarkStart w:id="80" w:name="_Toc430282278"/>
      <w:bookmarkStart w:id="81" w:name="_Toc292713348"/>
    </w:p>
    <w:p w:rsidR="00223BDB" w:rsidRPr="00775168" w:rsidRDefault="00223BDB" w:rsidP="00223BDB">
      <w:pPr>
        <w:pStyle w:val="P68B1DB1-a074"/>
        <w:tabs>
          <w:tab w:val="left" w:pos="720"/>
        </w:tabs>
        <w:adjustRightInd w:val="0"/>
        <w:snapToGrid w:val="0"/>
        <w:spacing w:beforeLines="100" w:before="240" w:line="360" w:lineRule="auto"/>
        <w:outlineLvl w:val="1"/>
        <w:rPr>
          <w:rFonts w:ascii="Times New Roman" w:hAnsi="Times New Roman" w:hint="default"/>
        </w:rPr>
      </w:pPr>
      <w:bookmarkStart w:id="82" w:name="_Toc178589663"/>
      <w:r w:rsidRPr="00775168">
        <w:rPr>
          <w:rFonts w:ascii="Times New Roman" w:hAnsi="Times New Roman"/>
        </w:rPr>
        <w:t>2.</w:t>
      </w:r>
      <w:r>
        <w:rPr>
          <w:rFonts w:ascii="Times New Roman" w:hAnsi="Times New Roman" w:hint="default"/>
        </w:rPr>
        <w:t>3</w:t>
      </w:r>
      <w:r w:rsidRPr="00775168">
        <w:rPr>
          <w:rFonts w:ascii="Times New Roman" w:hAnsi="Times New Roman"/>
        </w:rPr>
        <w:t xml:space="preserve"> </w:t>
      </w:r>
      <w:r>
        <w:rPr>
          <w:rFonts w:ascii="Times New Roman" w:hAnsi="Times New Roman" w:cs="Times New Roman" w:hint="default"/>
          <w:color w:val="000000" w:themeColor="text1"/>
          <w:szCs w:val="24"/>
        </w:rPr>
        <w:t>E</w:t>
      </w:r>
      <w:r w:rsidRPr="00080732">
        <w:rPr>
          <w:rFonts w:ascii="Times New Roman" w:hAnsi="Times New Roman" w:cs="Times New Roman"/>
          <w:color w:val="000000" w:themeColor="text1"/>
          <w:szCs w:val="24"/>
        </w:rPr>
        <w:t>xploratory</w:t>
      </w:r>
      <w:r w:rsidRPr="00775168">
        <w:rPr>
          <w:rFonts w:ascii="Times New Roman" w:hAnsi="Times New Roman"/>
        </w:rPr>
        <w:t xml:space="preserve"> Objectives</w:t>
      </w:r>
      <w:bookmarkEnd w:id="82"/>
      <w:r w:rsidRPr="00775168">
        <w:rPr>
          <w:rFonts w:ascii="Times New Roman" w:hAnsi="Times New Roman"/>
        </w:rPr>
        <w:t xml:space="preserve"> </w:t>
      </w:r>
    </w:p>
    <w:p w:rsidR="00223BDB" w:rsidRPr="00223BDB" w:rsidRDefault="00223BDB" w:rsidP="00223BDB">
      <w:pPr>
        <w:pStyle w:val="P68B1DB1-a024"/>
        <w:numPr>
          <w:ilvl w:val="0"/>
          <w:numId w:val="2"/>
        </w:numPr>
        <w:topLinePunct/>
        <w:adjustRightInd w:val="0"/>
        <w:snapToGrid w:val="0"/>
        <w:spacing w:line="360" w:lineRule="auto"/>
        <w:rPr>
          <w:rFonts w:hint="default"/>
        </w:rPr>
      </w:pPr>
      <w:r w:rsidRPr="00223BDB">
        <w:t>To identify gene mutations at gradual, oligo, or potential progression and after the combination of anlotinib;</w:t>
      </w:r>
    </w:p>
    <w:p w:rsidR="00223BDB" w:rsidRPr="00223BDB" w:rsidRDefault="00223BDB" w:rsidP="00223BDB">
      <w:pPr>
        <w:pStyle w:val="P68B1DB1-a024"/>
        <w:topLinePunct/>
        <w:adjustRightInd w:val="0"/>
        <w:snapToGrid w:val="0"/>
        <w:spacing w:line="360" w:lineRule="auto"/>
        <w:rPr>
          <w:rFonts w:hint="default"/>
          <w:b/>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43320" w:rsidRPr="00775168" w:rsidRDefault="00743320">
      <w:pPr>
        <w:topLinePunct/>
        <w:adjustRightInd w:val="0"/>
        <w:snapToGrid w:val="0"/>
        <w:spacing w:line="360" w:lineRule="auto"/>
        <w:jc w:val="center"/>
        <w:rPr>
          <w:b/>
          <w:sz w:val="24"/>
        </w:rPr>
      </w:pPr>
    </w:p>
    <w:p w:rsidR="007A5033" w:rsidRPr="00775168" w:rsidRDefault="007A5033">
      <w:pPr>
        <w:widowControl/>
        <w:jc w:val="left"/>
        <w:rPr>
          <w:b/>
          <w:sz w:val="24"/>
        </w:rPr>
      </w:pPr>
      <w:r w:rsidRPr="00775168">
        <w:rPr>
          <w:b/>
          <w:sz w:val="24"/>
        </w:rPr>
        <w:br w:type="page"/>
      </w:r>
    </w:p>
    <w:p w:rsidR="00743320" w:rsidRPr="00775168" w:rsidRDefault="00DF7F26" w:rsidP="007A5033">
      <w:pPr>
        <w:pStyle w:val="P68B1DB1-116"/>
        <w:ind w:firstLine="0"/>
        <w:rPr>
          <w:rFonts w:ascii="Times New Roman" w:hAnsi="Times New Roman" w:hint="default"/>
        </w:rPr>
      </w:pPr>
      <w:bookmarkStart w:id="83" w:name="_Toc178589664"/>
      <w:bookmarkStart w:id="84" w:name="_Toc512941688"/>
      <w:bookmarkStart w:id="85" w:name="_Toc512940927"/>
      <w:r w:rsidRPr="00775168">
        <w:rPr>
          <w:rFonts w:ascii="Times New Roman" w:hAnsi="Times New Roman"/>
        </w:rPr>
        <w:lastRenderedPageBreak/>
        <w:t xml:space="preserve">3. </w:t>
      </w:r>
      <w:r w:rsidR="007A5033" w:rsidRPr="00775168">
        <w:rPr>
          <w:rFonts w:ascii="Times New Roman" w:hAnsi="Times New Roman" w:hint="default"/>
        </w:rPr>
        <w:t>T</w:t>
      </w:r>
      <w:r w:rsidRPr="00775168">
        <w:rPr>
          <w:rFonts w:ascii="Times New Roman" w:hAnsi="Times New Roman"/>
        </w:rPr>
        <w:t xml:space="preserve">rial </w:t>
      </w:r>
      <w:r w:rsidR="007A5033" w:rsidRPr="00775168">
        <w:rPr>
          <w:rFonts w:ascii="Times New Roman" w:hAnsi="Times New Roman" w:hint="default"/>
        </w:rPr>
        <w:t>D</w:t>
      </w:r>
      <w:r w:rsidRPr="00775168">
        <w:rPr>
          <w:rFonts w:ascii="Times New Roman" w:hAnsi="Times New Roman"/>
        </w:rPr>
        <w:t>esign</w:t>
      </w:r>
      <w:bookmarkEnd w:id="83"/>
      <w:r w:rsidRPr="00775168">
        <w:rPr>
          <w:rFonts w:ascii="Times New Roman" w:hAnsi="Times New Roman"/>
        </w:rPr>
        <w:t xml:space="preserve"> </w:t>
      </w:r>
      <w:bookmarkEnd w:id="80"/>
      <w:bookmarkEnd w:id="81"/>
      <w:bookmarkEnd w:id="84"/>
      <w:bookmarkEnd w:id="85"/>
    </w:p>
    <w:p w:rsidR="00743320" w:rsidRPr="00775168" w:rsidRDefault="00DF7F26">
      <w:pPr>
        <w:pStyle w:val="P68B1DB1-265"/>
        <w:rPr>
          <w:rFonts w:ascii="Times New Roman" w:eastAsia="宋体" w:hAnsi="Times New Roman" w:cs="Times New Roman"/>
        </w:rPr>
      </w:pPr>
      <w:bookmarkStart w:id="86" w:name="_Toc178589665"/>
      <w:bookmarkStart w:id="87" w:name="_Toc430282279"/>
      <w:bookmarkStart w:id="88" w:name="_Toc512941689"/>
      <w:bookmarkStart w:id="89" w:name="_Toc292713349"/>
      <w:bookmarkStart w:id="90" w:name="_Toc512940928"/>
      <w:r w:rsidRPr="00775168">
        <w:rPr>
          <w:rFonts w:ascii="Times New Roman" w:eastAsia="宋体" w:hAnsi="Times New Roman" w:cs="宋体"/>
        </w:rPr>
        <w:t>3.1 Overall Design</w:t>
      </w:r>
      <w:bookmarkEnd w:id="86"/>
      <w:r w:rsidRPr="00775168">
        <w:rPr>
          <w:rFonts w:ascii="Times New Roman" w:eastAsia="宋体" w:hAnsi="Times New Roman" w:cs="宋体"/>
        </w:rPr>
        <w:t xml:space="preserve"> </w:t>
      </w:r>
      <w:bookmarkEnd w:id="87"/>
      <w:bookmarkEnd w:id="88"/>
      <w:bookmarkEnd w:id="89"/>
      <w:bookmarkEnd w:id="90"/>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It is a multi-center exploratory clinical trial designed as a single-arm trial to investigate the combination of </w:t>
      </w:r>
      <w:r w:rsidR="007A5033" w:rsidRPr="00775168">
        <w:rPr>
          <w:rFonts w:hAnsi="Times New Roman" w:hint="default"/>
        </w:rPr>
        <w:t>a</w:t>
      </w:r>
      <w:r w:rsidRPr="00775168">
        <w:rPr>
          <w:rFonts w:hAnsi="Times New Roman"/>
        </w:rPr>
        <w:t>nlotinib and EGFR-TKIs in the treatment of advanced or locally advanced non-small cell lung cancer (NSCLC</w:t>
      </w:r>
      <w:r w:rsidR="007A5033" w:rsidRPr="00775168">
        <w:rPr>
          <w:rFonts w:hAnsi="Times New Roman"/>
        </w:rPr>
        <w:t>) after acquired resistance to</w:t>
      </w:r>
      <w:r w:rsidRPr="00775168">
        <w:rPr>
          <w:rFonts w:hAnsi="Times New Roman"/>
        </w:rPr>
        <w:t xml:space="preserve"> EGFR-TKIs.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This study is planned to be conducted at multiple centers nationwide. It is preliminarily expected to include 120 cases. This study will be initiated in June 2018, with enrollment closed by approximately June 2019, and the end of the trial is expected to be June 2020.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The expected duration of study treatment for each subject will continue until tumor progression confirmed by imaging examination, provided that the following conditions do not occur, such as withdrawal of informed consent by the subject, intolerable toxic and side effects of the drug or unsuitability for further study by the investigator. </w:t>
      </w:r>
    </w:p>
    <w:p w:rsidR="00743320" w:rsidRPr="00775168" w:rsidRDefault="00743320">
      <w:pPr>
        <w:spacing w:line="360" w:lineRule="auto"/>
        <w:ind w:firstLineChars="200" w:firstLine="480"/>
        <w:rPr>
          <w:sz w:val="24"/>
        </w:rPr>
      </w:pPr>
    </w:p>
    <w:p w:rsidR="00743320" w:rsidRPr="00775168" w:rsidRDefault="00DF7F26">
      <w:pPr>
        <w:pStyle w:val="P68B1DB1-265"/>
        <w:rPr>
          <w:rFonts w:ascii="Times New Roman" w:eastAsia="宋体" w:hAnsi="Times New Roman" w:cs="Times New Roman"/>
        </w:rPr>
      </w:pPr>
      <w:bookmarkStart w:id="91" w:name="_Toc178589666"/>
      <w:bookmarkStart w:id="92" w:name="_Toc280101084"/>
      <w:bookmarkStart w:id="93" w:name="_Toc430282280"/>
      <w:bookmarkStart w:id="94" w:name="_Toc512940929"/>
      <w:bookmarkStart w:id="95" w:name="_Toc292713350"/>
      <w:bookmarkStart w:id="96" w:name="_Toc512941690"/>
      <w:r w:rsidRPr="00775168">
        <w:rPr>
          <w:rFonts w:ascii="Times New Roman" w:eastAsia="宋体" w:hAnsi="Times New Roman" w:cs="宋体"/>
        </w:rPr>
        <w:t xml:space="preserve">3.2 Type of </w:t>
      </w:r>
      <w:r w:rsidR="007A5033" w:rsidRPr="00775168">
        <w:rPr>
          <w:rFonts w:ascii="Times New Roman" w:eastAsia="宋体" w:hAnsi="Times New Roman" w:cs="宋体"/>
        </w:rPr>
        <w:t>C</w:t>
      </w:r>
      <w:r w:rsidRPr="00775168">
        <w:rPr>
          <w:rFonts w:ascii="Times New Roman" w:eastAsia="宋体" w:hAnsi="Times New Roman" w:cs="宋体"/>
        </w:rPr>
        <w:t>omparison</w:t>
      </w:r>
      <w:bookmarkEnd w:id="91"/>
      <w:r w:rsidRPr="00775168">
        <w:rPr>
          <w:rFonts w:ascii="Times New Roman" w:eastAsia="宋体" w:hAnsi="Times New Roman" w:cs="宋体"/>
        </w:rPr>
        <w:t xml:space="preserve"> </w:t>
      </w:r>
      <w:bookmarkEnd w:id="92"/>
      <w:bookmarkEnd w:id="93"/>
      <w:bookmarkEnd w:id="94"/>
      <w:bookmarkEnd w:id="95"/>
      <w:bookmarkEnd w:id="96"/>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This study was a single-arm study and historical data were used for comparison. </w:t>
      </w:r>
    </w:p>
    <w:p w:rsidR="00743320" w:rsidRPr="00775168" w:rsidRDefault="00DF7F26">
      <w:pPr>
        <w:pStyle w:val="P68B1DB1-265"/>
        <w:rPr>
          <w:rFonts w:ascii="Times New Roman" w:eastAsia="宋体" w:hAnsi="Times New Roman" w:cs="Times New Roman"/>
        </w:rPr>
      </w:pPr>
      <w:bookmarkStart w:id="97" w:name="_Toc292713351"/>
      <w:bookmarkStart w:id="98" w:name="_Toc178589667"/>
      <w:bookmarkStart w:id="99" w:name="_Toc512941691"/>
      <w:bookmarkStart w:id="100" w:name="_Toc512940930"/>
      <w:bookmarkStart w:id="101" w:name="_Toc430282281"/>
      <w:r w:rsidRPr="00775168">
        <w:rPr>
          <w:rFonts w:ascii="Times New Roman" w:eastAsia="宋体" w:hAnsi="Times New Roman" w:cs="宋体"/>
        </w:rPr>
        <w:t xml:space="preserve">3.3 </w:t>
      </w:r>
      <w:r w:rsidRPr="00775168">
        <w:rPr>
          <w:rFonts w:ascii="Times New Roman" w:eastAsia="宋体" w:hAnsi="Times New Roman" w:cs="宋体" w:hint="eastAsia"/>
        </w:rPr>
        <w:t xml:space="preserve">Sample Size </w:t>
      </w:r>
      <w:bookmarkEnd w:id="97"/>
      <w:r w:rsidR="009D35CC" w:rsidRPr="00775168">
        <w:rPr>
          <w:rFonts w:ascii="Times New Roman" w:eastAsia="宋体" w:hAnsi="Times New Roman" w:cs="宋体"/>
        </w:rPr>
        <w:t>Calculation</w:t>
      </w:r>
      <w:bookmarkEnd w:id="98"/>
      <w:r w:rsidRPr="00775168">
        <w:rPr>
          <w:rFonts w:ascii="Times New Roman" w:eastAsia="宋体" w:hAnsi="Times New Roman" w:cs="宋体" w:hint="eastAsia"/>
        </w:rPr>
        <w:t xml:space="preserve"> </w:t>
      </w:r>
      <w:bookmarkEnd w:id="99"/>
      <w:bookmarkEnd w:id="100"/>
      <w:bookmarkEnd w:id="101"/>
    </w:p>
    <w:p w:rsidR="00743320" w:rsidRPr="00775168" w:rsidRDefault="00DF7F26">
      <w:pPr>
        <w:pStyle w:val="31"/>
      </w:pPr>
      <w:r w:rsidRPr="00775168">
        <w:rPr>
          <w:rFonts w:hint="eastAsia"/>
        </w:rPr>
        <w:t xml:space="preserve">The </w:t>
      </w:r>
      <w:r w:rsidR="007A5033" w:rsidRPr="00775168">
        <w:t>primary</w:t>
      </w:r>
      <w:r w:rsidRPr="00775168">
        <w:rPr>
          <w:rFonts w:hint="eastAsia"/>
        </w:rPr>
        <w:t xml:space="preserve"> endpoint is progression-free survival (PFS) of </w:t>
      </w:r>
      <w:r w:rsidR="007A5033" w:rsidRPr="00775168">
        <w:t>a</w:t>
      </w:r>
      <w:r w:rsidRPr="00775168">
        <w:rPr>
          <w:rFonts w:hint="eastAsia"/>
        </w:rPr>
        <w:t xml:space="preserve">nlotinib combined with EGFR-TKIs after </w:t>
      </w:r>
      <w:r w:rsidR="007A5033" w:rsidRPr="00775168">
        <w:t>EGFR-TKIs</w:t>
      </w:r>
      <w:r w:rsidRPr="00775168">
        <w:rPr>
          <w:rFonts w:hint="eastAsia"/>
        </w:rPr>
        <w:t xml:space="preserve"> progression. </w:t>
      </w:r>
      <w:r w:rsidR="007A5033" w:rsidRPr="00775168">
        <w:t>Referring to the mPFS of continuing erlotinib after first-line erlotinib progression is 3.1 months, combining with ALTER0303 study, ALTER0303 study and the requirements of the current clinical practice, it is assumed that the mPFS of anlotinib combined with EGFR-TKIs after previous EGFR-TKIs treatment is 6 months, and that the mPFS of the historical control is 4 months, and the one-sided α= 0.025, β=0.2, enrollment time of 12 months, follow-up time of 12 months, and assuming that the survival curve obeys an exponential distribution, the sample size was calculated to be 107 cases, and taking into account a 15% dropout rate, 126 subjects were proposed to be enrolled in this study</w:t>
      </w:r>
      <w:r w:rsidRPr="00775168">
        <w:rPr>
          <w:rFonts w:hint="eastAsia"/>
        </w:rPr>
        <w:t xml:space="preserve">. </w:t>
      </w:r>
    </w:p>
    <w:p w:rsidR="00743320" w:rsidRPr="00775168" w:rsidRDefault="00DF7F26">
      <w:pPr>
        <w:pStyle w:val="P68B1DB1-265"/>
        <w:rPr>
          <w:rFonts w:ascii="Times New Roman" w:eastAsia="宋体" w:hAnsi="Times New Roman" w:cs="Times New Roman"/>
        </w:rPr>
      </w:pPr>
      <w:bookmarkStart w:id="102" w:name="_Toc178589668"/>
      <w:bookmarkStart w:id="103" w:name="_Toc512941692"/>
      <w:bookmarkStart w:id="104" w:name="_Toc430282283"/>
      <w:bookmarkStart w:id="105" w:name="_Toc292713353"/>
      <w:bookmarkStart w:id="106" w:name="_Toc512940931"/>
      <w:r w:rsidRPr="00775168">
        <w:rPr>
          <w:rFonts w:ascii="Times New Roman" w:eastAsia="宋体" w:hAnsi="Times New Roman" w:cs="宋体"/>
        </w:rPr>
        <w:t>3.4 Dosing Regimen</w:t>
      </w:r>
      <w:bookmarkEnd w:id="102"/>
      <w:r w:rsidRPr="00775168">
        <w:rPr>
          <w:rFonts w:ascii="Times New Roman" w:eastAsia="宋体" w:hAnsi="Times New Roman" w:cs="宋体"/>
        </w:rPr>
        <w:t xml:space="preserve"> </w:t>
      </w:r>
      <w:bookmarkEnd w:id="103"/>
      <w:bookmarkEnd w:id="104"/>
      <w:bookmarkEnd w:id="105"/>
      <w:bookmarkEnd w:id="106"/>
    </w:p>
    <w:p w:rsidR="00743320" w:rsidRPr="00775168" w:rsidRDefault="00DF7F26">
      <w:pPr>
        <w:pStyle w:val="af7"/>
        <w:ind w:firstLine="480"/>
        <w:rPr>
          <w:rFonts w:ascii="Times New Roman" w:hAnsi="Times New Roman" w:cs="Times New Roman"/>
        </w:rPr>
      </w:pPr>
      <w:bookmarkStart w:id="107" w:name="_Toc512940932"/>
      <w:r w:rsidRPr="00775168">
        <w:rPr>
          <w:rFonts w:ascii="Times New Roman" w:hAnsi="Times New Roman" w:hint="eastAsia"/>
        </w:rPr>
        <w:t xml:space="preserve">Anlotinib, 12 mg, po, qd; continuous administration for 2 weeks, followed by 1-week break, in a 3-week cycle; if there is missed dose during treatment, the dose should not be taken 12 hours after the next dose. Refer to the package insert for specific medication.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Anlotinib before meals (every day at the same time every day if possible). Patients who experienced </w:t>
      </w:r>
      <w:r w:rsidRPr="00775168">
        <w:rPr>
          <w:rFonts w:ascii="Times New Roman" w:hAnsi="Times New Roman"/>
        </w:rPr>
        <w:lastRenderedPageBreak/>
        <w:t xml:space="preserve">complete response (CR), partial response (PR), and stable disease (SD) continued dosing until disease progression, intolerable toxicity, or patient request discontinuation. Dosing was discontinued in patients with progressive disease (PD). </w:t>
      </w:r>
    </w:p>
    <w:p w:rsidR="00743320" w:rsidRPr="00775168" w:rsidRDefault="00DF7F26">
      <w:pPr>
        <w:pStyle w:val="af7"/>
        <w:ind w:firstLine="480"/>
        <w:rPr>
          <w:rFonts w:ascii="Times New Roman" w:hAnsi="Times New Roman" w:cs="Times New Roman"/>
        </w:rPr>
      </w:pPr>
      <w:r w:rsidRPr="00775168">
        <w:rPr>
          <w:rFonts w:ascii="Times New Roman" w:hAnsi="Times New Roman" w:hint="eastAsia"/>
        </w:rPr>
        <w:t xml:space="preserve">EGFR-TKIs (approved by the </w:t>
      </w:r>
      <w:r w:rsidR="009D35CC" w:rsidRPr="00775168">
        <w:rPr>
          <w:rFonts w:ascii="Times New Roman" w:hAnsi="Times New Roman"/>
        </w:rPr>
        <w:t>NMPA</w:t>
      </w:r>
      <w:r w:rsidRPr="00775168">
        <w:rPr>
          <w:rFonts w:ascii="Times New Roman" w:hAnsi="Times New Roman" w:hint="eastAsia"/>
        </w:rPr>
        <w:t xml:space="preserve"> for first-line treatment </w:t>
      </w:r>
      <w:r w:rsidRPr="00775168">
        <w:rPr>
          <w:rFonts w:ascii="Times New Roman" w:hAnsi="Times New Roman" w:cs="宋体" w:hint="eastAsia"/>
        </w:rPr>
        <w:t xml:space="preserve">EGFR-TKIs, select one and maintain the dose before enrollment), </w:t>
      </w:r>
      <w:bookmarkEnd w:id="107"/>
      <w:r w:rsidRPr="00775168">
        <w:rPr>
          <w:rFonts w:ascii="Times New Roman" w:hAnsi="Times New Roman" w:cs="宋体" w:hint="eastAsia"/>
        </w:rPr>
        <w:t xml:space="preserve">The dose, dosing regimen and dose adjustment of the drug are based on the package insert of EGFT-TKI used specifically. </w:t>
      </w:r>
    </w:p>
    <w:p w:rsidR="00743320" w:rsidRPr="00775168" w:rsidRDefault="00DF7F26">
      <w:pPr>
        <w:pStyle w:val="P68B1DB1-265"/>
        <w:rPr>
          <w:rFonts w:ascii="Times New Roman" w:eastAsia="宋体" w:hAnsi="Times New Roman" w:cs="Times New Roman"/>
        </w:rPr>
      </w:pPr>
      <w:bookmarkStart w:id="108" w:name="_Toc178589669"/>
      <w:bookmarkStart w:id="109" w:name="_Toc430282285"/>
      <w:bookmarkStart w:id="110" w:name="_Toc292713355"/>
      <w:bookmarkStart w:id="111" w:name="_Toc190163357"/>
      <w:bookmarkStart w:id="112" w:name="_Toc512940937"/>
      <w:bookmarkStart w:id="113" w:name="_Toc512941694"/>
      <w:r w:rsidRPr="00775168">
        <w:rPr>
          <w:rFonts w:ascii="Times New Roman" w:eastAsia="宋体" w:hAnsi="Times New Roman" w:cs="宋体"/>
        </w:rPr>
        <w:t>3.5 Efficacy Evaluation and Analysis</w:t>
      </w:r>
      <w:bookmarkEnd w:id="108"/>
      <w:r w:rsidRPr="00775168">
        <w:rPr>
          <w:rFonts w:ascii="Times New Roman" w:eastAsia="宋体" w:hAnsi="Times New Roman" w:cs="宋体"/>
        </w:rPr>
        <w:t xml:space="preserve"> </w:t>
      </w:r>
      <w:bookmarkEnd w:id="109"/>
      <w:bookmarkEnd w:id="110"/>
      <w:bookmarkEnd w:id="111"/>
      <w:bookmarkEnd w:id="112"/>
      <w:bookmarkEnd w:id="113"/>
    </w:p>
    <w:p w:rsidR="00743320" w:rsidRPr="00775168" w:rsidRDefault="00DF7F26">
      <w:pPr>
        <w:pStyle w:val="31"/>
      </w:pPr>
      <w:r w:rsidRPr="00775168">
        <w:rPr>
          <w:rFonts w:hint="eastAsia"/>
        </w:rPr>
        <w:t xml:space="preserve">Efficacy evaluation will be performed once on Day 21 of Cycle 1, and once every two cycles (odd cycles) thereafter. Subjects achieving CR, PR and SD should be re-evaluated 6 weeks after the first evaluation. For patients with CR, PR, SD and PD, all imaging data should be retained.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If a subject discontinues from the trial prior to PD, follow-up imaging should be performed every 8 weeks to observe for tumor progression or until initiation of other antineoplastic therapy. </w:t>
      </w:r>
    </w:p>
    <w:p w:rsidR="00743320" w:rsidRPr="00775168" w:rsidRDefault="00DF7F26">
      <w:pPr>
        <w:pStyle w:val="P68B1DB1-265"/>
        <w:rPr>
          <w:rFonts w:ascii="Times New Roman" w:eastAsia="宋体" w:hAnsi="Times New Roman" w:cs="Times New Roman"/>
        </w:rPr>
      </w:pPr>
      <w:bookmarkStart w:id="114" w:name="_Toc280101091"/>
      <w:bookmarkStart w:id="115" w:name="_Toc178589670"/>
      <w:bookmarkStart w:id="116" w:name="_Toc512941695"/>
      <w:bookmarkStart w:id="117" w:name="_Toc512940938"/>
      <w:bookmarkStart w:id="118" w:name="_Toc430282286"/>
      <w:bookmarkStart w:id="119" w:name="_Toc292713356"/>
      <w:r w:rsidRPr="00775168">
        <w:rPr>
          <w:rFonts w:ascii="Times New Roman" w:eastAsia="宋体" w:hAnsi="Times New Roman" w:cs="宋体"/>
        </w:rPr>
        <w:t>3.</w:t>
      </w:r>
      <w:bookmarkEnd w:id="114"/>
      <w:r w:rsidRPr="00775168">
        <w:rPr>
          <w:rFonts w:ascii="Times New Roman" w:eastAsia="宋体" w:hAnsi="Times New Roman" w:cs="宋体"/>
        </w:rPr>
        <w:t xml:space="preserve">6 </w:t>
      </w:r>
      <w:r w:rsidRPr="00775168">
        <w:rPr>
          <w:rFonts w:ascii="Times New Roman" w:eastAsia="宋体" w:hAnsi="Times New Roman" w:cs="宋体" w:hint="eastAsia"/>
        </w:rPr>
        <w:t>Survival Follow-up</w:t>
      </w:r>
      <w:bookmarkEnd w:id="115"/>
      <w:r w:rsidRPr="00775168">
        <w:rPr>
          <w:rFonts w:ascii="Times New Roman" w:eastAsia="宋体" w:hAnsi="Times New Roman" w:cs="宋体" w:hint="eastAsia"/>
        </w:rPr>
        <w:t xml:space="preserve"> </w:t>
      </w:r>
      <w:bookmarkEnd w:id="116"/>
      <w:bookmarkEnd w:id="117"/>
      <w:bookmarkEnd w:id="118"/>
      <w:bookmarkEnd w:id="119"/>
    </w:p>
    <w:p w:rsidR="00743320" w:rsidRPr="00775168" w:rsidRDefault="00DF7F26">
      <w:pPr>
        <w:pStyle w:val="P68B1DB1-a023"/>
        <w:spacing w:line="360" w:lineRule="auto"/>
        <w:ind w:firstLine="480"/>
        <w:rPr>
          <w:rFonts w:hAnsi="Times New Roman" w:hint="default"/>
        </w:rPr>
      </w:pPr>
      <w:r w:rsidRPr="00775168">
        <w:rPr>
          <w:rFonts w:hAnsi="Times New Roman"/>
        </w:rPr>
        <w:t xml:space="preserve">When the subject stops taking the study drug, i.e. enters the follow-up period, the subject still belongs to the study period, and should be further followed up until death or loss to follow-up. All subjects will be followed every 4 weeks. The follow-up method can ask the subject himself/herself, his/her family or the local physician by telephone. </w:t>
      </w:r>
    </w:p>
    <w:p w:rsidR="00743320" w:rsidRPr="00775168" w:rsidRDefault="00DF7F26">
      <w:pPr>
        <w:pStyle w:val="P68B1DB1-265"/>
        <w:rPr>
          <w:rFonts w:ascii="Times New Roman" w:eastAsia="宋体" w:hAnsi="Times New Roman" w:cs="Times New Roman"/>
        </w:rPr>
      </w:pPr>
      <w:bookmarkStart w:id="120" w:name="_Toc178589671"/>
      <w:bookmarkStart w:id="121" w:name="_Toc512940939"/>
      <w:bookmarkStart w:id="122" w:name="_Toc430282287"/>
      <w:bookmarkStart w:id="123" w:name="_Toc512941696"/>
      <w:bookmarkStart w:id="124" w:name="_Toc292713357"/>
      <w:r w:rsidRPr="00775168">
        <w:rPr>
          <w:rFonts w:ascii="Times New Roman" w:eastAsia="宋体" w:hAnsi="Times New Roman" w:cs="宋体"/>
        </w:rPr>
        <w:t xml:space="preserve">3.7 Follow-up of </w:t>
      </w:r>
      <w:r w:rsidR="009D35CC" w:rsidRPr="00775168">
        <w:rPr>
          <w:rFonts w:ascii="Times New Roman" w:eastAsia="宋体" w:hAnsi="Times New Roman" w:cs="宋体"/>
        </w:rPr>
        <w:t>A</w:t>
      </w:r>
      <w:r w:rsidRPr="00775168">
        <w:rPr>
          <w:rFonts w:ascii="Times New Roman" w:eastAsia="宋体" w:hAnsi="Times New Roman" w:cs="宋体"/>
        </w:rPr>
        <w:t xml:space="preserve">dverse </w:t>
      </w:r>
      <w:r w:rsidR="009D35CC" w:rsidRPr="00775168">
        <w:rPr>
          <w:rFonts w:ascii="Times New Roman" w:eastAsia="宋体" w:hAnsi="Times New Roman" w:cs="宋体"/>
        </w:rPr>
        <w:t>E</w:t>
      </w:r>
      <w:r w:rsidRPr="00775168">
        <w:rPr>
          <w:rFonts w:ascii="Times New Roman" w:eastAsia="宋体" w:hAnsi="Times New Roman" w:cs="宋体"/>
        </w:rPr>
        <w:t>vents</w:t>
      </w:r>
      <w:bookmarkEnd w:id="120"/>
      <w:r w:rsidRPr="00775168">
        <w:rPr>
          <w:rFonts w:ascii="Times New Roman" w:eastAsia="宋体" w:hAnsi="Times New Roman" w:cs="宋体"/>
        </w:rPr>
        <w:t xml:space="preserve"> </w:t>
      </w:r>
      <w:bookmarkEnd w:id="121"/>
      <w:bookmarkEnd w:id="122"/>
      <w:bookmarkEnd w:id="123"/>
      <w:bookmarkEnd w:id="124"/>
    </w:p>
    <w:p w:rsidR="00743320" w:rsidRPr="00775168" w:rsidRDefault="00DF7F26">
      <w:pPr>
        <w:pStyle w:val="P68B1DB1-a023"/>
        <w:spacing w:line="360" w:lineRule="auto"/>
        <w:ind w:firstLine="480"/>
        <w:rPr>
          <w:rFonts w:hAnsi="Times New Roman" w:hint="default"/>
        </w:rPr>
      </w:pPr>
      <w:r w:rsidRPr="00775168">
        <w:rPr>
          <w:rFonts w:hAnsi="Times New Roman"/>
        </w:rPr>
        <w:t xml:space="preserve">Adverse events that are ongoing at the time of study drug discontinuation should be followed up with a final evaluation. All patients should be followed up for 21 days after medication to detect any new adverse events. </w:t>
      </w:r>
    </w:p>
    <w:p w:rsidR="00743320" w:rsidRPr="00775168" w:rsidRDefault="00743320">
      <w:pPr>
        <w:pStyle w:val="af7"/>
        <w:ind w:firstLine="480"/>
        <w:rPr>
          <w:rFonts w:ascii="Times New Roman" w:hAnsi="Times New Roman" w:cs="Times New Roman"/>
        </w:rPr>
      </w:pPr>
      <w:bookmarkStart w:id="125" w:name="_Toc292713359"/>
      <w:bookmarkStart w:id="126" w:name="_Toc430282289"/>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DF7F26">
      <w:pPr>
        <w:pStyle w:val="P68B1DB1-116"/>
        <w:rPr>
          <w:rFonts w:ascii="Times New Roman" w:hAnsi="Times New Roman" w:cs="Times New Roman" w:hint="default"/>
        </w:rPr>
      </w:pPr>
      <w:bookmarkStart w:id="127" w:name="_Toc178589672"/>
      <w:bookmarkStart w:id="128" w:name="_Toc512940940"/>
      <w:r w:rsidRPr="00775168">
        <w:rPr>
          <w:rFonts w:ascii="Times New Roman" w:hAnsi="Times New Roman"/>
        </w:rPr>
        <w:lastRenderedPageBreak/>
        <w:t xml:space="preserve">4. </w:t>
      </w:r>
      <w:r w:rsidR="009D35CC" w:rsidRPr="00775168">
        <w:rPr>
          <w:rFonts w:ascii="Times New Roman" w:hAnsi="Times New Roman" w:hint="default"/>
        </w:rPr>
        <w:t>S</w:t>
      </w:r>
      <w:r w:rsidRPr="00775168">
        <w:rPr>
          <w:rFonts w:ascii="Times New Roman" w:hAnsi="Times New Roman"/>
        </w:rPr>
        <w:t xml:space="preserve">election and </w:t>
      </w:r>
      <w:r w:rsidR="009D35CC" w:rsidRPr="00775168">
        <w:rPr>
          <w:rFonts w:ascii="Times New Roman" w:hAnsi="Times New Roman" w:hint="default"/>
        </w:rPr>
        <w:t>W</w:t>
      </w:r>
      <w:r w:rsidRPr="00775168">
        <w:rPr>
          <w:rFonts w:ascii="Times New Roman" w:hAnsi="Times New Roman"/>
        </w:rPr>
        <w:t xml:space="preserve">ithdrawal of </w:t>
      </w:r>
      <w:r w:rsidR="009D35CC" w:rsidRPr="00775168">
        <w:rPr>
          <w:rFonts w:ascii="Times New Roman" w:hAnsi="Times New Roman" w:hint="default"/>
        </w:rPr>
        <w:t>S</w:t>
      </w:r>
      <w:r w:rsidRPr="00775168">
        <w:rPr>
          <w:rFonts w:ascii="Times New Roman" w:hAnsi="Times New Roman"/>
        </w:rPr>
        <w:t>ubjects</w:t>
      </w:r>
      <w:bookmarkEnd w:id="127"/>
      <w:r w:rsidRPr="00775168">
        <w:rPr>
          <w:rFonts w:ascii="Times New Roman" w:hAnsi="Times New Roman"/>
        </w:rPr>
        <w:t xml:space="preserve"> </w:t>
      </w:r>
      <w:bookmarkEnd w:id="125"/>
      <w:bookmarkEnd w:id="126"/>
      <w:bookmarkEnd w:id="128"/>
    </w:p>
    <w:p w:rsidR="00743320" w:rsidRPr="00775168" w:rsidRDefault="00DF7F26">
      <w:pPr>
        <w:pStyle w:val="P68B1DB1-265"/>
        <w:rPr>
          <w:rFonts w:ascii="Times New Roman" w:eastAsia="宋体" w:hAnsi="Times New Roman" w:cs="Times New Roman"/>
        </w:rPr>
      </w:pPr>
      <w:bookmarkStart w:id="129" w:name="_Toc178589673"/>
      <w:bookmarkStart w:id="130" w:name="_Toc512940941"/>
      <w:bookmarkStart w:id="131" w:name="_Toc430282291"/>
      <w:bookmarkStart w:id="132" w:name="_Toc512941697"/>
      <w:bookmarkStart w:id="133" w:name="_Toc292713361"/>
      <w:r w:rsidRPr="00775168">
        <w:rPr>
          <w:rFonts w:ascii="Times New Roman" w:eastAsia="宋体" w:hAnsi="Times New Roman" w:cs="宋体"/>
        </w:rPr>
        <w:t>4.1 Inclusion criteria</w:t>
      </w:r>
      <w:bookmarkEnd w:id="129"/>
      <w:r w:rsidRPr="00775168">
        <w:rPr>
          <w:rFonts w:ascii="Times New Roman" w:eastAsia="宋体" w:hAnsi="Times New Roman" w:cs="宋体"/>
        </w:rPr>
        <w:t xml:space="preserve"> </w:t>
      </w:r>
      <w:bookmarkEnd w:id="130"/>
      <w:bookmarkEnd w:id="131"/>
      <w:bookmarkEnd w:id="132"/>
      <w:bookmarkEnd w:id="133"/>
    </w:p>
    <w:p w:rsidR="00743320" w:rsidRPr="00775168" w:rsidRDefault="00DF7F26" w:rsidP="000E7B9C">
      <w:pPr>
        <w:pStyle w:val="P68B1DB1-a024"/>
        <w:numPr>
          <w:ilvl w:val="1"/>
          <w:numId w:val="39"/>
        </w:numPr>
        <w:adjustRightInd w:val="0"/>
        <w:snapToGrid w:val="0"/>
        <w:spacing w:line="360" w:lineRule="auto"/>
        <w:ind w:left="851" w:hanging="851"/>
        <w:jc w:val="left"/>
        <w:rPr>
          <w:rFonts w:hint="default"/>
        </w:rPr>
      </w:pPr>
      <w:r w:rsidRPr="00775168">
        <w:t xml:space="preserve">The subjects voluntarily participate in this study and sign the informed consent form, with good compliance and cooperation in follow-up. </w:t>
      </w:r>
    </w:p>
    <w:p w:rsidR="00743320" w:rsidRPr="00775168" w:rsidRDefault="00DF7F26" w:rsidP="000E7B9C">
      <w:pPr>
        <w:pStyle w:val="P68B1DB1-a024"/>
        <w:numPr>
          <w:ilvl w:val="1"/>
          <w:numId w:val="39"/>
        </w:numPr>
        <w:adjustRightInd w:val="0"/>
        <w:snapToGrid w:val="0"/>
        <w:spacing w:line="360" w:lineRule="auto"/>
        <w:ind w:left="851" w:hanging="851"/>
        <w:jc w:val="left"/>
        <w:rPr>
          <w:rFonts w:cs="宋体" w:hint="default"/>
        </w:rPr>
      </w:pPr>
      <w:r w:rsidRPr="00775168">
        <w:t xml:space="preserve">Male or female patients aged 18-75 years </w:t>
      </w:r>
    </w:p>
    <w:p w:rsidR="00743320" w:rsidRPr="00775168" w:rsidRDefault="00DF7F26" w:rsidP="000E7B9C">
      <w:pPr>
        <w:pStyle w:val="P68B1DB1-a09"/>
        <w:numPr>
          <w:ilvl w:val="1"/>
          <w:numId w:val="39"/>
        </w:numPr>
        <w:adjustRightInd w:val="0"/>
        <w:snapToGrid w:val="0"/>
        <w:spacing w:line="360" w:lineRule="auto"/>
        <w:ind w:left="851" w:hanging="851"/>
        <w:jc w:val="left"/>
        <w:rPr>
          <w:rFonts w:hint="default"/>
        </w:rPr>
      </w:pPr>
      <w:r w:rsidRPr="00775168">
        <w:t xml:space="preserve">Histologically or cytologically confirmed locally advanced or metastatic NSCLC (all histological types); patients previously treated with local therapy (including surgery, radiotherapy, etc.) and other drugs (excluding EGFR TKIs) can be treated for </w:t>
      </w:r>
      <w:r w:rsidRPr="00775168">
        <w:t>≥</w:t>
      </w:r>
      <w:r w:rsidRPr="00775168">
        <w:t xml:space="preserve"> 6 months; </w:t>
      </w:r>
    </w:p>
    <w:p w:rsidR="00743320" w:rsidRPr="00775168" w:rsidRDefault="00DF7F26" w:rsidP="000E7B9C">
      <w:pPr>
        <w:pStyle w:val="P68B1DB1-a024"/>
        <w:numPr>
          <w:ilvl w:val="1"/>
          <w:numId w:val="39"/>
        </w:numPr>
        <w:adjustRightInd w:val="0"/>
        <w:snapToGrid w:val="0"/>
        <w:spacing w:line="360" w:lineRule="auto"/>
        <w:ind w:left="851" w:hanging="851"/>
        <w:jc w:val="left"/>
        <w:rPr>
          <w:rFonts w:cs="宋体" w:hint="default"/>
        </w:rPr>
      </w:pPr>
      <w:r w:rsidRPr="00775168">
        <w:t xml:space="preserve">EGFR mutations confirmed by testing (including but not limited to T790M, exon 19 deletion and L858R) can receive pathological examination results from another hospital; </w:t>
      </w:r>
    </w:p>
    <w:p w:rsidR="00743320" w:rsidRPr="00BE170A" w:rsidRDefault="00DF7F26" w:rsidP="00BE170A">
      <w:pPr>
        <w:pStyle w:val="P68B1DB1-a024"/>
        <w:numPr>
          <w:ilvl w:val="1"/>
          <w:numId w:val="39"/>
        </w:numPr>
        <w:adjustRightInd w:val="0"/>
        <w:snapToGrid w:val="0"/>
        <w:spacing w:line="360" w:lineRule="auto"/>
        <w:ind w:left="851" w:hanging="851"/>
        <w:jc w:val="left"/>
        <w:rPr>
          <w:rFonts w:hint="default"/>
        </w:rPr>
      </w:pPr>
      <w:r w:rsidRPr="00BE170A">
        <w:t xml:space="preserve">Patients receiving EGFR-TKIs for </w:t>
      </w:r>
      <w:r w:rsidRPr="00BE170A">
        <w:t>≥</w:t>
      </w:r>
      <w:r w:rsidRPr="00BE170A">
        <w:t xml:space="preserve"> 3 months who are clinically found to be at potential risk of disease progression </w:t>
      </w:r>
      <w:r w:rsidRPr="00BE170A">
        <w:t>①</w:t>
      </w:r>
      <w:r w:rsidRPr="00BE170A">
        <w:t xml:space="preserve"> or patients with </w:t>
      </w:r>
      <w:r w:rsidR="003A58EF" w:rsidRPr="00BE170A">
        <w:t>gradual</w:t>
      </w:r>
      <w:r w:rsidRPr="00BE170A">
        <w:t xml:space="preserve"> progression </w:t>
      </w:r>
      <w:r w:rsidRPr="00BE170A">
        <w:t>②</w:t>
      </w:r>
      <w:r w:rsidRPr="00BE170A">
        <w:t xml:space="preserve"> or </w:t>
      </w:r>
      <w:r w:rsidR="003A58EF" w:rsidRPr="00BE170A">
        <w:t>oligo</w:t>
      </w:r>
      <w:r w:rsidRPr="00BE170A">
        <w:t xml:space="preserve"> progression </w:t>
      </w:r>
      <w:r w:rsidRPr="00BE170A">
        <w:t>③</w:t>
      </w:r>
      <w:r w:rsidRPr="00BE170A">
        <w:t xml:space="preserve">. Specifically defined as: </w:t>
      </w:r>
    </w:p>
    <w:p w:rsidR="00743320" w:rsidRPr="00BE170A" w:rsidRDefault="00DF7F26" w:rsidP="00BE170A">
      <w:pPr>
        <w:pStyle w:val="P68B1DB1-a024"/>
        <w:adjustRightInd w:val="0"/>
        <w:snapToGrid w:val="0"/>
        <w:spacing w:line="360" w:lineRule="auto"/>
        <w:ind w:left="851"/>
        <w:jc w:val="left"/>
        <w:rPr>
          <w:rFonts w:hint="default"/>
        </w:rPr>
      </w:pPr>
      <w:r w:rsidRPr="00BE170A">
        <w:t>①</w:t>
      </w:r>
      <w:r w:rsidRPr="00BE170A">
        <w:t xml:space="preserve"> Patients with potential risk of disease progression: blood CEA &lt; 10.0 ng/ml, two consecutive test values </w:t>
      </w:r>
      <w:r w:rsidRPr="00BE170A">
        <w:t>≥</w:t>
      </w:r>
      <w:r w:rsidRPr="00BE170A">
        <w:t xml:space="preserve"> 10 ng/ml (test time interval is not less than 1 month); or blood CEA </w:t>
      </w:r>
      <w:r w:rsidRPr="00BE170A">
        <w:t>≥</w:t>
      </w:r>
      <w:r w:rsidRPr="00BE170A">
        <w:t xml:space="preserve"> 10 ng/ml, two consecutive tests gradually increase (test time interval is not less than 1 month) </w:t>
      </w:r>
    </w:p>
    <w:p w:rsidR="00743320" w:rsidRPr="00BE170A" w:rsidRDefault="00DF7F26" w:rsidP="00BE170A">
      <w:pPr>
        <w:pStyle w:val="P68B1DB1-a024"/>
        <w:adjustRightInd w:val="0"/>
        <w:snapToGrid w:val="0"/>
        <w:spacing w:line="360" w:lineRule="auto"/>
        <w:ind w:left="851"/>
        <w:jc w:val="left"/>
        <w:rPr>
          <w:rFonts w:hint="default"/>
        </w:rPr>
      </w:pPr>
      <w:r w:rsidRPr="00BE170A">
        <w:t>②</w:t>
      </w:r>
      <w:r w:rsidRPr="00BE170A">
        <w:t xml:space="preserve"> Patients with </w:t>
      </w:r>
      <w:r w:rsidR="003A58EF" w:rsidRPr="00BE170A">
        <w:t>gradual</w:t>
      </w:r>
      <w:r w:rsidRPr="00BE170A">
        <w:t xml:space="preserve"> progression: disease control </w:t>
      </w:r>
      <w:r w:rsidRPr="00BE170A">
        <w:t>≥</w:t>
      </w:r>
      <w:r w:rsidRPr="00BE170A">
        <w:t xml:space="preserve"> 6 months, slightly increased tumor harm to the body compared with previous evaluation (tumor burden score accumulation </w:t>
      </w:r>
      <w:r w:rsidRPr="00BE170A">
        <w:t>≤</w:t>
      </w:r>
      <w:r w:rsidRPr="00BE170A">
        <w:t xml:space="preserve"> 2 points), symptom score </w:t>
      </w:r>
      <w:r w:rsidRPr="00BE170A">
        <w:t>≤</w:t>
      </w:r>
      <w:r w:rsidRPr="00BE170A">
        <w:t xml:space="preserve"> 1. </w:t>
      </w:r>
    </w:p>
    <w:p w:rsidR="00743320" w:rsidRPr="00BE170A" w:rsidRDefault="00DF7F26" w:rsidP="00BE170A">
      <w:pPr>
        <w:pStyle w:val="P68B1DB1-a024"/>
        <w:adjustRightInd w:val="0"/>
        <w:snapToGrid w:val="0"/>
        <w:spacing w:line="360" w:lineRule="auto"/>
        <w:ind w:left="851"/>
        <w:jc w:val="left"/>
        <w:rPr>
          <w:rFonts w:hint="default"/>
        </w:rPr>
      </w:pPr>
      <w:r w:rsidRPr="00BE170A">
        <w:t>③</w:t>
      </w:r>
      <w:r w:rsidRPr="00BE170A">
        <w:t xml:space="preserve"> </w:t>
      </w:r>
      <w:r w:rsidR="003A58EF" w:rsidRPr="00BE170A">
        <w:rPr>
          <w:rFonts w:hint="default"/>
        </w:rPr>
        <w:t>O</w:t>
      </w:r>
      <w:r w:rsidR="003A58EF" w:rsidRPr="00BE170A">
        <w:t>ligo</w:t>
      </w:r>
      <w:r w:rsidRPr="00BE170A">
        <w:t xml:space="preserve"> progression: disease control </w:t>
      </w:r>
      <w:r w:rsidRPr="00BE170A">
        <w:t>≥</w:t>
      </w:r>
      <w:r w:rsidRPr="00BE170A">
        <w:t xml:space="preserve"> 3 months, isolated extracranial progression or intracranial progression, and symptom score </w:t>
      </w:r>
      <w:r w:rsidRPr="00BE170A">
        <w:t>≤</w:t>
      </w:r>
      <w:r w:rsidRPr="00BE170A">
        <w:t xml:space="preserve"> 1. </w:t>
      </w:r>
    </w:p>
    <w:p w:rsidR="00743320" w:rsidRPr="00BE170A" w:rsidRDefault="00DF7F26" w:rsidP="00BE170A">
      <w:pPr>
        <w:pStyle w:val="P68B1DB1-a024"/>
        <w:adjustRightInd w:val="0"/>
        <w:snapToGrid w:val="0"/>
        <w:spacing w:line="360" w:lineRule="auto"/>
        <w:ind w:left="851"/>
        <w:jc w:val="left"/>
        <w:rPr>
          <w:rFonts w:hint="default"/>
        </w:rPr>
      </w:pPr>
      <w:r w:rsidRPr="00BE170A">
        <w:t xml:space="preserve">Symptom score: </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701"/>
        <w:gridCol w:w="1417"/>
      </w:tblGrid>
      <w:tr w:rsidR="00743320" w:rsidRPr="00775168">
        <w:trPr>
          <w:jc w:val="center"/>
        </w:trPr>
        <w:tc>
          <w:tcPr>
            <w:tcW w:w="1271" w:type="dxa"/>
          </w:tcPr>
          <w:p w:rsidR="00743320" w:rsidRPr="00775168" w:rsidRDefault="00DF7F26">
            <w:pPr>
              <w:pStyle w:val="P68B1DB1-a09"/>
              <w:spacing w:line="360" w:lineRule="auto"/>
              <w:rPr>
                <w:rFonts w:hint="default"/>
              </w:rPr>
            </w:pPr>
            <w:r w:rsidRPr="00775168">
              <w:t xml:space="preserve">Evaluation Criteria </w:t>
            </w:r>
          </w:p>
        </w:tc>
        <w:tc>
          <w:tcPr>
            <w:tcW w:w="1276" w:type="dxa"/>
          </w:tcPr>
          <w:p w:rsidR="00743320" w:rsidRPr="00775168" w:rsidRDefault="00DF7F26">
            <w:pPr>
              <w:pStyle w:val="P68B1DB1-a09"/>
              <w:spacing w:line="360" w:lineRule="auto"/>
              <w:jc w:val="center"/>
              <w:rPr>
                <w:rFonts w:hint="default"/>
              </w:rPr>
            </w:pPr>
            <w:r w:rsidRPr="00775168">
              <w:t xml:space="preserve">No symptoms </w:t>
            </w:r>
          </w:p>
        </w:tc>
        <w:tc>
          <w:tcPr>
            <w:tcW w:w="1701" w:type="dxa"/>
          </w:tcPr>
          <w:p w:rsidR="00743320" w:rsidRPr="00775168" w:rsidRDefault="00DF7F26">
            <w:pPr>
              <w:pStyle w:val="P68B1DB1-a09"/>
              <w:spacing w:line="360" w:lineRule="auto"/>
              <w:jc w:val="center"/>
              <w:rPr>
                <w:rFonts w:hint="default"/>
              </w:rPr>
            </w:pPr>
            <w:r w:rsidRPr="00775168">
              <w:t xml:space="preserve">No change in symptoms </w:t>
            </w:r>
          </w:p>
        </w:tc>
        <w:tc>
          <w:tcPr>
            <w:tcW w:w="1417" w:type="dxa"/>
          </w:tcPr>
          <w:p w:rsidR="00743320" w:rsidRPr="00775168" w:rsidRDefault="00DF7F26">
            <w:pPr>
              <w:pStyle w:val="P68B1DB1-a09"/>
              <w:spacing w:line="360" w:lineRule="auto"/>
              <w:jc w:val="center"/>
              <w:rPr>
                <w:rFonts w:hint="default"/>
              </w:rPr>
            </w:pPr>
            <w:r w:rsidRPr="00775168">
              <w:t xml:space="preserve">Worsening of symptoms </w:t>
            </w:r>
          </w:p>
        </w:tc>
      </w:tr>
      <w:tr w:rsidR="00743320" w:rsidRPr="00775168">
        <w:trPr>
          <w:jc w:val="center"/>
        </w:trPr>
        <w:tc>
          <w:tcPr>
            <w:tcW w:w="1271" w:type="dxa"/>
          </w:tcPr>
          <w:p w:rsidR="00743320" w:rsidRPr="00775168" w:rsidRDefault="00DF7F26">
            <w:pPr>
              <w:pStyle w:val="P68B1DB1-a09"/>
              <w:spacing w:line="360" w:lineRule="auto"/>
              <w:rPr>
                <w:rFonts w:hint="default"/>
              </w:rPr>
            </w:pPr>
            <w:r w:rsidRPr="00775168">
              <w:t xml:space="preserve">Score </w:t>
            </w:r>
          </w:p>
        </w:tc>
        <w:tc>
          <w:tcPr>
            <w:tcW w:w="1276" w:type="dxa"/>
          </w:tcPr>
          <w:p w:rsidR="00743320" w:rsidRPr="00775168" w:rsidRDefault="00DF7F26">
            <w:pPr>
              <w:pStyle w:val="P68B1DB1-a033"/>
              <w:spacing w:line="360" w:lineRule="auto"/>
              <w:jc w:val="center"/>
            </w:pPr>
            <w:r w:rsidRPr="00775168">
              <w:t xml:space="preserve">0 </w:t>
            </w:r>
          </w:p>
        </w:tc>
        <w:tc>
          <w:tcPr>
            <w:tcW w:w="1701" w:type="dxa"/>
          </w:tcPr>
          <w:p w:rsidR="00743320" w:rsidRPr="00775168" w:rsidRDefault="00DF7F26">
            <w:pPr>
              <w:pStyle w:val="P68B1DB1-a033"/>
              <w:spacing w:line="360" w:lineRule="auto"/>
              <w:jc w:val="center"/>
            </w:pPr>
            <w:r w:rsidRPr="00775168">
              <w:t xml:space="preserve">1 </w:t>
            </w:r>
          </w:p>
        </w:tc>
        <w:tc>
          <w:tcPr>
            <w:tcW w:w="1417" w:type="dxa"/>
          </w:tcPr>
          <w:p w:rsidR="00743320" w:rsidRPr="00775168" w:rsidRDefault="00DF7F26">
            <w:pPr>
              <w:pStyle w:val="P68B1DB1-a033"/>
              <w:spacing w:line="360" w:lineRule="auto"/>
              <w:jc w:val="center"/>
            </w:pPr>
            <w:r w:rsidRPr="00775168">
              <w:t xml:space="preserve">2 </w:t>
            </w:r>
          </w:p>
        </w:tc>
      </w:tr>
    </w:tbl>
    <w:p w:rsidR="00743320" w:rsidRPr="00BE170A" w:rsidRDefault="00DF7F26" w:rsidP="00BE170A">
      <w:pPr>
        <w:pStyle w:val="P68B1DB1-a024"/>
        <w:adjustRightInd w:val="0"/>
        <w:snapToGrid w:val="0"/>
        <w:spacing w:line="360" w:lineRule="auto"/>
        <w:ind w:left="851"/>
        <w:jc w:val="left"/>
      </w:pPr>
      <w:r w:rsidRPr="00775168">
        <w:t xml:space="preserve">Tumor burden score (represented by non-target lesions, cumulative score): </w:t>
      </w:r>
    </w:p>
    <w:tbl>
      <w:tblPr>
        <w:tblW w:w="5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0"/>
        <w:gridCol w:w="955"/>
        <w:gridCol w:w="1276"/>
        <w:gridCol w:w="1276"/>
        <w:gridCol w:w="1134"/>
      </w:tblGrid>
      <w:tr w:rsidR="00743320" w:rsidRPr="00775168">
        <w:trPr>
          <w:jc w:val="center"/>
        </w:trPr>
        <w:tc>
          <w:tcPr>
            <w:tcW w:w="1030" w:type="dxa"/>
          </w:tcPr>
          <w:p w:rsidR="00743320" w:rsidRPr="00775168" w:rsidRDefault="00DF7F26">
            <w:pPr>
              <w:pStyle w:val="P68B1DB1-a09"/>
              <w:spacing w:line="360" w:lineRule="auto"/>
              <w:jc w:val="center"/>
              <w:rPr>
                <w:rFonts w:hint="default"/>
              </w:rPr>
            </w:pPr>
            <w:r w:rsidRPr="00775168">
              <w:t xml:space="preserve">Evaluation </w:t>
            </w:r>
          </w:p>
          <w:p w:rsidR="00743320" w:rsidRPr="00775168" w:rsidRDefault="00DF7F26">
            <w:pPr>
              <w:pStyle w:val="P68B1DB1-a09"/>
              <w:spacing w:line="360" w:lineRule="auto"/>
              <w:jc w:val="center"/>
              <w:rPr>
                <w:rFonts w:hint="default"/>
              </w:rPr>
            </w:pPr>
            <w:r w:rsidRPr="00775168">
              <w:t>Standar</w:t>
            </w:r>
            <w:r w:rsidRPr="00775168">
              <w:lastRenderedPageBreak/>
              <w:t xml:space="preserve">d </w:t>
            </w:r>
          </w:p>
        </w:tc>
        <w:tc>
          <w:tcPr>
            <w:tcW w:w="955" w:type="dxa"/>
          </w:tcPr>
          <w:p w:rsidR="00743320" w:rsidRPr="00775168" w:rsidRDefault="00DF7F26">
            <w:pPr>
              <w:pStyle w:val="P68B1DB1-a09"/>
              <w:spacing w:line="360" w:lineRule="auto"/>
              <w:jc w:val="center"/>
              <w:rPr>
                <w:rFonts w:hint="default"/>
              </w:rPr>
            </w:pPr>
            <w:r w:rsidRPr="00775168">
              <w:lastRenderedPageBreak/>
              <w:t>Progression of non-</w:t>
            </w:r>
            <w:r w:rsidRPr="00775168">
              <w:lastRenderedPageBreak/>
              <w:t xml:space="preserve">target lesions </w:t>
            </w:r>
          </w:p>
        </w:tc>
        <w:tc>
          <w:tcPr>
            <w:tcW w:w="1276" w:type="dxa"/>
          </w:tcPr>
          <w:p w:rsidR="00743320" w:rsidRPr="00775168" w:rsidRDefault="00DF7F26">
            <w:pPr>
              <w:pStyle w:val="P68B1DB1-a09"/>
              <w:spacing w:line="360" w:lineRule="auto"/>
              <w:jc w:val="center"/>
              <w:rPr>
                <w:rFonts w:hint="default"/>
              </w:rPr>
            </w:pPr>
            <w:r w:rsidRPr="00775168">
              <w:lastRenderedPageBreak/>
              <w:t xml:space="preserve">New intrathoracic lesions </w:t>
            </w:r>
          </w:p>
        </w:tc>
        <w:tc>
          <w:tcPr>
            <w:tcW w:w="1276" w:type="dxa"/>
          </w:tcPr>
          <w:p w:rsidR="00743320" w:rsidRPr="00775168" w:rsidRDefault="00DF7F26">
            <w:pPr>
              <w:pStyle w:val="P68B1DB1-a09"/>
              <w:spacing w:line="360" w:lineRule="auto"/>
              <w:jc w:val="center"/>
              <w:rPr>
                <w:rFonts w:hint="default"/>
              </w:rPr>
            </w:pPr>
            <w:r w:rsidRPr="00775168">
              <w:t xml:space="preserve">New extrathoracic lesion </w:t>
            </w:r>
          </w:p>
        </w:tc>
        <w:tc>
          <w:tcPr>
            <w:tcW w:w="1134" w:type="dxa"/>
          </w:tcPr>
          <w:p w:rsidR="00743320" w:rsidRPr="00775168" w:rsidRDefault="00DF7F26">
            <w:pPr>
              <w:pStyle w:val="P68B1DB1-a09"/>
              <w:spacing w:line="360" w:lineRule="auto"/>
              <w:jc w:val="center"/>
              <w:rPr>
                <w:rFonts w:hint="default"/>
              </w:rPr>
            </w:pPr>
            <w:r w:rsidRPr="00775168">
              <w:t xml:space="preserve">Malignant pleural effusion </w:t>
            </w:r>
          </w:p>
        </w:tc>
      </w:tr>
      <w:tr w:rsidR="00743320" w:rsidRPr="00775168">
        <w:trPr>
          <w:jc w:val="center"/>
        </w:trPr>
        <w:tc>
          <w:tcPr>
            <w:tcW w:w="1030" w:type="dxa"/>
          </w:tcPr>
          <w:p w:rsidR="00743320" w:rsidRPr="00775168" w:rsidRDefault="00DF7F26">
            <w:pPr>
              <w:pStyle w:val="P68B1DB1-a09"/>
              <w:spacing w:line="360" w:lineRule="auto"/>
              <w:jc w:val="center"/>
              <w:rPr>
                <w:rFonts w:hint="default"/>
              </w:rPr>
            </w:pPr>
            <w:r w:rsidRPr="00775168">
              <w:lastRenderedPageBreak/>
              <w:t xml:space="preserve">Score </w:t>
            </w:r>
          </w:p>
        </w:tc>
        <w:tc>
          <w:tcPr>
            <w:tcW w:w="955" w:type="dxa"/>
          </w:tcPr>
          <w:p w:rsidR="00743320" w:rsidRPr="00775168" w:rsidRDefault="00DF7F26">
            <w:pPr>
              <w:pStyle w:val="P68B1DB1-a033"/>
              <w:spacing w:line="360" w:lineRule="auto"/>
              <w:jc w:val="center"/>
            </w:pPr>
            <w:r w:rsidRPr="00775168">
              <w:t xml:space="preserve">1 </w:t>
            </w:r>
          </w:p>
        </w:tc>
        <w:tc>
          <w:tcPr>
            <w:tcW w:w="1276" w:type="dxa"/>
          </w:tcPr>
          <w:p w:rsidR="00743320" w:rsidRPr="00775168" w:rsidRDefault="00DF7F26">
            <w:pPr>
              <w:pStyle w:val="P68B1DB1-a033"/>
              <w:spacing w:line="360" w:lineRule="auto"/>
              <w:jc w:val="center"/>
            </w:pPr>
            <w:r w:rsidRPr="00775168">
              <w:t xml:space="preserve">1 </w:t>
            </w:r>
          </w:p>
        </w:tc>
        <w:tc>
          <w:tcPr>
            <w:tcW w:w="1276" w:type="dxa"/>
          </w:tcPr>
          <w:p w:rsidR="00743320" w:rsidRPr="00775168" w:rsidRDefault="00DF7F26">
            <w:pPr>
              <w:pStyle w:val="P68B1DB1-a033"/>
              <w:spacing w:line="360" w:lineRule="auto"/>
              <w:jc w:val="center"/>
            </w:pPr>
            <w:r w:rsidRPr="00775168">
              <w:t xml:space="preserve">1 </w:t>
            </w:r>
          </w:p>
        </w:tc>
        <w:tc>
          <w:tcPr>
            <w:tcW w:w="1134" w:type="dxa"/>
          </w:tcPr>
          <w:p w:rsidR="00743320" w:rsidRPr="00775168" w:rsidRDefault="00DF7F26">
            <w:pPr>
              <w:pStyle w:val="P68B1DB1-a033"/>
              <w:spacing w:line="360" w:lineRule="auto"/>
              <w:jc w:val="center"/>
            </w:pPr>
            <w:r w:rsidRPr="00775168">
              <w:t xml:space="preserve">1 </w:t>
            </w:r>
          </w:p>
        </w:tc>
      </w:tr>
    </w:tbl>
    <w:p w:rsidR="00743320" w:rsidRPr="00775168" w:rsidRDefault="00DF7F26" w:rsidP="000E7B9C">
      <w:pPr>
        <w:pStyle w:val="P68B1DB1-a024"/>
        <w:numPr>
          <w:ilvl w:val="1"/>
          <w:numId w:val="39"/>
        </w:numPr>
        <w:adjustRightInd w:val="0"/>
        <w:snapToGrid w:val="0"/>
        <w:spacing w:line="360" w:lineRule="auto"/>
        <w:ind w:left="851" w:hanging="851"/>
        <w:jc w:val="left"/>
        <w:rPr>
          <w:rFonts w:hint="default"/>
        </w:rPr>
      </w:pPr>
      <w:r w:rsidRPr="00775168">
        <w:t xml:space="preserve">At least 1 measurable target lesion according to RECIST v1.1 within the past 3 months </w:t>
      </w:r>
    </w:p>
    <w:p w:rsidR="00743320" w:rsidRPr="00775168" w:rsidRDefault="00DF7F26" w:rsidP="000E7B9C">
      <w:pPr>
        <w:pStyle w:val="P68B1DB1-a024"/>
        <w:numPr>
          <w:ilvl w:val="1"/>
          <w:numId w:val="39"/>
        </w:numPr>
        <w:adjustRightInd w:val="0"/>
        <w:snapToGrid w:val="0"/>
        <w:spacing w:line="360" w:lineRule="auto"/>
        <w:ind w:left="851" w:hanging="851"/>
        <w:jc w:val="left"/>
        <w:rPr>
          <w:rFonts w:hint="default"/>
        </w:rPr>
      </w:pPr>
      <w:r w:rsidRPr="00775168">
        <w:t xml:space="preserve">Life expectancy of at least 3 months </w:t>
      </w:r>
    </w:p>
    <w:p w:rsidR="00743320" w:rsidRPr="00775168" w:rsidRDefault="00DF7F26" w:rsidP="000E7B9C">
      <w:pPr>
        <w:pStyle w:val="P68B1DB1-a024"/>
        <w:numPr>
          <w:ilvl w:val="1"/>
          <w:numId w:val="39"/>
        </w:numPr>
        <w:adjustRightInd w:val="0"/>
        <w:snapToGrid w:val="0"/>
        <w:spacing w:line="360" w:lineRule="auto"/>
        <w:ind w:left="851" w:hanging="851"/>
        <w:jc w:val="left"/>
        <w:rPr>
          <w:rFonts w:hint="default"/>
        </w:rPr>
      </w:pPr>
      <w:r w:rsidRPr="00775168">
        <w:t xml:space="preserve">ECOG score: 0-2 points; </w:t>
      </w:r>
    </w:p>
    <w:p w:rsidR="00743320" w:rsidRPr="00775168" w:rsidRDefault="00DF7F26" w:rsidP="000E7B9C">
      <w:pPr>
        <w:pStyle w:val="P68B1DB1-a09"/>
        <w:numPr>
          <w:ilvl w:val="1"/>
          <w:numId w:val="39"/>
        </w:numPr>
        <w:adjustRightInd w:val="0"/>
        <w:snapToGrid w:val="0"/>
        <w:spacing w:line="360" w:lineRule="auto"/>
        <w:ind w:left="851" w:hanging="851"/>
        <w:jc w:val="left"/>
        <w:rPr>
          <w:rFonts w:hint="default"/>
        </w:rPr>
      </w:pPr>
      <w:r w:rsidRPr="00775168">
        <w:t xml:space="preserve">Normal function of major organs, i.e. meeting the following criteria: </w:t>
      </w:r>
    </w:p>
    <w:p w:rsidR="00743320" w:rsidRPr="00775168" w:rsidRDefault="00DF7F26">
      <w:pPr>
        <w:pStyle w:val="P68B1DB1-a024"/>
        <w:adjustRightInd w:val="0"/>
        <w:snapToGrid w:val="0"/>
        <w:spacing w:line="360" w:lineRule="auto"/>
        <w:ind w:left="851"/>
        <w:jc w:val="left"/>
        <w:rPr>
          <w:rFonts w:hint="default"/>
        </w:rPr>
      </w:pPr>
      <w:r w:rsidRPr="00775168">
        <w:t xml:space="preserve">(1) Blood routine examination criteria need to meet (14) no blood transfusion and blood products, no G-CSF and other hematopoietic stimulating factors correction): </w:t>
      </w:r>
    </w:p>
    <w:p w:rsidR="00743320" w:rsidRPr="00775168" w:rsidRDefault="00DF7F26">
      <w:pPr>
        <w:pStyle w:val="P68B1DB1-a024"/>
        <w:adjustRightInd w:val="0"/>
        <w:snapToGrid w:val="0"/>
        <w:spacing w:line="360" w:lineRule="auto"/>
        <w:ind w:left="851"/>
        <w:jc w:val="left"/>
        <w:rPr>
          <w:rFonts w:hint="default"/>
        </w:rPr>
      </w:pPr>
      <w:r w:rsidRPr="00775168">
        <w:t xml:space="preserve">A. HB </w:t>
      </w:r>
      <w:r w:rsidRPr="00775168">
        <w:t>≥</w:t>
      </w:r>
      <w:r w:rsidRPr="00775168">
        <w:t xml:space="preserve"> 90 g/L; </w:t>
      </w:r>
    </w:p>
    <w:p w:rsidR="00743320" w:rsidRPr="00775168" w:rsidRDefault="00DF7F26">
      <w:pPr>
        <w:pStyle w:val="P68B1DB1-a024"/>
        <w:adjustRightInd w:val="0"/>
        <w:snapToGrid w:val="0"/>
        <w:spacing w:line="360" w:lineRule="auto"/>
        <w:ind w:left="851"/>
        <w:jc w:val="left"/>
        <w:rPr>
          <w:rFonts w:hint="default"/>
        </w:rPr>
      </w:pPr>
      <w:r w:rsidRPr="00775168">
        <w:t xml:space="preserve">B. ANC </w:t>
      </w:r>
      <w:r w:rsidRPr="00775168">
        <w:t>≥</w:t>
      </w:r>
      <w:r w:rsidRPr="00775168">
        <w:t xml:space="preserve"> 1.5 </w:t>
      </w:r>
      <w:r w:rsidRPr="00775168">
        <w:t>×</w:t>
      </w:r>
      <w:r w:rsidRPr="00775168">
        <w:t xml:space="preserve"> 109/L; </w:t>
      </w:r>
    </w:p>
    <w:p w:rsidR="00743320" w:rsidRPr="00775168" w:rsidRDefault="00DF7F26">
      <w:pPr>
        <w:pStyle w:val="P68B1DB1-a024"/>
        <w:adjustRightInd w:val="0"/>
        <w:snapToGrid w:val="0"/>
        <w:spacing w:line="360" w:lineRule="auto"/>
        <w:ind w:left="851"/>
        <w:jc w:val="left"/>
        <w:rPr>
          <w:rFonts w:hint="default"/>
        </w:rPr>
      </w:pPr>
      <w:r w:rsidRPr="00775168">
        <w:t xml:space="preserve">C. PLT </w:t>
      </w:r>
      <w:r w:rsidRPr="00775168">
        <w:t>≥</w:t>
      </w:r>
      <w:r w:rsidRPr="00775168">
        <w:t xml:space="preserve"> 80 </w:t>
      </w:r>
      <w:r w:rsidRPr="00775168">
        <w:t>×</w:t>
      </w:r>
      <w:r w:rsidRPr="00775168">
        <w:t xml:space="preserve"> 109/L; </w:t>
      </w:r>
    </w:p>
    <w:p w:rsidR="00743320" w:rsidRPr="00775168" w:rsidRDefault="00DF7F26">
      <w:pPr>
        <w:pStyle w:val="P68B1DB1-a024"/>
        <w:adjustRightInd w:val="0"/>
        <w:snapToGrid w:val="0"/>
        <w:spacing w:line="360" w:lineRule="auto"/>
        <w:ind w:left="851"/>
        <w:jc w:val="left"/>
        <w:rPr>
          <w:rFonts w:hint="default"/>
        </w:rPr>
      </w:pPr>
      <w:r w:rsidRPr="00775168">
        <w:t xml:space="preserve">(2) Biochemical tests need to meet the following criteria: </w:t>
      </w:r>
    </w:p>
    <w:p w:rsidR="00743320" w:rsidRPr="00775168" w:rsidRDefault="00DF7F26">
      <w:pPr>
        <w:pStyle w:val="P68B1DB1-a024"/>
        <w:adjustRightInd w:val="0"/>
        <w:snapToGrid w:val="0"/>
        <w:spacing w:line="360" w:lineRule="auto"/>
        <w:ind w:left="851"/>
        <w:jc w:val="left"/>
        <w:rPr>
          <w:rFonts w:hint="default"/>
        </w:rPr>
      </w:pPr>
      <w:r w:rsidRPr="00775168">
        <w:t xml:space="preserve">A. TBIL &lt; 1.5 </w:t>
      </w:r>
      <w:r w:rsidRPr="00775168">
        <w:sym w:font="Symbol" w:char="F0B4"/>
      </w:r>
      <w:r w:rsidRPr="00775168">
        <w:t xml:space="preserve">ULN; </w:t>
      </w:r>
    </w:p>
    <w:p w:rsidR="00743320" w:rsidRPr="00775168" w:rsidRDefault="00DF7F26">
      <w:pPr>
        <w:pStyle w:val="P68B1DB1-a024"/>
        <w:adjustRightInd w:val="0"/>
        <w:snapToGrid w:val="0"/>
        <w:spacing w:line="360" w:lineRule="auto"/>
        <w:ind w:left="851"/>
        <w:jc w:val="left"/>
        <w:rPr>
          <w:rFonts w:hint="default"/>
        </w:rPr>
      </w:pPr>
      <w:r w:rsidRPr="00775168">
        <w:t xml:space="preserve">B. ALT and AST &lt; 2.5 </w:t>
      </w:r>
      <w:r w:rsidRPr="00775168">
        <w:sym w:font="Symbol" w:char="F0B4"/>
      </w:r>
      <w:r w:rsidRPr="00775168">
        <w:t xml:space="preserve">ULN and &lt; 5 for patients with liver metastases </w:t>
      </w:r>
      <w:r w:rsidRPr="00775168">
        <w:sym w:font="Symbol" w:char="F0B4"/>
      </w:r>
      <w:r w:rsidRPr="00775168">
        <w:t xml:space="preserve">ULN; </w:t>
      </w:r>
    </w:p>
    <w:p w:rsidR="00743320" w:rsidRPr="00775168" w:rsidRDefault="00DF7F26">
      <w:pPr>
        <w:pStyle w:val="P68B1DB1-a024"/>
        <w:adjustRightInd w:val="0"/>
        <w:snapToGrid w:val="0"/>
        <w:spacing w:line="360" w:lineRule="auto"/>
        <w:ind w:left="851"/>
        <w:jc w:val="left"/>
        <w:rPr>
          <w:rFonts w:hint="default"/>
        </w:rPr>
      </w:pPr>
      <w:r w:rsidRPr="00775168">
        <w:t xml:space="preserve">C. serum Cr </w:t>
      </w:r>
      <w:r w:rsidRPr="00775168">
        <w:t>≤</w:t>
      </w:r>
      <w:r w:rsidRPr="00775168">
        <w:t xml:space="preserve"> 1.25 </w:t>
      </w:r>
      <w:r w:rsidRPr="00775168">
        <w:sym w:font="Symbol" w:char="F0B4"/>
      </w:r>
      <w:r w:rsidRPr="00775168">
        <w:t xml:space="preserve">ULN or endogenous creatinine clearance &gt; 45 ml/min (Cockcroft-Gault formula); </w:t>
      </w:r>
    </w:p>
    <w:p w:rsidR="00743320" w:rsidRPr="00775168" w:rsidRDefault="00DF7F26" w:rsidP="000E7B9C">
      <w:pPr>
        <w:pStyle w:val="P68B1DB1-a033"/>
        <w:numPr>
          <w:ilvl w:val="1"/>
          <w:numId w:val="39"/>
        </w:numPr>
        <w:adjustRightInd w:val="0"/>
        <w:snapToGrid w:val="0"/>
        <w:spacing w:line="360" w:lineRule="auto"/>
        <w:ind w:left="851" w:hanging="851"/>
        <w:jc w:val="left"/>
      </w:pPr>
      <w:r w:rsidRPr="00775168">
        <w:rPr>
          <w:rFonts w:hint="eastAsia"/>
        </w:rPr>
        <w:t xml:space="preserve">Women of childbearing potential must have used reliable contraception and had a negative pregnancy test (serum or urine) within 14 days before enrollment and be willing to use an appropriate method of contraception during the trial and for 8 weeks after administration of the trial drug. For men, agree to use an appropriate method of contraception or have been surgically sterilized during the trial and for 8 weeks after receiving study drug; </w:t>
      </w:r>
    </w:p>
    <w:p w:rsidR="00743320" w:rsidRPr="00775168" w:rsidRDefault="00743320">
      <w:pPr>
        <w:spacing w:line="420" w:lineRule="atLeast"/>
        <w:rPr>
          <w:sz w:val="24"/>
        </w:rPr>
      </w:pPr>
    </w:p>
    <w:p w:rsidR="00743320" w:rsidRPr="00775168" w:rsidRDefault="00DF7F26">
      <w:pPr>
        <w:pStyle w:val="P68B1DB1-265"/>
        <w:rPr>
          <w:rFonts w:ascii="Times New Roman" w:eastAsia="宋体" w:hAnsi="Times New Roman" w:cs="Times New Roman"/>
        </w:rPr>
      </w:pPr>
      <w:bookmarkStart w:id="134" w:name="_Toc178589674"/>
      <w:bookmarkStart w:id="135" w:name="_Toc430282292"/>
      <w:bookmarkStart w:id="136" w:name="_Toc512940942"/>
      <w:bookmarkStart w:id="137" w:name="_Toc512941698"/>
      <w:r w:rsidRPr="00775168">
        <w:rPr>
          <w:rFonts w:ascii="Times New Roman" w:eastAsia="宋体" w:hAnsi="Times New Roman" w:cs="宋体"/>
        </w:rPr>
        <w:t>4.2 Exclusion Criteria:</w:t>
      </w:r>
      <w:bookmarkEnd w:id="134"/>
      <w:r w:rsidRPr="00775168">
        <w:rPr>
          <w:rFonts w:ascii="Times New Roman" w:eastAsia="宋体" w:hAnsi="Times New Roman" w:cs="宋体"/>
        </w:rPr>
        <w:t xml:space="preserve"> </w:t>
      </w:r>
      <w:bookmarkEnd w:id="135"/>
      <w:bookmarkEnd w:id="136"/>
      <w:bookmarkEnd w:id="137"/>
    </w:p>
    <w:p w:rsidR="00743320" w:rsidRPr="00775168" w:rsidRDefault="00DF7F26" w:rsidP="00BE170A">
      <w:pPr>
        <w:pStyle w:val="P68B1DB1-a033"/>
        <w:numPr>
          <w:ilvl w:val="1"/>
          <w:numId w:val="40"/>
        </w:numPr>
        <w:adjustRightInd w:val="0"/>
        <w:snapToGrid w:val="0"/>
        <w:spacing w:line="360" w:lineRule="auto"/>
        <w:ind w:left="851" w:hanging="851"/>
        <w:jc w:val="left"/>
      </w:pPr>
      <w:bookmarkStart w:id="138" w:name="_Toc292713363"/>
      <w:bookmarkStart w:id="139" w:name="_Toc430282293"/>
      <w:r w:rsidRPr="00775168">
        <w:t xml:space="preserve">Small cell lung cancer (including mixed small cell lung cancer and non-small cell lung cancer); </w:t>
      </w:r>
    </w:p>
    <w:p w:rsidR="00743320" w:rsidRPr="00775168" w:rsidRDefault="00DF7F26" w:rsidP="00BE170A">
      <w:pPr>
        <w:pStyle w:val="P68B1DB1-a033"/>
        <w:numPr>
          <w:ilvl w:val="1"/>
          <w:numId w:val="40"/>
        </w:numPr>
        <w:adjustRightInd w:val="0"/>
        <w:snapToGrid w:val="0"/>
        <w:spacing w:line="360" w:lineRule="auto"/>
        <w:ind w:left="851" w:hanging="851"/>
        <w:jc w:val="left"/>
      </w:pPr>
      <w:r w:rsidRPr="00775168">
        <w:t xml:space="preserve">Patients with primary resistance to EGFR-TKIs (treatment time &lt; 3 months); </w:t>
      </w:r>
    </w:p>
    <w:p w:rsidR="00743320" w:rsidRPr="00775168" w:rsidRDefault="007A5033" w:rsidP="00BE170A">
      <w:pPr>
        <w:pStyle w:val="P68B1DB1-a033"/>
        <w:numPr>
          <w:ilvl w:val="1"/>
          <w:numId w:val="40"/>
        </w:numPr>
        <w:adjustRightInd w:val="0"/>
        <w:snapToGrid w:val="0"/>
        <w:spacing w:line="360" w:lineRule="auto"/>
        <w:ind w:left="851" w:hanging="851"/>
        <w:jc w:val="left"/>
      </w:pPr>
      <w:r w:rsidRPr="00775168">
        <w:t>After treatment with</w:t>
      </w:r>
      <w:r w:rsidR="00DF7F26" w:rsidRPr="00775168">
        <w:t xml:space="preserve"> EGFR-TKIs, patients with </w:t>
      </w:r>
      <w:r w:rsidR="005524E2" w:rsidRPr="00775168">
        <w:t>dramatic</w:t>
      </w:r>
      <w:r w:rsidR="00DF7F26" w:rsidRPr="00775168">
        <w:t xml:space="preserve"> progression. (</w:t>
      </w:r>
      <w:r w:rsidR="003A58EF" w:rsidRPr="00775168">
        <w:t>Dramatic</w:t>
      </w:r>
      <w:r w:rsidR="00DF7F26" w:rsidRPr="00775168">
        <w:t xml:space="preserve"> progression was defined as disease control for ≥ 3 months, rapid clinical deterioration, marked progression of target lesions compared with previous evaluation, and a tumor burden score &gt; 2); </w:t>
      </w:r>
    </w:p>
    <w:p w:rsidR="00743320" w:rsidRPr="00775168" w:rsidRDefault="00BE170A" w:rsidP="00BE170A">
      <w:pPr>
        <w:pStyle w:val="P68B1DB1-a024"/>
        <w:adjustRightInd w:val="0"/>
        <w:snapToGrid w:val="0"/>
        <w:spacing w:line="360" w:lineRule="auto"/>
        <w:ind w:left="851"/>
        <w:jc w:val="left"/>
        <w:rPr>
          <w:rFonts w:hint="default"/>
        </w:rPr>
      </w:pPr>
      <w:r>
        <w:t>Symptom score</w:t>
      </w:r>
      <w:r>
        <w:rPr>
          <w:rFonts w:hint="default"/>
        </w:rPr>
        <w:t>:</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701"/>
        <w:gridCol w:w="1417"/>
      </w:tblGrid>
      <w:tr w:rsidR="00743320" w:rsidRPr="00775168">
        <w:trPr>
          <w:jc w:val="center"/>
        </w:trPr>
        <w:tc>
          <w:tcPr>
            <w:tcW w:w="1271"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rPr>
                <w:rFonts w:hint="default"/>
              </w:rPr>
            </w:pPr>
            <w:r w:rsidRPr="00775168">
              <w:t xml:space="preserve">Evaluation Criteria </w:t>
            </w:r>
          </w:p>
        </w:tc>
        <w:tc>
          <w:tcPr>
            <w:tcW w:w="1276"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No symptoms </w:t>
            </w:r>
          </w:p>
        </w:tc>
        <w:tc>
          <w:tcPr>
            <w:tcW w:w="1701"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No change in symptoms </w:t>
            </w:r>
          </w:p>
        </w:tc>
        <w:tc>
          <w:tcPr>
            <w:tcW w:w="1417"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Worsening of </w:t>
            </w:r>
            <w:r w:rsidRPr="00775168">
              <w:lastRenderedPageBreak/>
              <w:t xml:space="preserve">symptoms </w:t>
            </w:r>
          </w:p>
        </w:tc>
      </w:tr>
      <w:tr w:rsidR="00743320" w:rsidRPr="00775168">
        <w:trPr>
          <w:jc w:val="center"/>
        </w:trPr>
        <w:tc>
          <w:tcPr>
            <w:tcW w:w="1271"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rPr>
                <w:rFonts w:hint="default"/>
              </w:rPr>
            </w:pPr>
            <w:r w:rsidRPr="00775168">
              <w:lastRenderedPageBreak/>
              <w:t xml:space="preserve">Score </w:t>
            </w:r>
          </w:p>
        </w:tc>
        <w:tc>
          <w:tcPr>
            <w:tcW w:w="1276"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33"/>
              <w:spacing w:line="360" w:lineRule="auto"/>
              <w:jc w:val="center"/>
            </w:pPr>
            <w:r w:rsidRPr="00775168">
              <w:t xml:space="preserve">0 </w:t>
            </w:r>
          </w:p>
        </w:tc>
        <w:tc>
          <w:tcPr>
            <w:tcW w:w="1701"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33"/>
              <w:spacing w:line="360" w:lineRule="auto"/>
              <w:jc w:val="center"/>
            </w:pPr>
            <w:r w:rsidRPr="00775168">
              <w:t xml:space="preserve">1 </w:t>
            </w:r>
          </w:p>
        </w:tc>
        <w:tc>
          <w:tcPr>
            <w:tcW w:w="1417"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33"/>
              <w:spacing w:line="360" w:lineRule="auto"/>
              <w:jc w:val="center"/>
            </w:pPr>
            <w:r w:rsidRPr="00775168">
              <w:t xml:space="preserve">2 </w:t>
            </w:r>
          </w:p>
        </w:tc>
      </w:tr>
    </w:tbl>
    <w:p w:rsidR="00743320" w:rsidRPr="00775168" w:rsidRDefault="00DF7F26" w:rsidP="00BE170A">
      <w:pPr>
        <w:pStyle w:val="P68B1DB1-a024"/>
        <w:adjustRightInd w:val="0"/>
        <w:snapToGrid w:val="0"/>
        <w:spacing w:line="360" w:lineRule="auto"/>
        <w:ind w:left="851"/>
        <w:jc w:val="left"/>
        <w:rPr>
          <w:rFonts w:hint="default"/>
        </w:rPr>
      </w:pPr>
      <w:r w:rsidRPr="00775168">
        <w:t>Tumor burden score (represented by non-target lesions, cumulative score)</w:t>
      </w:r>
      <w:r w:rsidR="00BE170A">
        <w:rPr>
          <w:rFonts w:hint="default"/>
        </w:rPr>
        <w:t>:</w:t>
      </w:r>
      <w:r w:rsidRPr="00775168">
        <w:t xml:space="preserve"> </w:t>
      </w:r>
    </w:p>
    <w:tbl>
      <w:tblPr>
        <w:tblW w:w="5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0"/>
        <w:gridCol w:w="955"/>
        <w:gridCol w:w="1276"/>
        <w:gridCol w:w="1276"/>
        <w:gridCol w:w="1134"/>
      </w:tblGrid>
      <w:tr w:rsidR="00743320" w:rsidRPr="00775168">
        <w:trPr>
          <w:jc w:val="center"/>
        </w:trPr>
        <w:tc>
          <w:tcPr>
            <w:tcW w:w="1030"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Evaluation </w:t>
            </w:r>
          </w:p>
          <w:p w:rsidR="00743320" w:rsidRPr="00775168" w:rsidRDefault="00DF7F26">
            <w:pPr>
              <w:pStyle w:val="P68B1DB1-a09"/>
              <w:spacing w:line="360" w:lineRule="auto"/>
              <w:jc w:val="center"/>
              <w:rPr>
                <w:rFonts w:hint="default"/>
              </w:rPr>
            </w:pPr>
            <w:r w:rsidRPr="00775168">
              <w:t xml:space="preserve">Standard </w:t>
            </w:r>
          </w:p>
        </w:tc>
        <w:tc>
          <w:tcPr>
            <w:tcW w:w="955"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Progression of non-target lesions </w:t>
            </w:r>
          </w:p>
        </w:tc>
        <w:tc>
          <w:tcPr>
            <w:tcW w:w="1276"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New intrathoracic lesions </w:t>
            </w:r>
          </w:p>
        </w:tc>
        <w:tc>
          <w:tcPr>
            <w:tcW w:w="1276"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New extrathoracic lesion </w:t>
            </w:r>
          </w:p>
        </w:tc>
        <w:tc>
          <w:tcPr>
            <w:tcW w:w="1134"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Malignant pleural effusion </w:t>
            </w:r>
          </w:p>
        </w:tc>
      </w:tr>
      <w:tr w:rsidR="00743320" w:rsidRPr="00775168">
        <w:trPr>
          <w:jc w:val="center"/>
        </w:trPr>
        <w:tc>
          <w:tcPr>
            <w:tcW w:w="1030"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9"/>
              <w:spacing w:line="360" w:lineRule="auto"/>
              <w:jc w:val="center"/>
              <w:rPr>
                <w:rFonts w:hint="default"/>
              </w:rPr>
            </w:pPr>
            <w:r w:rsidRPr="00775168">
              <w:t xml:space="preserve">Score </w:t>
            </w:r>
          </w:p>
        </w:tc>
        <w:tc>
          <w:tcPr>
            <w:tcW w:w="955"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33"/>
              <w:spacing w:line="360" w:lineRule="auto"/>
              <w:jc w:val="center"/>
            </w:pPr>
            <w:r w:rsidRPr="00775168">
              <w:t xml:space="preserve">1 </w:t>
            </w:r>
          </w:p>
        </w:tc>
        <w:tc>
          <w:tcPr>
            <w:tcW w:w="1276"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33"/>
              <w:spacing w:line="360" w:lineRule="auto"/>
              <w:jc w:val="center"/>
            </w:pPr>
            <w:r w:rsidRPr="00775168">
              <w:t xml:space="preserve">1 </w:t>
            </w:r>
          </w:p>
        </w:tc>
        <w:tc>
          <w:tcPr>
            <w:tcW w:w="1276"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33"/>
              <w:spacing w:line="360" w:lineRule="auto"/>
              <w:jc w:val="center"/>
            </w:pPr>
            <w:r w:rsidRPr="00775168">
              <w:t xml:space="preserve">1 </w:t>
            </w:r>
          </w:p>
        </w:tc>
        <w:tc>
          <w:tcPr>
            <w:tcW w:w="1134" w:type="dxa"/>
            <w:tcBorders>
              <w:top w:val="single" w:sz="4" w:space="0" w:color="auto"/>
              <w:left w:val="single" w:sz="4" w:space="0" w:color="auto"/>
              <w:bottom w:val="single" w:sz="4" w:space="0" w:color="auto"/>
              <w:right w:val="single" w:sz="4" w:space="0" w:color="auto"/>
            </w:tcBorders>
          </w:tcPr>
          <w:p w:rsidR="00743320" w:rsidRPr="00775168" w:rsidRDefault="00DF7F26">
            <w:pPr>
              <w:pStyle w:val="P68B1DB1-a033"/>
              <w:spacing w:line="360" w:lineRule="auto"/>
              <w:jc w:val="center"/>
            </w:pPr>
            <w:r w:rsidRPr="00775168">
              <w:t xml:space="preserve">1 </w:t>
            </w:r>
          </w:p>
        </w:tc>
      </w:tr>
    </w:tbl>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Imaging (CT or MRI) scan showing tumor </w:t>
      </w:r>
      <w:r w:rsidRPr="00775168">
        <w:t>≤</w:t>
      </w:r>
      <w:r w:rsidRPr="00775168">
        <w:t xml:space="preserve"> 5 mm away from major blood vessels, or presence of central tumor invading local major blood vessels; or presence of significant pulmonary cavitary or necrotic tumor;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Patients with active brain metastases, carcinomatous meningitis, spinal cord compression, or brain or leptomeningeal disease found by imaging CT or MRI at screening (patients with stable brain metastases who have completed treatment 14 days before enrollment can be confirmed as having no symptoms of cerebral hemorrhage by brain MRI, CT or venography evaluation);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Uncontrolled hypertension (systolic blood pressure </w:t>
      </w:r>
      <w:r w:rsidRPr="00775168">
        <w:t>≥</w:t>
      </w:r>
      <w:r w:rsidRPr="00775168">
        <w:t xml:space="preserve"> 140 mmHg or diastolic blood pressure </w:t>
      </w:r>
      <w:r w:rsidRPr="00775168">
        <w:t>≥</w:t>
      </w:r>
      <w:r w:rsidRPr="00775168">
        <w:t xml:space="preserve"> 90 mmHg despite optimal medical therapy);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Patient is participating in another clinical study or less than 4 weeks have elapsed since the end of treatment in the previous clinical study; </w:t>
      </w:r>
    </w:p>
    <w:p w:rsidR="00743320" w:rsidRPr="00775168" w:rsidRDefault="00DF7F26" w:rsidP="00BE170A">
      <w:pPr>
        <w:pStyle w:val="P68B1DB1-a09"/>
        <w:numPr>
          <w:ilvl w:val="1"/>
          <w:numId w:val="41"/>
        </w:numPr>
        <w:adjustRightInd w:val="0"/>
        <w:snapToGrid w:val="0"/>
        <w:spacing w:line="360" w:lineRule="auto"/>
        <w:ind w:left="851" w:hanging="851"/>
        <w:jc w:val="left"/>
        <w:rPr>
          <w:rFonts w:hint="default"/>
        </w:rPr>
      </w:pPr>
      <w:r w:rsidRPr="00775168">
        <w:t xml:space="preserve">Other active malignancies requiring concurrent treatment;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History of malignancy. Patients with cutaneous basal cell carcinoma, superficial bladder cancer, cutaneous squamous cell carcinoma, or cervical carcinoma in situ who have undergone potentially curative therapy and who have not had disease recurrence within 5 years from the start of therapy;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Patients with anti-tumor treatment-related adverse reactions (except alopecia) not recovered to NCI-CTCAE </w:t>
      </w:r>
      <w:r w:rsidRPr="00775168">
        <w:t>≤</w:t>
      </w:r>
      <w:r w:rsidRPr="00775168">
        <w:t xml:space="preserve"> grade 1 after previous systemic anti-tumor treatment;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Abnormal coagulation function (INR &gt; 1.5 or prothrombin time (PT) &gt; ULN + 4 seconds or APTT &gt; 1.5 ULN), bleeding tendency or receiving thrombolytic or anticoagulant therapy; </w:t>
      </w:r>
    </w:p>
    <w:p w:rsidR="00743320" w:rsidRPr="00775168" w:rsidRDefault="00DF7F26">
      <w:pPr>
        <w:pStyle w:val="P68B1DB1-a024"/>
        <w:tabs>
          <w:tab w:val="left" w:pos="720"/>
        </w:tabs>
        <w:adjustRightInd w:val="0"/>
        <w:snapToGrid w:val="0"/>
        <w:spacing w:line="360" w:lineRule="auto"/>
        <w:ind w:left="851"/>
        <w:jc w:val="left"/>
        <w:rPr>
          <w:rFonts w:hint="default"/>
        </w:rPr>
      </w:pPr>
      <w:r w:rsidRPr="00775168">
        <w:t xml:space="preserve">Note: Under the premise of prothrombin time international normalized ratio (INR) </w:t>
      </w:r>
      <w:r w:rsidRPr="00775168">
        <w:t>≤</w:t>
      </w:r>
      <w:r w:rsidRPr="00775168">
        <w:t xml:space="preserve"> 1.5, low-dose heparin (daily dosage for adults: 60,000 ~ 12,000 U) or low-dose aspirin (daily dosage </w:t>
      </w:r>
      <w:r w:rsidRPr="00775168">
        <w:t>≤</w:t>
      </w:r>
      <w:r w:rsidRPr="00775168">
        <w:t xml:space="preserve"> 100 mg) is allowed for prevention purpose;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Renal insufficiency: urine routine showed urine protein </w:t>
      </w:r>
      <w:r w:rsidRPr="00775168">
        <w:t>≥</w:t>
      </w:r>
      <w:r w:rsidRPr="00775168">
        <w:t xml:space="preserve"> + +, or confirmed 24 h urine </w:t>
      </w:r>
      <w:r w:rsidRPr="00775168">
        <w:lastRenderedPageBreak/>
        <w:t xml:space="preserve">protein </w:t>
      </w:r>
      <w:r w:rsidRPr="00775168">
        <w:t>≥</w:t>
      </w:r>
      <w:r w:rsidRPr="00775168">
        <w:t xml:space="preserve"> 1.0g;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The effect of surgery or trauma has been eliminated for less than 14 days in subjects with major surgery or severe trauma; </w:t>
      </w:r>
    </w:p>
    <w:p w:rsidR="00743320" w:rsidRPr="00775168" w:rsidRDefault="00DF7F26" w:rsidP="00BE170A">
      <w:pPr>
        <w:pStyle w:val="P68B1DB1-a09"/>
        <w:numPr>
          <w:ilvl w:val="1"/>
          <w:numId w:val="41"/>
        </w:numPr>
        <w:adjustRightInd w:val="0"/>
        <w:snapToGrid w:val="0"/>
        <w:spacing w:line="360" w:lineRule="auto"/>
        <w:ind w:left="851" w:hanging="851"/>
        <w:jc w:val="left"/>
        <w:rPr>
          <w:rFonts w:hint="default"/>
        </w:rPr>
      </w:pPr>
      <w:r w:rsidRPr="00775168">
        <w:t xml:space="preserve">Serious acute or chronic infections requiring systemic treatment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Patients with severe cardiovascular diseases: myocardial ischemia or myocardial infarction above grade II, poorly controlled arrhythmia (including QTc interval </w:t>
      </w:r>
      <w:r w:rsidRPr="00775168">
        <w:t>≥</w:t>
      </w:r>
      <w:r w:rsidRPr="00775168">
        <w:t xml:space="preserve"> 450 ms for males and </w:t>
      </w:r>
      <w:r w:rsidRPr="00775168">
        <w:t>≥</w:t>
      </w:r>
      <w:r w:rsidRPr="00775168">
        <w:t xml:space="preserve"> 470 ms for females); according to NYHA criteria, grade III-IV cardiac insufficiency, or cardiac color ultrasound examination showed that the score (LVEF) was &lt; 50%;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Current peripheral neuropathy </w:t>
      </w:r>
      <w:r w:rsidRPr="00775168">
        <w:t>≥</w:t>
      </w:r>
      <w:r w:rsidRPr="00775168">
        <w:t xml:space="preserve"> CTCAE Grade 2, except for trauma;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Respiratory syndrome (</w:t>
      </w:r>
      <w:r w:rsidRPr="00775168">
        <w:t>≥</w:t>
      </w:r>
      <w:r w:rsidRPr="00775168">
        <w:t xml:space="preserve"> CTC AE Grade 2 dyspnea), serous effusion requiring surgical treatment (including pleural effusion, ascites and pericardial effusion); </w:t>
      </w:r>
    </w:p>
    <w:p w:rsidR="00743320" w:rsidRPr="00775168" w:rsidRDefault="00DF7F26" w:rsidP="00BE170A">
      <w:pPr>
        <w:pStyle w:val="P68B1DB1-a09"/>
        <w:numPr>
          <w:ilvl w:val="1"/>
          <w:numId w:val="41"/>
        </w:numPr>
        <w:adjustRightInd w:val="0"/>
        <w:snapToGrid w:val="0"/>
        <w:spacing w:line="360" w:lineRule="auto"/>
        <w:ind w:left="851" w:hanging="851"/>
        <w:jc w:val="left"/>
        <w:rPr>
          <w:rFonts w:hint="default"/>
        </w:rPr>
      </w:pPr>
      <w:r w:rsidRPr="00775168">
        <w:t xml:space="preserve">Wounds or fractures that have not been healed for a long time; </w:t>
      </w:r>
    </w:p>
    <w:p w:rsidR="00743320" w:rsidRPr="00775168" w:rsidRDefault="00DF7F26" w:rsidP="00BE170A">
      <w:pPr>
        <w:pStyle w:val="P68B1DB1-a09"/>
        <w:numPr>
          <w:ilvl w:val="1"/>
          <w:numId w:val="41"/>
        </w:numPr>
        <w:adjustRightInd w:val="0"/>
        <w:snapToGrid w:val="0"/>
        <w:spacing w:line="360" w:lineRule="auto"/>
        <w:ind w:left="851" w:hanging="851"/>
        <w:jc w:val="left"/>
        <w:rPr>
          <w:rFonts w:hint="default"/>
        </w:rPr>
      </w:pPr>
      <w:r w:rsidRPr="00775168">
        <w:t xml:space="preserve">Decompensated diabetes or other contraindications to high-dose glucocorticoid therapy; </w:t>
      </w:r>
    </w:p>
    <w:p w:rsidR="00743320" w:rsidRPr="00775168" w:rsidRDefault="00DF7F26" w:rsidP="00BE170A">
      <w:pPr>
        <w:pStyle w:val="P68B1DB1-a09"/>
        <w:numPr>
          <w:ilvl w:val="1"/>
          <w:numId w:val="41"/>
        </w:numPr>
        <w:adjustRightInd w:val="0"/>
        <w:snapToGrid w:val="0"/>
        <w:spacing w:line="360" w:lineRule="auto"/>
        <w:ind w:left="851" w:hanging="851"/>
        <w:jc w:val="left"/>
        <w:rPr>
          <w:rFonts w:hint="default"/>
        </w:rPr>
      </w:pPr>
      <w:r w:rsidRPr="00775168">
        <w:t xml:space="preserve">Patients with the factors significantly affecting the absorption of oral drugs, such as inability to swallow, chronic diarrhea and intestinal obstruction; </w:t>
      </w:r>
    </w:p>
    <w:p w:rsidR="00743320" w:rsidRPr="00775168" w:rsidRDefault="00DF7F26" w:rsidP="00BE170A">
      <w:pPr>
        <w:pStyle w:val="P68B1DB1-a024"/>
        <w:numPr>
          <w:ilvl w:val="1"/>
          <w:numId w:val="41"/>
        </w:numPr>
        <w:adjustRightInd w:val="0"/>
        <w:snapToGrid w:val="0"/>
        <w:spacing w:line="360" w:lineRule="auto"/>
        <w:ind w:left="851" w:hanging="851"/>
        <w:jc w:val="left"/>
        <w:rPr>
          <w:rFonts w:hint="default"/>
        </w:rPr>
      </w:pPr>
      <w:r w:rsidRPr="00775168">
        <w:t xml:space="preserve">Clinically significant hemoptysis (with daily hemoptysis greater than 50ml) or clinically significant bleeding symptoms or definite bleeding tendency such as gastrointestinal bleeding, hemorrhagic gastric ulcer, baseline fecal occult blood + + and above, or vasculitis within 3 months before enrollment; </w:t>
      </w:r>
    </w:p>
    <w:p w:rsidR="00743320" w:rsidRPr="00775168" w:rsidRDefault="00DF7F26" w:rsidP="00BE170A">
      <w:pPr>
        <w:pStyle w:val="P68B1DB1-a033"/>
        <w:numPr>
          <w:ilvl w:val="1"/>
          <w:numId w:val="41"/>
        </w:numPr>
        <w:adjustRightInd w:val="0"/>
        <w:snapToGrid w:val="0"/>
        <w:spacing w:line="360" w:lineRule="auto"/>
        <w:ind w:left="851" w:hanging="851"/>
        <w:jc w:val="left"/>
      </w:pPr>
      <w:r w:rsidRPr="00775168">
        <w:rPr>
          <w:rFonts w:hint="eastAsia"/>
        </w:rPr>
        <w:t xml:space="preserve">Arterial/venous thrombotic events occurred within 6 months before enrollment, such as cerebrovascular accident (including transient ischemic attack, cerebral hemorrhage, cerebral infarction), deep venous thrombosis and pulmonary embolism; </w:t>
      </w:r>
    </w:p>
    <w:p w:rsidR="00743320" w:rsidRPr="00775168" w:rsidRDefault="005524E2" w:rsidP="00BE170A">
      <w:pPr>
        <w:pStyle w:val="P68B1DB1-a033"/>
        <w:numPr>
          <w:ilvl w:val="1"/>
          <w:numId w:val="41"/>
        </w:numPr>
        <w:adjustRightInd w:val="0"/>
        <w:snapToGrid w:val="0"/>
        <w:spacing w:line="360" w:lineRule="auto"/>
        <w:ind w:left="851" w:hanging="851"/>
        <w:jc w:val="left"/>
      </w:pPr>
      <w:r w:rsidRPr="00775168">
        <w:t>Participation in a clinical trial of anti-tumor agent within 4 weeks prior to enrollment or planned systemic anti-tumor therapy, including cytotoxic therapies, signaling inhibitors, immunotherapies (or mitomycin C within 6 weeks prior to treatment with the investigational agent) within 4 weeks prior to enrollment or planned systemic anti-tumor therapy within 4 weeks prior to enrollment or during the current study period of dosing. Expanded field radiotherapy (EF-RT) within 4 weeks prior to subgrouping or field-limited radiotherapy within 2 weeks prior to subgrouping for the proposed evaluation of tumor lesions</w:t>
      </w:r>
      <w:r w:rsidR="00DF7F26" w:rsidRPr="00775168">
        <w:t xml:space="preserve">; </w:t>
      </w:r>
    </w:p>
    <w:p w:rsidR="00743320" w:rsidRPr="00775168" w:rsidRDefault="00223BDB" w:rsidP="00BE170A">
      <w:pPr>
        <w:pStyle w:val="P68B1DB1-a09"/>
        <w:numPr>
          <w:ilvl w:val="1"/>
          <w:numId w:val="41"/>
        </w:numPr>
        <w:adjustRightInd w:val="0"/>
        <w:snapToGrid w:val="0"/>
        <w:spacing w:line="360" w:lineRule="auto"/>
        <w:ind w:left="851" w:hanging="851"/>
        <w:jc w:val="left"/>
        <w:rPr>
          <w:rFonts w:hint="default"/>
        </w:rPr>
      </w:pPr>
      <w:r>
        <w:rPr>
          <w:rFonts w:hint="default"/>
        </w:rPr>
        <w:t>L</w:t>
      </w:r>
      <w:r w:rsidR="00DF7F26" w:rsidRPr="00775168">
        <w:t xml:space="preserve">aboratory findings </w:t>
      </w:r>
    </w:p>
    <w:p w:rsidR="00743320" w:rsidRPr="00775168" w:rsidRDefault="00DF7F26">
      <w:pPr>
        <w:pStyle w:val="P68B1DB1-a024"/>
        <w:tabs>
          <w:tab w:val="left" w:pos="720"/>
        </w:tabs>
        <w:adjustRightInd w:val="0"/>
        <w:snapToGrid w:val="0"/>
        <w:spacing w:line="360" w:lineRule="auto"/>
        <w:ind w:left="851"/>
        <w:jc w:val="left"/>
        <w:rPr>
          <w:rFonts w:hint="default"/>
        </w:rPr>
      </w:pPr>
      <w:r w:rsidRPr="00775168">
        <w:t xml:space="preserve">Untreated active hepatitis (hepatitis B: HBsAg positive and HBV DNA </w:t>
      </w:r>
      <w:r w:rsidRPr="00775168">
        <w:t>≥</w:t>
      </w:r>
      <w:r w:rsidRPr="00775168">
        <w:t xml:space="preserve"> 500 IU/mL; hepatitis C: HCV RNA positive and abnormal liver function); with hepatitis B and C co-infection; </w:t>
      </w:r>
    </w:p>
    <w:p w:rsidR="00743320" w:rsidRPr="00775168" w:rsidRDefault="00DF7F26" w:rsidP="00BE170A">
      <w:pPr>
        <w:pStyle w:val="P68B1DB1-a09"/>
        <w:numPr>
          <w:ilvl w:val="1"/>
          <w:numId w:val="41"/>
        </w:numPr>
        <w:adjustRightInd w:val="0"/>
        <w:snapToGrid w:val="0"/>
        <w:spacing w:line="360" w:lineRule="auto"/>
        <w:ind w:left="851" w:hanging="851"/>
        <w:jc w:val="left"/>
        <w:rPr>
          <w:rFonts w:hint="default"/>
        </w:rPr>
      </w:pPr>
      <w:r w:rsidRPr="00775168">
        <w:t xml:space="preserve">The investigator considers that the patient may have other factors that may cause the study to </w:t>
      </w:r>
      <w:r w:rsidRPr="00775168">
        <w:lastRenderedPageBreak/>
        <w:t xml:space="preserve">be terminated, such as other serious diseases or severe laboratory abnormalities or accompanied by other factors that may affect the safety of the subjects, or family or social factors for the collection of study data and samples; </w:t>
      </w:r>
    </w:p>
    <w:p w:rsidR="00743320" w:rsidRPr="00775168" w:rsidRDefault="00DF7F26">
      <w:pPr>
        <w:pStyle w:val="P68B1DB1-265"/>
        <w:rPr>
          <w:rFonts w:ascii="Times New Roman" w:eastAsia="宋体" w:hAnsi="Times New Roman" w:cs="Times New Roman"/>
        </w:rPr>
      </w:pPr>
      <w:bookmarkStart w:id="140" w:name="_Toc178589675"/>
      <w:bookmarkStart w:id="141" w:name="_Toc512940943"/>
      <w:bookmarkStart w:id="142" w:name="_Toc512941699"/>
      <w:r w:rsidRPr="00775168">
        <w:rPr>
          <w:rFonts w:ascii="Times New Roman" w:eastAsia="宋体" w:hAnsi="Times New Roman" w:cs="宋体"/>
        </w:rPr>
        <w:t>4.3 Dropout/Removal Criteria</w:t>
      </w:r>
      <w:bookmarkEnd w:id="140"/>
      <w:r w:rsidRPr="00775168">
        <w:rPr>
          <w:rFonts w:ascii="Times New Roman" w:eastAsia="宋体" w:hAnsi="Times New Roman" w:cs="宋体"/>
        </w:rPr>
        <w:t xml:space="preserve"> </w:t>
      </w:r>
      <w:bookmarkEnd w:id="138"/>
      <w:bookmarkEnd w:id="139"/>
      <w:bookmarkEnd w:id="141"/>
      <w:bookmarkEnd w:id="142"/>
    </w:p>
    <w:p w:rsidR="00743320" w:rsidRPr="00775168" w:rsidRDefault="00DF7F26">
      <w:pPr>
        <w:pStyle w:val="P68B1DB1-1575"/>
        <w:numPr>
          <w:ilvl w:val="0"/>
          <w:numId w:val="15"/>
        </w:numPr>
        <w:spacing w:line="360" w:lineRule="auto"/>
        <w:ind w:firstLineChars="0"/>
        <w:rPr>
          <w:rFonts w:hAnsi="Times New Roman" w:hint="default"/>
        </w:rPr>
      </w:pPr>
      <w:r w:rsidRPr="00775168">
        <w:rPr>
          <w:rFonts w:hAnsi="Times New Roman"/>
        </w:rPr>
        <w:t xml:space="preserve">Those who do not meet the requirements; </w:t>
      </w:r>
    </w:p>
    <w:p w:rsidR="00743320" w:rsidRPr="00775168" w:rsidRDefault="00DF7F26">
      <w:pPr>
        <w:pStyle w:val="P68B1DB1-1576"/>
        <w:numPr>
          <w:ilvl w:val="0"/>
          <w:numId w:val="15"/>
        </w:numPr>
        <w:spacing w:line="360" w:lineRule="auto"/>
        <w:ind w:firstLineChars="0"/>
        <w:rPr>
          <w:rFonts w:hAnsi="Times New Roman" w:hint="default"/>
        </w:rPr>
      </w:pPr>
      <w:r w:rsidRPr="00775168">
        <w:rPr>
          <w:rFonts w:hAnsi="Times New Roman"/>
        </w:rPr>
        <w:t xml:space="preserve">Efficacy evaluation cannot be performed or safety evaluation cannot be performed without taking 1 dose; </w:t>
      </w:r>
    </w:p>
    <w:p w:rsidR="00743320" w:rsidRPr="00775168" w:rsidRDefault="00DF7F26">
      <w:pPr>
        <w:pStyle w:val="P68B1DB1-1576"/>
        <w:numPr>
          <w:ilvl w:val="0"/>
          <w:numId w:val="15"/>
        </w:numPr>
        <w:spacing w:line="360" w:lineRule="auto"/>
        <w:ind w:firstLineChars="0"/>
        <w:rPr>
          <w:rFonts w:hAnsi="Times New Roman" w:hint="default"/>
        </w:rPr>
      </w:pPr>
      <w:r w:rsidRPr="00775168">
        <w:rPr>
          <w:rFonts w:hAnsi="Times New Roman"/>
        </w:rPr>
        <w:t xml:space="preserve">At the same time, modern traditional Chinese medicine preparations and immunomodulators approved by SFDA for the treatment of lung cancer were applied; </w:t>
      </w:r>
    </w:p>
    <w:p w:rsidR="00743320" w:rsidRPr="00775168" w:rsidRDefault="00DF7F26">
      <w:pPr>
        <w:pStyle w:val="P68B1DB1-1575"/>
        <w:numPr>
          <w:ilvl w:val="0"/>
          <w:numId w:val="15"/>
        </w:numPr>
        <w:spacing w:line="360" w:lineRule="auto"/>
        <w:ind w:firstLineChars="0"/>
        <w:rPr>
          <w:rFonts w:hAnsi="Times New Roman" w:hint="default"/>
        </w:rPr>
      </w:pPr>
      <w:r w:rsidRPr="00775168">
        <w:rPr>
          <w:rFonts w:hAnsi="Times New Roman"/>
        </w:rPr>
        <w:t xml:space="preserve">The drug was not administered according to the dose, method and course specified in the study protocol. </w:t>
      </w:r>
      <w:bookmarkStart w:id="143" w:name="_Toc292713364"/>
      <w:bookmarkStart w:id="144" w:name="_Toc430282294"/>
    </w:p>
    <w:p w:rsidR="00743320" w:rsidRPr="00775168" w:rsidRDefault="00DF7F26">
      <w:pPr>
        <w:pStyle w:val="P68B1DB1-265"/>
        <w:rPr>
          <w:rFonts w:ascii="Times New Roman" w:eastAsia="宋体" w:hAnsi="Times New Roman" w:cs="Times New Roman"/>
        </w:rPr>
      </w:pPr>
      <w:bookmarkStart w:id="145" w:name="_Toc178589676"/>
      <w:bookmarkStart w:id="146" w:name="_Toc512940944"/>
      <w:bookmarkStart w:id="147" w:name="_Toc512941700"/>
      <w:r w:rsidRPr="00775168">
        <w:rPr>
          <w:rFonts w:ascii="Times New Roman" w:eastAsia="宋体" w:hAnsi="Times New Roman" w:cs="宋体"/>
        </w:rPr>
        <w:t>4.4 Withdrawal of Subjects</w:t>
      </w:r>
      <w:bookmarkEnd w:id="145"/>
      <w:r w:rsidRPr="00775168">
        <w:rPr>
          <w:rFonts w:ascii="Times New Roman" w:eastAsia="宋体" w:hAnsi="Times New Roman" w:cs="宋体"/>
        </w:rPr>
        <w:t xml:space="preserve"> </w:t>
      </w:r>
      <w:bookmarkEnd w:id="146"/>
      <w:bookmarkEnd w:id="147"/>
    </w:p>
    <w:p w:rsidR="00743320" w:rsidRPr="00775168" w:rsidRDefault="00DF7F26">
      <w:pPr>
        <w:pStyle w:val="P68B1DB1-377"/>
        <w:rPr>
          <w:rFonts w:ascii="Times New Roman" w:hAnsi="Times New Roman" w:hint="default"/>
        </w:rPr>
      </w:pPr>
      <w:r w:rsidRPr="00775168">
        <w:rPr>
          <w:rFonts w:ascii="Times New Roman" w:hAnsi="Times New Roman"/>
        </w:rPr>
        <w:t xml:space="preserve">4.4.1 Withdrawal Criteria </w:t>
      </w:r>
    </w:p>
    <w:p w:rsidR="00743320" w:rsidRPr="00775168" w:rsidRDefault="00DF7F26">
      <w:pPr>
        <w:pStyle w:val="P68B1DB1-1575"/>
        <w:numPr>
          <w:ilvl w:val="0"/>
          <w:numId w:val="16"/>
        </w:numPr>
        <w:tabs>
          <w:tab w:val="left" w:pos="720"/>
        </w:tabs>
        <w:spacing w:line="360" w:lineRule="auto"/>
        <w:ind w:firstLineChars="0"/>
        <w:rPr>
          <w:rFonts w:hAnsi="Times New Roman" w:hint="default"/>
        </w:rPr>
      </w:pPr>
      <w:r w:rsidRPr="00775168">
        <w:rPr>
          <w:rFonts w:hAnsi="Times New Roman"/>
        </w:rPr>
        <w:t xml:space="preserve">The subject voluntarily withdraws the informed consent form at any time; </w:t>
      </w:r>
    </w:p>
    <w:p w:rsidR="00743320" w:rsidRPr="00775168" w:rsidRDefault="00DF7F26">
      <w:pPr>
        <w:pStyle w:val="P68B1DB1-1575"/>
        <w:numPr>
          <w:ilvl w:val="0"/>
          <w:numId w:val="16"/>
        </w:numPr>
        <w:tabs>
          <w:tab w:val="left" w:pos="720"/>
        </w:tabs>
        <w:spacing w:line="360" w:lineRule="auto"/>
        <w:ind w:firstLineChars="0"/>
        <w:rPr>
          <w:rFonts w:hAnsi="Times New Roman" w:hint="default"/>
        </w:rPr>
      </w:pPr>
      <w:r w:rsidRPr="00775168">
        <w:rPr>
          <w:rFonts w:hAnsi="Times New Roman"/>
        </w:rPr>
        <w:t xml:space="preserve">Medical imaging or clinical features indicate disease progression; </w:t>
      </w:r>
    </w:p>
    <w:p w:rsidR="00743320" w:rsidRPr="00775168" w:rsidRDefault="00DF7F26">
      <w:pPr>
        <w:pStyle w:val="P68B1DB1-1576"/>
        <w:numPr>
          <w:ilvl w:val="0"/>
          <w:numId w:val="16"/>
        </w:numPr>
        <w:tabs>
          <w:tab w:val="left" w:pos="720"/>
        </w:tabs>
        <w:spacing w:line="360" w:lineRule="auto"/>
        <w:ind w:firstLineChars="0"/>
        <w:rPr>
          <w:rFonts w:hAnsi="Times New Roman" w:hint="default"/>
        </w:rPr>
      </w:pPr>
      <w:r w:rsidRPr="00775168">
        <w:rPr>
          <w:rFonts w:hAnsi="Times New Roman"/>
        </w:rPr>
        <w:t xml:space="preserve">Patients who cannot tolerate the toxicity despite two dose reductions of Anlotinib or EGFR-TKIs; </w:t>
      </w:r>
    </w:p>
    <w:p w:rsidR="00743320" w:rsidRPr="00775168" w:rsidRDefault="00DF7F26">
      <w:pPr>
        <w:pStyle w:val="P68B1DB1-1575"/>
        <w:numPr>
          <w:ilvl w:val="0"/>
          <w:numId w:val="16"/>
        </w:numPr>
        <w:tabs>
          <w:tab w:val="left" w:pos="720"/>
        </w:tabs>
        <w:spacing w:line="360" w:lineRule="auto"/>
        <w:ind w:firstLineChars="0"/>
        <w:rPr>
          <w:rFonts w:hAnsi="Times New Roman" w:hint="default"/>
        </w:rPr>
      </w:pPr>
      <w:r w:rsidRPr="00775168">
        <w:rPr>
          <w:rFonts w:hAnsi="Times New Roman"/>
        </w:rPr>
        <w:t xml:space="preserve">The subject experiences a pregnancy event during the course of the study; </w:t>
      </w:r>
    </w:p>
    <w:p w:rsidR="00743320" w:rsidRPr="00775168" w:rsidRDefault="00DF7F26">
      <w:pPr>
        <w:pStyle w:val="P68B1DB1-1575"/>
        <w:numPr>
          <w:ilvl w:val="0"/>
          <w:numId w:val="16"/>
        </w:numPr>
        <w:tabs>
          <w:tab w:val="left" w:pos="720"/>
        </w:tabs>
        <w:spacing w:line="360" w:lineRule="auto"/>
        <w:ind w:firstLineChars="0"/>
        <w:rPr>
          <w:rFonts w:hAnsi="Times New Roman" w:hint="default"/>
        </w:rPr>
      </w:pPr>
      <w:r w:rsidRPr="00775168">
        <w:rPr>
          <w:rFonts w:hAnsi="Times New Roman"/>
        </w:rPr>
        <w:t xml:space="preserve">Occurrence of any clinical adverse event, laboratory abnormality, or other medical condition that would preclude the subject from benefiting from continued use; </w:t>
      </w:r>
    </w:p>
    <w:p w:rsidR="00743320" w:rsidRPr="00775168" w:rsidRDefault="00DF7F26">
      <w:pPr>
        <w:pStyle w:val="P68B1DB1-1575"/>
        <w:numPr>
          <w:ilvl w:val="0"/>
          <w:numId w:val="16"/>
        </w:numPr>
        <w:tabs>
          <w:tab w:val="left" w:pos="720"/>
        </w:tabs>
        <w:spacing w:line="360" w:lineRule="auto"/>
        <w:ind w:firstLineChars="0"/>
        <w:rPr>
          <w:rFonts w:hAnsi="Times New Roman" w:hint="default"/>
        </w:rPr>
      </w:pPr>
      <w:r w:rsidRPr="00775168">
        <w:rPr>
          <w:rFonts w:hAnsi="Times New Roman"/>
        </w:rPr>
        <w:t xml:space="preserve">The subject is found to be ineligible after randomization; </w:t>
      </w:r>
    </w:p>
    <w:p w:rsidR="00743320" w:rsidRPr="00775168" w:rsidRDefault="00DF7F26">
      <w:pPr>
        <w:pStyle w:val="P68B1DB1-1575"/>
        <w:numPr>
          <w:ilvl w:val="0"/>
          <w:numId w:val="16"/>
        </w:numPr>
        <w:spacing w:line="360" w:lineRule="auto"/>
        <w:ind w:firstLineChars="0"/>
        <w:rPr>
          <w:rFonts w:hAnsi="Times New Roman" w:hint="default"/>
        </w:rPr>
      </w:pPr>
      <w:r w:rsidRPr="00775168">
        <w:rPr>
          <w:rFonts w:hAnsi="Times New Roman"/>
        </w:rPr>
        <w:t xml:space="preserve">Other reasons that, in the opinion of the investigator, make continuation of trial treatment impossible. </w:t>
      </w:r>
    </w:p>
    <w:p w:rsidR="00743320" w:rsidRPr="00775168" w:rsidRDefault="00DF7F26">
      <w:pPr>
        <w:pStyle w:val="P68B1DB1-377"/>
        <w:rPr>
          <w:rFonts w:ascii="Times New Roman" w:hAnsi="Times New Roman" w:hint="default"/>
        </w:rPr>
      </w:pPr>
      <w:r w:rsidRPr="00775168">
        <w:rPr>
          <w:rFonts w:ascii="Times New Roman" w:hAnsi="Times New Roman"/>
        </w:rPr>
        <w:t xml:space="preserve">4.4.2 Disposal of withdrawn subjects </w:t>
      </w:r>
    </w:p>
    <w:p w:rsidR="00743320" w:rsidRPr="00775168" w:rsidRDefault="00DF7F26">
      <w:pPr>
        <w:pStyle w:val="P68B1DB1-11078"/>
        <w:snapToGrid w:val="0"/>
        <w:spacing w:line="360" w:lineRule="auto"/>
        <w:ind w:firstLine="480"/>
        <w:rPr>
          <w:rFonts w:cs="Times New Roman" w:hint="default"/>
        </w:rPr>
      </w:pPr>
      <w:r w:rsidRPr="00775168">
        <w:t xml:space="preserve">Every effort must be made to complete the protocol-specified efficacy and safety tests at the time of withdrawal from the trial, as well as to complete the safety follow-up period, and to fully record adverse events (AEs) and outcomes. The investigator may recommend or provide new or alternative treatment methods for the subjects according to the actual situation of the patients. For patients without disease progression, follow-up imaging assessment should be continued until initiation of new treatment or disease progression. </w:t>
      </w:r>
    </w:p>
    <w:p w:rsidR="00743320" w:rsidRPr="00775168" w:rsidRDefault="00743320"/>
    <w:p w:rsidR="00743320" w:rsidRPr="00775168" w:rsidRDefault="00DF7F26">
      <w:pPr>
        <w:pStyle w:val="P68B1DB1-265"/>
        <w:rPr>
          <w:rFonts w:ascii="Times New Roman" w:eastAsia="宋体" w:hAnsi="Times New Roman" w:cs="Times New Roman"/>
        </w:rPr>
      </w:pPr>
      <w:bookmarkStart w:id="148" w:name="_Toc178589677"/>
      <w:bookmarkStart w:id="149" w:name="_Toc512940945"/>
      <w:bookmarkStart w:id="150" w:name="_Toc512941701"/>
      <w:r w:rsidRPr="00775168">
        <w:rPr>
          <w:rFonts w:ascii="Times New Roman" w:eastAsia="宋体" w:hAnsi="Times New Roman" w:cs="宋体"/>
        </w:rPr>
        <w:lastRenderedPageBreak/>
        <w:t>4.5 Termination Criteria</w:t>
      </w:r>
      <w:bookmarkEnd w:id="148"/>
      <w:r w:rsidRPr="00775168">
        <w:rPr>
          <w:rFonts w:ascii="Times New Roman" w:eastAsia="宋体" w:hAnsi="Times New Roman" w:cs="宋体"/>
        </w:rPr>
        <w:t xml:space="preserve"> </w:t>
      </w:r>
      <w:bookmarkEnd w:id="143"/>
      <w:bookmarkEnd w:id="144"/>
      <w:bookmarkEnd w:id="149"/>
      <w:bookmarkEnd w:id="150"/>
    </w:p>
    <w:p w:rsidR="00743320" w:rsidRPr="00775168" w:rsidRDefault="00DF7F26">
      <w:pPr>
        <w:pStyle w:val="P68B1DB1-377"/>
        <w:rPr>
          <w:rFonts w:ascii="Times New Roman" w:hAnsi="Times New Roman" w:hint="default"/>
        </w:rPr>
      </w:pPr>
      <w:r w:rsidRPr="00775168">
        <w:rPr>
          <w:rFonts w:ascii="Times New Roman" w:hAnsi="Times New Roman"/>
        </w:rPr>
        <w:t xml:space="preserve">4.5.1 Criteria for Trial Termination at Each Site </w:t>
      </w:r>
    </w:p>
    <w:p w:rsidR="00743320" w:rsidRPr="00775168" w:rsidRDefault="00DF7F26">
      <w:pPr>
        <w:pStyle w:val="P68B1DB1-11079"/>
        <w:snapToGrid w:val="0"/>
        <w:spacing w:line="360" w:lineRule="auto"/>
        <w:ind w:firstLine="480"/>
        <w:rPr>
          <w:rFonts w:cs="Times New Roman" w:hint="default"/>
        </w:rPr>
      </w:pPr>
      <w:r w:rsidRPr="00775168">
        <w:t xml:space="preserve">The principal investigator will have the right to terminate the trial at the site if the co-sponsor identifies serious or persistent non-compliance with the protocol and other trial procedures by the investigator at the site, which may interfere with the proper conduct of the trial and informs the principal investigator. </w:t>
      </w:r>
    </w:p>
    <w:p w:rsidR="00743320" w:rsidRPr="00775168" w:rsidRDefault="00DF7F26">
      <w:pPr>
        <w:pStyle w:val="P68B1DB1-11079"/>
        <w:snapToGrid w:val="0"/>
        <w:spacing w:line="360" w:lineRule="auto"/>
        <w:ind w:firstLine="480"/>
        <w:rPr>
          <w:rFonts w:cs="Times New Roman" w:hint="default"/>
          <w:b/>
        </w:rPr>
      </w:pPr>
      <w:r w:rsidRPr="00775168">
        <w:t xml:space="preserve">If the investigator concludes or suspends a trial at the study site, the subject must be informed immediately and a written report stating the reason must be submitted to the study site, principal investigator and co-sponsor, as required by regulations. </w:t>
      </w:r>
    </w:p>
    <w:p w:rsidR="00743320" w:rsidRPr="00775168" w:rsidRDefault="00DF7F26">
      <w:pPr>
        <w:pStyle w:val="P68B1DB1-377"/>
        <w:rPr>
          <w:rFonts w:ascii="Times New Roman" w:hAnsi="Times New Roman" w:hint="default"/>
        </w:rPr>
      </w:pPr>
      <w:r w:rsidRPr="00775168">
        <w:rPr>
          <w:rFonts w:ascii="Times New Roman" w:hAnsi="Times New Roman"/>
        </w:rPr>
        <w:t xml:space="preserve">4.5.2 Termination criteria of the whole trial </w:t>
      </w:r>
    </w:p>
    <w:p w:rsidR="00743320" w:rsidRPr="00775168" w:rsidRDefault="00DF7F26">
      <w:pPr>
        <w:pStyle w:val="P68B1DB1-11079"/>
        <w:snapToGrid w:val="0"/>
        <w:spacing w:line="360" w:lineRule="auto"/>
        <w:ind w:firstLine="480"/>
        <w:rPr>
          <w:rFonts w:cs="Times New Roman" w:hint="default"/>
        </w:rPr>
      </w:pPr>
      <w:r w:rsidRPr="00775168">
        <w:t xml:space="preserve">Criteria for termination of this study (including but not limited to the following): </w:t>
      </w:r>
    </w:p>
    <w:p w:rsidR="00743320" w:rsidRPr="00775168" w:rsidRDefault="00DF7F26">
      <w:pPr>
        <w:pStyle w:val="P68B1DB1-aff241"/>
        <w:numPr>
          <w:ilvl w:val="0"/>
          <w:numId w:val="17"/>
        </w:numPr>
        <w:ind w:firstLineChars="0"/>
        <w:rPr>
          <w:rFonts w:ascii="Times New Roman" w:hAnsi="Times New Roman" w:cs="Times New Roman" w:hint="default"/>
        </w:rPr>
      </w:pPr>
      <w:r w:rsidRPr="00775168">
        <w:rPr>
          <w:rFonts w:ascii="Times New Roman" w:hAnsi="Times New Roman"/>
        </w:rPr>
        <w:t xml:space="preserve">The discovery of an unexpected, significant, or unacceptable risk to subjects; </w:t>
      </w:r>
    </w:p>
    <w:p w:rsidR="00743320" w:rsidRPr="00775168" w:rsidRDefault="00DF7F26">
      <w:pPr>
        <w:pStyle w:val="P68B1DB1-aff241"/>
        <w:numPr>
          <w:ilvl w:val="0"/>
          <w:numId w:val="17"/>
        </w:numPr>
        <w:ind w:firstLineChars="0"/>
        <w:rPr>
          <w:rFonts w:ascii="Times New Roman" w:hAnsi="Times New Roman" w:cs="Times New Roman" w:hint="default"/>
        </w:rPr>
      </w:pPr>
      <w:r w:rsidRPr="00775168">
        <w:rPr>
          <w:rFonts w:ascii="Times New Roman" w:hAnsi="Times New Roman"/>
        </w:rPr>
        <w:t xml:space="preserve">Major errors in the protocol are found during the trial; </w:t>
      </w:r>
    </w:p>
    <w:p w:rsidR="00743320" w:rsidRPr="00775168" w:rsidRDefault="00DF7F26">
      <w:pPr>
        <w:pStyle w:val="P68B1DB1-aff268"/>
        <w:numPr>
          <w:ilvl w:val="0"/>
          <w:numId w:val="17"/>
        </w:numPr>
        <w:ind w:firstLineChars="0"/>
        <w:rPr>
          <w:rFonts w:ascii="Times New Roman" w:hAnsi="Times New Roman" w:cs="Times New Roman" w:hint="default"/>
        </w:rPr>
      </w:pPr>
      <w:r w:rsidRPr="00775168">
        <w:rPr>
          <w:rFonts w:ascii="Times New Roman" w:hAnsi="Times New Roman"/>
        </w:rPr>
        <w:t xml:space="preserve">The investigational drug/treatment is ineffective or the continuation of the trial is meaningless; </w:t>
      </w:r>
    </w:p>
    <w:p w:rsidR="00743320" w:rsidRPr="00775168" w:rsidRDefault="00DF7F26">
      <w:pPr>
        <w:pStyle w:val="P68B1DB1-1580"/>
        <w:numPr>
          <w:ilvl w:val="0"/>
          <w:numId w:val="17"/>
        </w:numPr>
        <w:ind w:firstLineChars="0"/>
        <w:rPr>
          <w:rFonts w:ascii="Times New Roman" w:hAnsi="Times New Roman" w:cs="Calibri" w:hint="default"/>
        </w:rPr>
      </w:pPr>
      <w:r w:rsidRPr="00775168">
        <w:rPr>
          <w:rFonts w:ascii="Times New Roman" w:hAnsi="Times New Roman"/>
        </w:rPr>
        <w:t xml:space="preserve">It is extremely difficult to complete the trial due to severe hysteresis or frequent protocol deviations of the subjects. </w:t>
      </w:r>
    </w:p>
    <w:p w:rsidR="00743320" w:rsidRPr="00775168" w:rsidRDefault="00743320">
      <w:pPr>
        <w:rPr>
          <w:rFonts w:cs="Calibri"/>
          <w:sz w:val="24"/>
        </w:rPr>
      </w:pPr>
    </w:p>
    <w:p w:rsidR="00743320" w:rsidRPr="00775168" w:rsidRDefault="00743320">
      <w:pPr>
        <w:rPr>
          <w:rFonts w:cs="Calibri"/>
          <w:sz w:val="24"/>
        </w:rPr>
      </w:pPr>
    </w:p>
    <w:p w:rsidR="00743320" w:rsidRPr="00775168" w:rsidRDefault="00743320">
      <w:pPr>
        <w:rPr>
          <w:rFonts w:cs="Calibri"/>
          <w:sz w:val="24"/>
        </w:rPr>
      </w:pPr>
    </w:p>
    <w:p w:rsidR="00743320" w:rsidRPr="00775168" w:rsidRDefault="00743320">
      <w:pPr>
        <w:rPr>
          <w:rFonts w:cs="Calibri"/>
          <w:sz w:val="24"/>
        </w:rPr>
      </w:pPr>
    </w:p>
    <w:p w:rsidR="00743320" w:rsidRPr="00775168" w:rsidRDefault="00743320">
      <w:pPr>
        <w:rPr>
          <w:rFonts w:cs="Calibri"/>
          <w:sz w:val="24"/>
        </w:rPr>
      </w:pPr>
    </w:p>
    <w:p w:rsidR="00743320" w:rsidRPr="00775168" w:rsidRDefault="00743320">
      <w:pPr>
        <w:rPr>
          <w:rFonts w:cs="Calibri"/>
          <w:sz w:val="24"/>
        </w:rPr>
      </w:pPr>
    </w:p>
    <w:p w:rsidR="00743320" w:rsidRPr="00775168" w:rsidRDefault="00743320">
      <w:pPr>
        <w:rPr>
          <w:rFonts w:cs="Calibri"/>
          <w:sz w:val="24"/>
        </w:rPr>
      </w:pPr>
    </w:p>
    <w:p w:rsidR="00743320" w:rsidRPr="00775168" w:rsidRDefault="00DF7F26">
      <w:pPr>
        <w:pStyle w:val="P68B1DB1-161"/>
        <w:ind w:firstLine="0"/>
        <w:rPr>
          <w:rFonts w:ascii="Times New Roman" w:hAnsi="Times New Roman" w:cs="Times New Roman"/>
        </w:rPr>
      </w:pPr>
      <w:bookmarkStart w:id="151" w:name="_Toc178589678"/>
      <w:bookmarkStart w:id="152" w:name="_Toc512940946"/>
      <w:bookmarkStart w:id="153" w:name="_Toc512941702"/>
      <w:r w:rsidRPr="00775168">
        <w:rPr>
          <w:rFonts w:ascii="Times New Roman" w:hAnsi="Times New Roman"/>
        </w:rPr>
        <w:t xml:space="preserve">5. </w:t>
      </w:r>
      <w:bookmarkStart w:id="154" w:name="_Toc430282297"/>
      <w:bookmarkStart w:id="155" w:name="_Toc190163366"/>
      <w:bookmarkStart w:id="156" w:name="_Toc292713367"/>
      <w:r w:rsidRPr="00775168">
        <w:rPr>
          <w:rFonts w:ascii="Times New Roman" w:hAnsi="Times New Roman" w:hint="eastAsia"/>
        </w:rPr>
        <w:t>Study Drug</w:t>
      </w:r>
      <w:bookmarkEnd w:id="151"/>
      <w:r w:rsidRPr="00775168">
        <w:rPr>
          <w:rFonts w:ascii="Times New Roman" w:hAnsi="Times New Roman" w:hint="eastAsia"/>
        </w:rPr>
        <w:t xml:space="preserve"> </w:t>
      </w:r>
      <w:bookmarkEnd w:id="152"/>
      <w:bookmarkEnd w:id="153"/>
      <w:bookmarkEnd w:id="154"/>
      <w:bookmarkEnd w:id="155"/>
      <w:bookmarkEnd w:id="156"/>
    </w:p>
    <w:p w:rsidR="00743320" w:rsidRPr="00775168" w:rsidRDefault="00DF7F26">
      <w:pPr>
        <w:pStyle w:val="P68B1DB1-265"/>
        <w:rPr>
          <w:rFonts w:ascii="Times New Roman" w:eastAsia="宋体" w:hAnsi="Times New Roman" w:cs="Times New Roman"/>
        </w:rPr>
      </w:pPr>
      <w:bookmarkStart w:id="157" w:name="_Toc178589679"/>
      <w:bookmarkStart w:id="158" w:name="_Toc512940947"/>
      <w:bookmarkStart w:id="159" w:name="_Toc512941703"/>
      <w:r w:rsidRPr="00775168">
        <w:rPr>
          <w:rFonts w:ascii="Times New Roman" w:eastAsia="宋体" w:hAnsi="Times New Roman" w:cs="宋体"/>
        </w:rPr>
        <w:t>5.1 Overview of Investigational Products</w:t>
      </w:r>
      <w:bookmarkEnd w:id="157"/>
      <w:r w:rsidRPr="00775168">
        <w:rPr>
          <w:rFonts w:ascii="Times New Roman" w:eastAsia="宋体" w:hAnsi="Times New Roman" w:cs="宋体"/>
        </w:rPr>
        <w:t xml:space="preserve"> </w:t>
      </w:r>
      <w:bookmarkEnd w:id="158"/>
      <w:bookmarkEnd w:id="159"/>
    </w:p>
    <w:p w:rsidR="00743320" w:rsidRPr="00775168" w:rsidRDefault="00DF7F26">
      <w:pPr>
        <w:pStyle w:val="P68B1DB1-377"/>
        <w:rPr>
          <w:rFonts w:ascii="Times New Roman" w:hAnsi="Times New Roman" w:hint="default"/>
        </w:rPr>
      </w:pPr>
      <w:r w:rsidRPr="00775168">
        <w:rPr>
          <w:rFonts w:ascii="Times New Roman" w:hAnsi="Times New Roman"/>
        </w:rPr>
        <w:t xml:space="preserve">5.1.1 Drug Information </w:t>
      </w:r>
    </w:p>
    <w:p w:rsidR="00743320" w:rsidRPr="00775168" w:rsidRDefault="00DF7F26">
      <w:pPr>
        <w:pStyle w:val="af7"/>
        <w:ind w:firstLine="480"/>
        <w:rPr>
          <w:rFonts w:ascii="Times New Roman" w:hAnsi="Times New Roman" w:cs="Times New Roman"/>
          <w:b/>
        </w:rPr>
      </w:pPr>
      <w:bookmarkStart w:id="160" w:name="_Toc512940948"/>
      <w:r w:rsidRPr="00775168">
        <w:rPr>
          <w:rFonts w:ascii="Times New Roman" w:hAnsi="Times New Roman" w:hint="eastAsia"/>
        </w:rPr>
        <w:t xml:space="preserve">Anlotinib hydrochloride and its label are provided by CHIA TAI TIANQING Pharmaceutical Group CO., Ltd. EGFR-TKIs are self-purchased by subjects and maintained at the dose before enrollment. Specific information is provided in Table 1 (EGFR-TKI drug information is provided for reference, and the above municipal information prevails). </w:t>
      </w:r>
      <w:bookmarkEnd w:id="160"/>
    </w:p>
    <w:p w:rsidR="00743320" w:rsidRPr="00775168" w:rsidRDefault="00DF7F26">
      <w:pPr>
        <w:pStyle w:val="P68B1DB1-aff268"/>
        <w:ind w:firstLine="480"/>
        <w:rPr>
          <w:rFonts w:ascii="Times New Roman" w:hAnsi="Times New Roman" w:cs="Times New Roman" w:hint="default"/>
        </w:rPr>
      </w:pPr>
      <w:bookmarkStart w:id="161" w:name="_Toc512940949"/>
      <w:r w:rsidRPr="00775168">
        <w:rPr>
          <w:rFonts w:ascii="Times New Roman" w:hAnsi="Times New Roman"/>
        </w:rPr>
        <w:t xml:space="preserve">Table 1 Basic information of drug </w:t>
      </w:r>
      <w:bookmarkEnd w:id="161"/>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8"/>
        <w:gridCol w:w="1356"/>
        <w:gridCol w:w="1945"/>
        <w:gridCol w:w="1701"/>
        <w:gridCol w:w="1838"/>
      </w:tblGrid>
      <w:tr w:rsidR="00743320" w:rsidRPr="00775168">
        <w:trPr>
          <w:trHeight w:val="397"/>
          <w:jc w:val="center"/>
        </w:trPr>
        <w:tc>
          <w:tcPr>
            <w:tcW w:w="3078" w:type="dxa"/>
            <w:vAlign w:val="center"/>
          </w:tcPr>
          <w:p w:rsidR="00743320" w:rsidRPr="00775168" w:rsidRDefault="00DF7F26" w:rsidP="00775168">
            <w:pPr>
              <w:pStyle w:val="P68B1DB1-aff281"/>
              <w:ind w:firstLineChars="0" w:firstLine="0"/>
              <w:jc w:val="center"/>
              <w:rPr>
                <w:rFonts w:cs="Times New Roman" w:hint="default"/>
              </w:rPr>
            </w:pPr>
            <w:r w:rsidRPr="00775168">
              <w:lastRenderedPageBreak/>
              <w:t xml:space="preserve">Drug </w:t>
            </w:r>
            <w:r w:rsidR="00775168" w:rsidRPr="00775168">
              <w:rPr>
                <w:rFonts w:hint="default"/>
              </w:rPr>
              <w:t>M</w:t>
            </w:r>
            <w:r w:rsidRPr="00775168">
              <w:t>ame</w:t>
            </w:r>
          </w:p>
        </w:tc>
        <w:tc>
          <w:tcPr>
            <w:tcW w:w="1356" w:type="dxa"/>
            <w:vAlign w:val="center"/>
          </w:tcPr>
          <w:p w:rsidR="00743320" w:rsidRPr="00775168" w:rsidRDefault="00DF7F26" w:rsidP="00775168">
            <w:pPr>
              <w:pStyle w:val="P68B1DB1-aff281"/>
              <w:ind w:firstLineChars="0" w:firstLine="0"/>
              <w:jc w:val="center"/>
              <w:rPr>
                <w:rFonts w:cs="Times New Roman" w:hint="default"/>
              </w:rPr>
            </w:pPr>
            <w:r w:rsidRPr="00775168">
              <w:t>Dosage Form</w:t>
            </w:r>
          </w:p>
        </w:tc>
        <w:tc>
          <w:tcPr>
            <w:tcW w:w="1945" w:type="dxa"/>
            <w:vAlign w:val="center"/>
          </w:tcPr>
          <w:p w:rsidR="00743320" w:rsidRPr="00775168" w:rsidRDefault="00DF7F26" w:rsidP="00775168">
            <w:pPr>
              <w:pStyle w:val="P68B1DB1-aff281"/>
              <w:ind w:firstLineChars="0" w:firstLine="0"/>
              <w:jc w:val="center"/>
              <w:rPr>
                <w:rFonts w:cs="Times New Roman" w:hint="default"/>
              </w:rPr>
            </w:pPr>
            <w:r w:rsidRPr="00775168">
              <w:t>Strength</w:t>
            </w:r>
          </w:p>
        </w:tc>
        <w:tc>
          <w:tcPr>
            <w:tcW w:w="1701" w:type="dxa"/>
            <w:vAlign w:val="center"/>
          </w:tcPr>
          <w:p w:rsidR="00743320" w:rsidRPr="00775168" w:rsidRDefault="00DF7F26" w:rsidP="00775168">
            <w:pPr>
              <w:pStyle w:val="P68B1DB1-aff281"/>
              <w:ind w:firstLineChars="0" w:firstLine="0"/>
              <w:jc w:val="center"/>
              <w:rPr>
                <w:rFonts w:cs="Times New Roman" w:hint="default"/>
              </w:rPr>
            </w:pPr>
            <w:r w:rsidRPr="00775168">
              <w:t xml:space="preserve">Application </w:t>
            </w:r>
            <w:r w:rsidR="00775168" w:rsidRPr="00775168">
              <w:rPr>
                <w:rFonts w:hint="default"/>
              </w:rPr>
              <w:t>M</w:t>
            </w:r>
            <w:r w:rsidRPr="00775168">
              <w:t>ethod</w:t>
            </w:r>
          </w:p>
        </w:tc>
        <w:tc>
          <w:tcPr>
            <w:tcW w:w="1838" w:type="dxa"/>
            <w:vAlign w:val="center"/>
          </w:tcPr>
          <w:p w:rsidR="00743320" w:rsidRPr="00775168" w:rsidRDefault="00775168" w:rsidP="00775168">
            <w:pPr>
              <w:pStyle w:val="P68B1DB1-aff281"/>
              <w:ind w:firstLineChars="0" w:firstLine="0"/>
              <w:jc w:val="center"/>
              <w:rPr>
                <w:rFonts w:cs="Times New Roman" w:hint="default"/>
              </w:rPr>
            </w:pPr>
            <w:r w:rsidRPr="00775168">
              <w:t>Expiry Date</w:t>
            </w:r>
          </w:p>
        </w:tc>
      </w:tr>
      <w:tr w:rsidR="00743320" w:rsidRPr="00775168">
        <w:trPr>
          <w:trHeight w:val="397"/>
          <w:jc w:val="center"/>
        </w:trPr>
        <w:tc>
          <w:tcPr>
            <w:tcW w:w="3078" w:type="dxa"/>
            <w:vAlign w:val="center"/>
          </w:tcPr>
          <w:p w:rsidR="00743320" w:rsidRPr="00775168" w:rsidRDefault="00DF7F26" w:rsidP="00775168">
            <w:pPr>
              <w:pStyle w:val="P68B1DB1-aff281"/>
              <w:ind w:firstLineChars="0" w:firstLine="0"/>
              <w:jc w:val="center"/>
              <w:rPr>
                <w:rFonts w:cs="Times New Roman" w:hint="default"/>
              </w:rPr>
            </w:pPr>
            <w:r w:rsidRPr="00775168">
              <w:t>Anlotinib Hydrochloride Capsules</w:t>
            </w:r>
          </w:p>
        </w:tc>
        <w:tc>
          <w:tcPr>
            <w:tcW w:w="1356" w:type="dxa"/>
            <w:vAlign w:val="center"/>
          </w:tcPr>
          <w:p w:rsidR="00743320" w:rsidRPr="00775168" w:rsidRDefault="00DF7F26" w:rsidP="00775168">
            <w:pPr>
              <w:pStyle w:val="P68B1DB1-aff281"/>
              <w:ind w:firstLineChars="0" w:firstLine="0"/>
              <w:jc w:val="center"/>
              <w:rPr>
                <w:rFonts w:cs="Times New Roman" w:hint="default"/>
              </w:rPr>
            </w:pPr>
            <w:r w:rsidRPr="00775168">
              <w:t>Capsule</w:t>
            </w:r>
          </w:p>
        </w:tc>
        <w:tc>
          <w:tcPr>
            <w:tcW w:w="1945" w:type="dxa"/>
            <w:vAlign w:val="center"/>
          </w:tcPr>
          <w:p w:rsidR="00743320" w:rsidRPr="00775168" w:rsidRDefault="00DF7F26" w:rsidP="00775168">
            <w:pPr>
              <w:pStyle w:val="P68B1DB1-aff282"/>
              <w:ind w:firstLineChars="0" w:firstLine="0"/>
              <w:jc w:val="center"/>
            </w:pPr>
            <w:r w:rsidRPr="00775168">
              <w:t>8 mg/10 mg/12 mg</w:t>
            </w:r>
          </w:p>
        </w:tc>
        <w:tc>
          <w:tcPr>
            <w:tcW w:w="1701" w:type="dxa"/>
            <w:vAlign w:val="center"/>
          </w:tcPr>
          <w:p w:rsidR="00743320" w:rsidRPr="00775168" w:rsidRDefault="00DF7F26" w:rsidP="00775168">
            <w:pPr>
              <w:pStyle w:val="P68B1DB1-aff281"/>
              <w:ind w:firstLineChars="0" w:firstLine="0"/>
              <w:jc w:val="center"/>
              <w:rPr>
                <w:rFonts w:cs="Times New Roman" w:hint="default"/>
              </w:rPr>
            </w:pPr>
            <w:r w:rsidRPr="00775168">
              <w:t>Oral</w:t>
            </w:r>
          </w:p>
        </w:tc>
        <w:tc>
          <w:tcPr>
            <w:tcW w:w="1838" w:type="dxa"/>
            <w:vAlign w:val="center"/>
          </w:tcPr>
          <w:p w:rsidR="00743320" w:rsidRPr="00775168" w:rsidRDefault="00DF7F26" w:rsidP="00775168">
            <w:pPr>
              <w:pStyle w:val="P68B1DB1-aff283"/>
              <w:ind w:firstLineChars="0" w:firstLine="0"/>
              <w:jc w:val="center"/>
              <w:rPr>
                <w:rFonts w:cs="Times New Roman" w:hint="default"/>
              </w:rPr>
            </w:pPr>
            <w:r w:rsidRPr="00775168">
              <w:t>18 months</w:t>
            </w:r>
          </w:p>
        </w:tc>
      </w:tr>
      <w:tr w:rsidR="00743320" w:rsidRPr="00775168">
        <w:trPr>
          <w:trHeight w:val="397"/>
          <w:jc w:val="center"/>
        </w:trPr>
        <w:tc>
          <w:tcPr>
            <w:tcW w:w="3078" w:type="dxa"/>
            <w:vAlign w:val="center"/>
          </w:tcPr>
          <w:p w:rsidR="00743320" w:rsidRPr="00775168" w:rsidRDefault="00DF7F26" w:rsidP="00775168">
            <w:pPr>
              <w:pStyle w:val="P68B1DB1-aff281"/>
              <w:ind w:firstLineChars="0" w:firstLine="0"/>
              <w:jc w:val="center"/>
              <w:rPr>
                <w:rFonts w:cs="Times New Roman" w:hint="default"/>
              </w:rPr>
            </w:pPr>
            <w:r w:rsidRPr="00775168">
              <w:t>Gefitinib Tablets</w:t>
            </w:r>
          </w:p>
        </w:tc>
        <w:tc>
          <w:tcPr>
            <w:tcW w:w="1356" w:type="dxa"/>
            <w:vAlign w:val="center"/>
          </w:tcPr>
          <w:p w:rsidR="00743320" w:rsidRPr="00775168" w:rsidRDefault="00DF7F26" w:rsidP="00775168">
            <w:pPr>
              <w:pStyle w:val="P68B1DB1-aff281"/>
              <w:ind w:firstLineChars="0" w:firstLine="0"/>
              <w:jc w:val="center"/>
              <w:rPr>
                <w:rFonts w:cs="Times New Roman" w:hint="default"/>
              </w:rPr>
            </w:pPr>
            <w:r w:rsidRPr="00775168">
              <w:t>Tablet</w:t>
            </w:r>
          </w:p>
        </w:tc>
        <w:tc>
          <w:tcPr>
            <w:tcW w:w="1945" w:type="dxa"/>
            <w:vAlign w:val="center"/>
          </w:tcPr>
          <w:p w:rsidR="00743320" w:rsidRPr="00775168" w:rsidRDefault="00DF7F26" w:rsidP="00775168">
            <w:pPr>
              <w:pStyle w:val="P68B1DB1-aff283"/>
              <w:ind w:firstLineChars="0" w:firstLine="0"/>
              <w:jc w:val="center"/>
              <w:rPr>
                <w:rFonts w:cs="Times New Roman" w:hint="default"/>
              </w:rPr>
            </w:pPr>
            <w:r w:rsidRPr="00775168">
              <w:t>250 mg 10 tablets/box</w:t>
            </w:r>
          </w:p>
        </w:tc>
        <w:tc>
          <w:tcPr>
            <w:tcW w:w="1701" w:type="dxa"/>
            <w:vAlign w:val="center"/>
          </w:tcPr>
          <w:p w:rsidR="00743320" w:rsidRPr="00775168" w:rsidRDefault="00DF7F26" w:rsidP="00775168">
            <w:pPr>
              <w:pStyle w:val="P68B1DB1-aff281"/>
              <w:ind w:firstLineChars="0" w:firstLine="0"/>
              <w:jc w:val="center"/>
              <w:rPr>
                <w:rFonts w:cs="Times New Roman" w:hint="default"/>
              </w:rPr>
            </w:pPr>
            <w:r w:rsidRPr="00775168">
              <w:t>Oral</w:t>
            </w:r>
          </w:p>
        </w:tc>
        <w:tc>
          <w:tcPr>
            <w:tcW w:w="1838" w:type="dxa"/>
            <w:vAlign w:val="center"/>
          </w:tcPr>
          <w:p w:rsidR="00743320" w:rsidRPr="00775168" w:rsidRDefault="00DF7F26" w:rsidP="00775168">
            <w:pPr>
              <w:pStyle w:val="P68B1DB1-aff283"/>
              <w:ind w:firstLineChars="0" w:firstLine="0"/>
              <w:jc w:val="center"/>
              <w:rPr>
                <w:rFonts w:cs="Times New Roman" w:hint="default"/>
              </w:rPr>
            </w:pPr>
            <w:r w:rsidRPr="00775168">
              <w:t>24 months</w:t>
            </w:r>
          </w:p>
        </w:tc>
      </w:tr>
      <w:tr w:rsidR="00743320" w:rsidRPr="00775168">
        <w:trPr>
          <w:trHeight w:val="397"/>
          <w:jc w:val="center"/>
        </w:trPr>
        <w:tc>
          <w:tcPr>
            <w:tcW w:w="3078" w:type="dxa"/>
            <w:vAlign w:val="center"/>
          </w:tcPr>
          <w:p w:rsidR="00743320" w:rsidRPr="00775168" w:rsidRDefault="00DF7F26" w:rsidP="00775168">
            <w:pPr>
              <w:pStyle w:val="P68B1DB1-aff281"/>
              <w:ind w:firstLineChars="0" w:firstLine="0"/>
              <w:jc w:val="center"/>
              <w:rPr>
                <w:rFonts w:cs="Times New Roman" w:hint="default"/>
              </w:rPr>
            </w:pPr>
            <w:r w:rsidRPr="00775168">
              <w:t>Erlotinib Tablets</w:t>
            </w:r>
          </w:p>
        </w:tc>
        <w:tc>
          <w:tcPr>
            <w:tcW w:w="1356" w:type="dxa"/>
            <w:vAlign w:val="center"/>
          </w:tcPr>
          <w:p w:rsidR="00743320" w:rsidRPr="00775168" w:rsidRDefault="00DF7F26" w:rsidP="00775168">
            <w:pPr>
              <w:pStyle w:val="P68B1DB1-aff281"/>
              <w:ind w:firstLineChars="0" w:firstLine="0"/>
              <w:jc w:val="center"/>
              <w:rPr>
                <w:rFonts w:cs="Times New Roman" w:hint="default"/>
              </w:rPr>
            </w:pPr>
            <w:r w:rsidRPr="00775168">
              <w:t>Tablet</w:t>
            </w:r>
          </w:p>
        </w:tc>
        <w:tc>
          <w:tcPr>
            <w:tcW w:w="1945" w:type="dxa"/>
            <w:vAlign w:val="center"/>
          </w:tcPr>
          <w:p w:rsidR="00743320" w:rsidRPr="00775168" w:rsidRDefault="00DF7F26" w:rsidP="00775168">
            <w:pPr>
              <w:pStyle w:val="P68B1DB1-aff283"/>
              <w:ind w:firstLineChars="0" w:firstLine="0"/>
              <w:jc w:val="center"/>
              <w:rPr>
                <w:rFonts w:cs="Times New Roman" w:hint="default"/>
              </w:rPr>
            </w:pPr>
            <w:r w:rsidRPr="00775168">
              <w:t>25 mg/100 mg/150 mg30 tablets/box</w:t>
            </w:r>
          </w:p>
        </w:tc>
        <w:tc>
          <w:tcPr>
            <w:tcW w:w="1701" w:type="dxa"/>
            <w:vAlign w:val="center"/>
          </w:tcPr>
          <w:p w:rsidR="00743320" w:rsidRPr="00775168" w:rsidRDefault="00DF7F26" w:rsidP="00775168">
            <w:pPr>
              <w:pStyle w:val="P68B1DB1-aff281"/>
              <w:ind w:firstLineChars="0" w:firstLine="0"/>
              <w:jc w:val="center"/>
              <w:rPr>
                <w:rFonts w:cs="Times New Roman" w:hint="default"/>
              </w:rPr>
            </w:pPr>
            <w:r w:rsidRPr="00775168">
              <w:t>Oral</w:t>
            </w:r>
          </w:p>
        </w:tc>
        <w:tc>
          <w:tcPr>
            <w:tcW w:w="1838" w:type="dxa"/>
            <w:vAlign w:val="center"/>
          </w:tcPr>
          <w:p w:rsidR="00743320" w:rsidRPr="00775168" w:rsidRDefault="00DF7F26" w:rsidP="00775168">
            <w:pPr>
              <w:pStyle w:val="P68B1DB1-aff283"/>
              <w:ind w:firstLineChars="0" w:firstLine="0"/>
              <w:jc w:val="center"/>
              <w:rPr>
                <w:rFonts w:cs="Times New Roman" w:hint="default"/>
              </w:rPr>
            </w:pPr>
            <w:r w:rsidRPr="00775168">
              <w:t>24 months</w:t>
            </w:r>
          </w:p>
        </w:tc>
      </w:tr>
      <w:tr w:rsidR="00743320" w:rsidRPr="00775168">
        <w:trPr>
          <w:trHeight w:val="593"/>
          <w:jc w:val="center"/>
        </w:trPr>
        <w:tc>
          <w:tcPr>
            <w:tcW w:w="3078" w:type="dxa"/>
            <w:vAlign w:val="center"/>
          </w:tcPr>
          <w:p w:rsidR="00743320" w:rsidRPr="00775168" w:rsidRDefault="00775168" w:rsidP="00775168">
            <w:pPr>
              <w:pStyle w:val="P68B1DB1-aff281"/>
              <w:ind w:firstLineChars="0" w:firstLine="0"/>
              <w:jc w:val="center"/>
              <w:rPr>
                <w:rFonts w:cs="Times New Roman" w:hint="default"/>
              </w:rPr>
            </w:pPr>
            <w:r w:rsidRPr="00775168">
              <w:rPr>
                <w:rFonts w:hint="default"/>
              </w:rPr>
              <w:t>I</w:t>
            </w:r>
            <w:r w:rsidR="00DF7F26" w:rsidRPr="00775168">
              <w:t>cotinib Tablets</w:t>
            </w:r>
          </w:p>
        </w:tc>
        <w:tc>
          <w:tcPr>
            <w:tcW w:w="1356" w:type="dxa"/>
            <w:vAlign w:val="center"/>
          </w:tcPr>
          <w:p w:rsidR="00743320" w:rsidRPr="00775168" w:rsidRDefault="00DF7F26" w:rsidP="00775168">
            <w:pPr>
              <w:pStyle w:val="P68B1DB1-aff281"/>
              <w:ind w:firstLineChars="0" w:firstLine="0"/>
              <w:jc w:val="center"/>
              <w:rPr>
                <w:rFonts w:cs="Times New Roman" w:hint="default"/>
              </w:rPr>
            </w:pPr>
            <w:r w:rsidRPr="00775168">
              <w:t>Tablet</w:t>
            </w:r>
          </w:p>
        </w:tc>
        <w:tc>
          <w:tcPr>
            <w:tcW w:w="1945" w:type="dxa"/>
            <w:vAlign w:val="center"/>
          </w:tcPr>
          <w:p w:rsidR="00743320" w:rsidRPr="00775168" w:rsidRDefault="00DF7F26" w:rsidP="00775168">
            <w:pPr>
              <w:pStyle w:val="P68B1DB1-aff283"/>
              <w:ind w:firstLineChars="0" w:firstLine="0"/>
              <w:jc w:val="center"/>
              <w:rPr>
                <w:rFonts w:cs="Times New Roman" w:hint="default"/>
              </w:rPr>
            </w:pPr>
            <w:r w:rsidRPr="00775168">
              <w:t>125 mg 21 tablets/box</w:t>
            </w:r>
          </w:p>
        </w:tc>
        <w:tc>
          <w:tcPr>
            <w:tcW w:w="1701" w:type="dxa"/>
            <w:vAlign w:val="center"/>
          </w:tcPr>
          <w:p w:rsidR="00743320" w:rsidRPr="00775168" w:rsidRDefault="00DF7F26" w:rsidP="00775168">
            <w:pPr>
              <w:pStyle w:val="P68B1DB1-aff281"/>
              <w:ind w:firstLineChars="0" w:firstLine="0"/>
              <w:jc w:val="center"/>
              <w:rPr>
                <w:rFonts w:cs="Times New Roman" w:hint="default"/>
              </w:rPr>
            </w:pPr>
            <w:r w:rsidRPr="00775168">
              <w:t>Oral</w:t>
            </w:r>
          </w:p>
        </w:tc>
        <w:tc>
          <w:tcPr>
            <w:tcW w:w="1838" w:type="dxa"/>
            <w:vAlign w:val="center"/>
          </w:tcPr>
          <w:p w:rsidR="00743320" w:rsidRPr="00775168" w:rsidRDefault="00DF7F26" w:rsidP="00775168">
            <w:pPr>
              <w:pStyle w:val="P68B1DB1-aff283"/>
              <w:ind w:firstLineChars="0" w:firstLine="0"/>
              <w:jc w:val="center"/>
              <w:rPr>
                <w:rFonts w:cs="Times New Roman" w:hint="default"/>
              </w:rPr>
            </w:pPr>
            <w:r w:rsidRPr="00775168">
              <w:t>24 months</w:t>
            </w:r>
          </w:p>
        </w:tc>
      </w:tr>
      <w:tr w:rsidR="00743320" w:rsidRPr="00775168">
        <w:trPr>
          <w:trHeight w:val="593"/>
          <w:jc w:val="center"/>
        </w:trPr>
        <w:tc>
          <w:tcPr>
            <w:tcW w:w="3078" w:type="dxa"/>
            <w:vAlign w:val="center"/>
          </w:tcPr>
          <w:p w:rsidR="00743320" w:rsidRPr="00775168" w:rsidRDefault="00775168" w:rsidP="00775168">
            <w:pPr>
              <w:pStyle w:val="P68B1DB1-aff281"/>
              <w:ind w:firstLineChars="0" w:firstLine="0"/>
              <w:jc w:val="center"/>
              <w:rPr>
                <w:rFonts w:hint="default"/>
              </w:rPr>
            </w:pPr>
            <w:r w:rsidRPr="00775168">
              <w:rPr>
                <w:rFonts w:hint="default"/>
              </w:rPr>
              <w:t>Af</w:t>
            </w:r>
            <w:r w:rsidRPr="00775168">
              <w:t>atinib</w:t>
            </w:r>
            <w:r w:rsidR="00DF7F26" w:rsidRPr="00775168">
              <w:t xml:space="preserve"> maleate</w:t>
            </w:r>
          </w:p>
        </w:tc>
        <w:tc>
          <w:tcPr>
            <w:tcW w:w="1356" w:type="dxa"/>
            <w:vAlign w:val="center"/>
          </w:tcPr>
          <w:p w:rsidR="00743320" w:rsidRPr="00775168" w:rsidRDefault="00DF7F26" w:rsidP="00775168">
            <w:pPr>
              <w:pStyle w:val="P68B1DB1-aff281"/>
              <w:ind w:firstLineChars="0" w:firstLine="0"/>
              <w:jc w:val="center"/>
              <w:rPr>
                <w:rFonts w:hint="default"/>
              </w:rPr>
            </w:pPr>
            <w:r w:rsidRPr="00775168">
              <w:t>Tablet</w:t>
            </w:r>
          </w:p>
        </w:tc>
        <w:tc>
          <w:tcPr>
            <w:tcW w:w="1945" w:type="dxa"/>
            <w:vAlign w:val="center"/>
          </w:tcPr>
          <w:p w:rsidR="00743320" w:rsidRPr="00775168" w:rsidRDefault="00DF7F26" w:rsidP="00775168">
            <w:pPr>
              <w:pStyle w:val="P68B1DB1-aff284"/>
              <w:ind w:firstLineChars="0" w:firstLine="0"/>
              <w:jc w:val="center"/>
              <w:rPr>
                <w:rFonts w:hint="default"/>
              </w:rPr>
            </w:pPr>
            <w:r w:rsidRPr="00775168">
              <w:t>30 mg/40 mg</w:t>
            </w:r>
          </w:p>
        </w:tc>
        <w:tc>
          <w:tcPr>
            <w:tcW w:w="1701" w:type="dxa"/>
            <w:vAlign w:val="center"/>
          </w:tcPr>
          <w:p w:rsidR="00743320" w:rsidRPr="00775168" w:rsidRDefault="00DF7F26" w:rsidP="00775168">
            <w:pPr>
              <w:pStyle w:val="P68B1DB1-aff285"/>
              <w:ind w:firstLineChars="0" w:firstLine="0"/>
              <w:jc w:val="center"/>
            </w:pPr>
            <w:r w:rsidRPr="00775168">
              <w:t>Oral</w:t>
            </w:r>
          </w:p>
        </w:tc>
        <w:tc>
          <w:tcPr>
            <w:tcW w:w="1838" w:type="dxa"/>
            <w:vAlign w:val="center"/>
          </w:tcPr>
          <w:p w:rsidR="00743320" w:rsidRPr="00775168" w:rsidRDefault="00DF7F26" w:rsidP="00775168">
            <w:pPr>
              <w:pStyle w:val="P68B1DB1-aff284"/>
              <w:ind w:firstLineChars="0" w:firstLine="0"/>
              <w:jc w:val="center"/>
              <w:rPr>
                <w:rFonts w:hint="default"/>
              </w:rPr>
            </w:pPr>
            <w:r w:rsidRPr="00775168">
              <w:t>36 months</w:t>
            </w:r>
          </w:p>
        </w:tc>
      </w:tr>
      <w:tr w:rsidR="00743320" w:rsidRPr="00775168">
        <w:trPr>
          <w:trHeight w:val="593"/>
          <w:jc w:val="center"/>
        </w:trPr>
        <w:tc>
          <w:tcPr>
            <w:tcW w:w="3078" w:type="dxa"/>
            <w:vAlign w:val="center"/>
          </w:tcPr>
          <w:p w:rsidR="00743320" w:rsidRPr="00775168" w:rsidRDefault="00DF7F26" w:rsidP="00775168">
            <w:pPr>
              <w:pStyle w:val="P68B1DB1-aff281"/>
              <w:ind w:firstLineChars="0" w:firstLine="0"/>
              <w:jc w:val="center"/>
              <w:rPr>
                <w:rFonts w:hint="default"/>
              </w:rPr>
            </w:pPr>
            <w:r w:rsidRPr="00775168">
              <w:t>Dacotinib Tablets</w:t>
            </w:r>
          </w:p>
        </w:tc>
        <w:tc>
          <w:tcPr>
            <w:tcW w:w="1356" w:type="dxa"/>
            <w:vAlign w:val="center"/>
          </w:tcPr>
          <w:p w:rsidR="00743320" w:rsidRPr="00775168" w:rsidRDefault="00DF7F26" w:rsidP="00775168">
            <w:pPr>
              <w:pStyle w:val="P68B1DB1-aff281"/>
              <w:ind w:firstLineChars="0" w:firstLine="0"/>
              <w:jc w:val="center"/>
              <w:rPr>
                <w:rFonts w:hint="default"/>
              </w:rPr>
            </w:pPr>
            <w:r w:rsidRPr="00775168">
              <w:t>Tablet</w:t>
            </w:r>
          </w:p>
        </w:tc>
        <w:tc>
          <w:tcPr>
            <w:tcW w:w="1945" w:type="dxa"/>
            <w:vAlign w:val="center"/>
          </w:tcPr>
          <w:p w:rsidR="00743320" w:rsidRPr="00775168" w:rsidRDefault="00DF7F26" w:rsidP="00775168">
            <w:pPr>
              <w:pStyle w:val="P68B1DB1-aff284"/>
              <w:ind w:firstLineChars="0" w:firstLine="0"/>
              <w:jc w:val="center"/>
              <w:rPr>
                <w:rFonts w:hint="default"/>
              </w:rPr>
            </w:pPr>
            <w:r w:rsidRPr="00775168">
              <w:t>15 mg/45 mg</w:t>
            </w:r>
          </w:p>
        </w:tc>
        <w:tc>
          <w:tcPr>
            <w:tcW w:w="1701" w:type="dxa"/>
            <w:vAlign w:val="center"/>
          </w:tcPr>
          <w:p w:rsidR="00743320" w:rsidRPr="00775168" w:rsidRDefault="00DF7F26" w:rsidP="00775168">
            <w:pPr>
              <w:pStyle w:val="P68B1DB1-aff281"/>
              <w:ind w:firstLineChars="0" w:firstLine="0"/>
              <w:jc w:val="center"/>
              <w:rPr>
                <w:rFonts w:hint="default"/>
              </w:rPr>
            </w:pPr>
            <w:r w:rsidRPr="00775168">
              <w:t>Oral</w:t>
            </w:r>
          </w:p>
        </w:tc>
        <w:tc>
          <w:tcPr>
            <w:tcW w:w="1838" w:type="dxa"/>
            <w:vAlign w:val="center"/>
          </w:tcPr>
          <w:p w:rsidR="00743320" w:rsidRPr="00775168" w:rsidRDefault="00DF7F26" w:rsidP="00775168">
            <w:pPr>
              <w:pStyle w:val="P68B1DB1-aff284"/>
              <w:ind w:firstLineChars="0" w:firstLine="0"/>
              <w:jc w:val="center"/>
              <w:rPr>
                <w:rFonts w:hint="default"/>
              </w:rPr>
            </w:pPr>
            <w:r w:rsidRPr="00775168">
              <w:t>60 months</w:t>
            </w:r>
          </w:p>
        </w:tc>
      </w:tr>
      <w:tr w:rsidR="00743320" w:rsidRPr="00775168">
        <w:trPr>
          <w:trHeight w:val="593"/>
          <w:jc w:val="center"/>
        </w:trPr>
        <w:tc>
          <w:tcPr>
            <w:tcW w:w="3078" w:type="dxa"/>
            <w:vAlign w:val="center"/>
          </w:tcPr>
          <w:p w:rsidR="00743320" w:rsidRPr="00775168" w:rsidRDefault="00DF7F26" w:rsidP="00775168">
            <w:pPr>
              <w:pStyle w:val="P68B1DB1-aff281"/>
              <w:ind w:firstLineChars="0" w:firstLine="0"/>
              <w:jc w:val="center"/>
              <w:rPr>
                <w:rFonts w:hint="default"/>
              </w:rPr>
            </w:pPr>
            <w:r w:rsidRPr="00775168">
              <w:t>Osimertinib</w:t>
            </w:r>
          </w:p>
        </w:tc>
        <w:tc>
          <w:tcPr>
            <w:tcW w:w="1356" w:type="dxa"/>
            <w:vAlign w:val="center"/>
          </w:tcPr>
          <w:p w:rsidR="00743320" w:rsidRPr="00775168" w:rsidRDefault="00DF7F26" w:rsidP="00775168">
            <w:pPr>
              <w:pStyle w:val="P68B1DB1-aff281"/>
              <w:ind w:firstLineChars="0" w:firstLine="0"/>
              <w:jc w:val="center"/>
              <w:rPr>
                <w:rFonts w:hint="default"/>
              </w:rPr>
            </w:pPr>
            <w:r w:rsidRPr="00775168">
              <w:t>Tablet</w:t>
            </w:r>
          </w:p>
        </w:tc>
        <w:tc>
          <w:tcPr>
            <w:tcW w:w="1945" w:type="dxa"/>
            <w:vAlign w:val="center"/>
          </w:tcPr>
          <w:p w:rsidR="00743320" w:rsidRPr="00775168" w:rsidRDefault="00DF7F26" w:rsidP="00775168">
            <w:pPr>
              <w:pStyle w:val="P68B1DB1-aff284"/>
              <w:ind w:firstLineChars="0" w:firstLine="0"/>
              <w:jc w:val="center"/>
              <w:rPr>
                <w:rFonts w:hint="default"/>
              </w:rPr>
            </w:pPr>
            <w:r w:rsidRPr="00775168">
              <w:t>40 mg/80 mg</w:t>
            </w:r>
          </w:p>
        </w:tc>
        <w:tc>
          <w:tcPr>
            <w:tcW w:w="1701" w:type="dxa"/>
            <w:vAlign w:val="center"/>
          </w:tcPr>
          <w:p w:rsidR="00743320" w:rsidRPr="00775168" w:rsidRDefault="00DF7F26" w:rsidP="00775168">
            <w:pPr>
              <w:pStyle w:val="P68B1DB1-aff281"/>
              <w:ind w:firstLineChars="0" w:firstLine="0"/>
              <w:jc w:val="center"/>
              <w:rPr>
                <w:rFonts w:hint="default"/>
              </w:rPr>
            </w:pPr>
            <w:r w:rsidRPr="00775168">
              <w:t>Oral</w:t>
            </w:r>
          </w:p>
        </w:tc>
        <w:tc>
          <w:tcPr>
            <w:tcW w:w="1838" w:type="dxa"/>
            <w:vAlign w:val="center"/>
          </w:tcPr>
          <w:p w:rsidR="00743320" w:rsidRPr="00775168" w:rsidRDefault="00DF7F26" w:rsidP="00775168">
            <w:pPr>
              <w:pStyle w:val="P68B1DB1-aff284"/>
              <w:ind w:firstLineChars="0" w:firstLine="0"/>
              <w:jc w:val="center"/>
              <w:rPr>
                <w:rFonts w:hint="default"/>
              </w:rPr>
            </w:pPr>
            <w:r w:rsidRPr="00775168">
              <w:t>36 months</w:t>
            </w:r>
          </w:p>
        </w:tc>
      </w:tr>
    </w:tbl>
    <w:p w:rsidR="00743320" w:rsidRPr="00775168" w:rsidRDefault="00DF7F26">
      <w:pPr>
        <w:pStyle w:val="P68B1DB1-377"/>
        <w:rPr>
          <w:rFonts w:ascii="Times New Roman" w:hAnsi="Times New Roman" w:hint="default"/>
        </w:rPr>
      </w:pPr>
      <w:r w:rsidRPr="00775168">
        <w:rPr>
          <w:rFonts w:ascii="Times New Roman" w:hAnsi="Times New Roman"/>
        </w:rPr>
        <w:t xml:space="preserve">5.1.2 Labeling of Investigational Drug </w:t>
      </w:r>
    </w:p>
    <w:p w:rsidR="00743320" w:rsidRPr="00775168" w:rsidRDefault="00DF7F26" w:rsidP="00775168">
      <w:pPr>
        <w:pStyle w:val="P68B1DB1-11078"/>
        <w:snapToGrid w:val="0"/>
        <w:spacing w:before="240" w:line="360" w:lineRule="auto"/>
        <w:ind w:firstLine="480"/>
        <w:rPr>
          <w:rFonts w:cs="Times New Roman" w:hint="default"/>
        </w:rPr>
      </w:pPr>
      <w:r w:rsidRPr="00775168">
        <w:rPr>
          <w:rFonts w:cs="Times New Roman"/>
        </w:rPr>
        <w:t xml:space="preserve">See Appendix 8 for drug label. The specific drug packing strength and quantity are to be determined: the drug is packed in xx, how many plates per box and how many capsules per plate. </w:t>
      </w:r>
    </w:p>
    <w:p w:rsidR="00743320" w:rsidRPr="00775168" w:rsidRDefault="00DF7F26" w:rsidP="003A58EF">
      <w:pPr>
        <w:pStyle w:val="P68B1DB1-265"/>
        <w:rPr>
          <w:rFonts w:ascii="Times New Roman" w:eastAsia="宋体" w:hAnsi="Times New Roman" w:cs="宋体"/>
        </w:rPr>
      </w:pPr>
      <w:bookmarkStart w:id="162" w:name="_Toc178589680"/>
      <w:r w:rsidRPr="00775168">
        <w:rPr>
          <w:rFonts w:ascii="Times New Roman" w:eastAsia="宋体" w:hAnsi="Times New Roman" w:cs="宋体"/>
        </w:rPr>
        <w:t>5.2 Dosage and Regimen of the Drug</w:t>
      </w:r>
      <w:bookmarkEnd w:id="162"/>
      <w:r w:rsidRPr="00775168">
        <w:rPr>
          <w:rFonts w:ascii="Times New Roman" w:eastAsia="宋体" w:hAnsi="Times New Roman" w:cs="宋体"/>
        </w:rPr>
        <w:t xml:space="preserve"> </w:t>
      </w:r>
    </w:p>
    <w:p w:rsidR="00743320" w:rsidRPr="00775168" w:rsidRDefault="00DF7F26">
      <w:pPr>
        <w:pStyle w:val="P68B1DB1-a032"/>
        <w:spacing w:line="360" w:lineRule="auto"/>
        <w:ind w:firstLineChars="200" w:firstLine="482"/>
        <w:rPr>
          <w:rFonts w:hint="default"/>
        </w:rPr>
      </w:pPr>
      <w:r w:rsidRPr="00775168">
        <w:t xml:space="preserve">Administration of Anlotinib: </w:t>
      </w:r>
    </w:p>
    <w:p w:rsidR="00743320" w:rsidRPr="00775168" w:rsidRDefault="00DF7F26">
      <w:pPr>
        <w:spacing w:line="360" w:lineRule="auto"/>
        <w:ind w:firstLineChars="200" w:firstLine="480"/>
        <w:rPr>
          <w:sz w:val="24"/>
        </w:rPr>
      </w:pPr>
      <w:r w:rsidRPr="00775168">
        <w:rPr>
          <w:rFonts w:hint="eastAsia"/>
          <w:sz w:val="24"/>
        </w:rPr>
        <w:t xml:space="preserve">12 mg/capsule, 1 capsule each time, once a day, before meals (try to take it at the same time every day). Patients who experienced complete response (CR), partial response (PR), and stable disease (SD) continued dosing until disease progression, intolerable toxicity, or patient request discontinuation. Dosing was discontinued in patients with progressive disease (PD). </w:t>
      </w:r>
    </w:p>
    <w:p w:rsidR="00743320" w:rsidRPr="00775168" w:rsidRDefault="00DF7F26">
      <w:pPr>
        <w:pStyle w:val="P68B1DB1-a033"/>
        <w:spacing w:line="360" w:lineRule="auto"/>
        <w:ind w:firstLineChars="200" w:firstLine="482"/>
      </w:pPr>
      <w:r w:rsidRPr="00775168">
        <w:rPr>
          <w:rFonts w:hint="eastAsia"/>
          <w:b/>
        </w:rPr>
        <w:t xml:space="preserve">EGFR-TKIs: Refer to the package insert of the marketed drug for the dosing regimen. </w:t>
      </w:r>
    </w:p>
    <w:p w:rsidR="00743320" w:rsidRPr="00775168" w:rsidRDefault="00DF7F26">
      <w:pPr>
        <w:pStyle w:val="P68B1DB1-265"/>
        <w:rPr>
          <w:rFonts w:ascii="Times New Roman" w:eastAsia="宋体" w:hAnsi="Times New Roman" w:cs="Times New Roman"/>
        </w:rPr>
      </w:pPr>
      <w:bookmarkStart w:id="163" w:name="_Toc178589681"/>
      <w:bookmarkStart w:id="164" w:name="_Toc512941704"/>
      <w:bookmarkStart w:id="165" w:name="_Toc512940950"/>
      <w:r w:rsidRPr="00775168">
        <w:rPr>
          <w:rFonts w:ascii="Times New Roman" w:eastAsia="宋体" w:hAnsi="Times New Roman" w:cs="宋体"/>
        </w:rPr>
        <w:t>5.3 Dose Modifications</w:t>
      </w:r>
      <w:bookmarkEnd w:id="163"/>
      <w:r w:rsidRPr="00775168">
        <w:rPr>
          <w:rFonts w:ascii="Times New Roman" w:eastAsia="宋体" w:hAnsi="Times New Roman" w:cs="宋体"/>
        </w:rPr>
        <w:t xml:space="preserve"> </w:t>
      </w:r>
      <w:bookmarkEnd w:id="164"/>
      <w:bookmarkEnd w:id="165"/>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For the treatment regimen and dose adjustment of anlotinib hydrochloride combined with EGFR-TKIs, the dose of anlotinib will be preferentially adjusted to maintain the dose of the original EGFR-TKIs. The dose of EGFR-TKIs will be adjusted only when the subject presents with the adverse reactions concerned by corresponding EGFR-TKIs. See Section 6.2 for dose adjustment.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lastRenderedPageBreak/>
        <w:t xml:space="preserve">The dose levels of each dose group were as follows: </w:t>
      </w:r>
      <w:r w:rsidRPr="00775168">
        <w:rPr>
          <w:rFonts w:hAnsi="Times New Roman"/>
        </w:rPr>
        <w:t>①</w:t>
      </w:r>
      <w:r w:rsidRPr="00775168">
        <w:rPr>
          <w:rFonts w:hAnsi="Times New Roman"/>
        </w:rPr>
        <w:t xml:space="preserve"> initial dose: 12 mg, qd; </w:t>
      </w:r>
      <w:r w:rsidRPr="00775168">
        <w:rPr>
          <w:rFonts w:hAnsi="Times New Roman"/>
        </w:rPr>
        <w:t>②</w:t>
      </w:r>
      <w:r w:rsidRPr="00775168">
        <w:rPr>
          <w:rFonts w:hAnsi="Times New Roman"/>
        </w:rPr>
        <w:t xml:space="preserve"> dose reduction: 10 mg, qd; </w:t>
      </w:r>
      <w:r w:rsidRPr="00775168">
        <w:rPr>
          <w:rFonts w:hAnsi="Times New Roman"/>
        </w:rPr>
        <w:t>②</w:t>
      </w:r>
      <w:r w:rsidRPr="00775168">
        <w:rPr>
          <w:rFonts w:hAnsi="Times New Roman"/>
        </w:rPr>
        <w:t xml:space="preserve"> dose reduction: 8 mg, qd. The use of drugs for dose administration and dose level adjustment was shown in the table below: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Starting dose and dose reduction </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5"/>
        <w:gridCol w:w="2765"/>
        <w:gridCol w:w="2766"/>
      </w:tblGrid>
      <w:tr w:rsidR="00743320" w:rsidRPr="00775168">
        <w:trPr>
          <w:trHeight w:val="297"/>
          <w:jc w:val="center"/>
        </w:trPr>
        <w:tc>
          <w:tcPr>
            <w:tcW w:w="2765" w:type="dxa"/>
            <w:vAlign w:val="center"/>
          </w:tcPr>
          <w:p w:rsidR="00743320" w:rsidRPr="00775168" w:rsidRDefault="00743320">
            <w:pPr>
              <w:pStyle w:val="110"/>
              <w:snapToGrid w:val="0"/>
              <w:spacing w:before="240"/>
              <w:ind w:firstLineChars="0" w:firstLine="0"/>
              <w:jc w:val="center"/>
              <w:rPr>
                <w:rFonts w:ascii="Times New Roman" w:hAnsi="Times New Roman" w:cs="Times New Roman"/>
                <w:sz w:val="24"/>
              </w:rPr>
            </w:pPr>
          </w:p>
        </w:tc>
        <w:tc>
          <w:tcPr>
            <w:tcW w:w="5531" w:type="dxa"/>
            <w:gridSpan w:val="2"/>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Test group </w:t>
            </w:r>
          </w:p>
        </w:tc>
      </w:tr>
      <w:tr w:rsidR="00743320" w:rsidRPr="00775168">
        <w:trPr>
          <w:jc w:val="center"/>
        </w:trPr>
        <w:tc>
          <w:tcPr>
            <w:tcW w:w="2765" w:type="dxa"/>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Treatment Regimen </w:t>
            </w:r>
          </w:p>
        </w:tc>
        <w:tc>
          <w:tcPr>
            <w:tcW w:w="2765" w:type="dxa"/>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Anlotinib Hydrochloride </w:t>
            </w:r>
          </w:p>
        </w:tc>
        <w:tc>
          <w:tcPr>
            <w:tcW w:w="2766" w:type="dxa"/>
            <w:vAlign w:val="center"/>
          </w:tcPr>
          <w:p w:rsidR="00743320" w:rsidRPr="00775168" w:rsidRDefault="00DF7F26">
            <w:pPr>
              <w:pStyle w:val="P68B1DB1-11086"/>
              <w:snapToGrid w:val="0"/>
              <w:spacing w:before="240"/>
              <w:ind w:firstLineChars="0" w:firstLine="0"/>
              <w:jc w:val="center"/>
            </w:pPr>
            <w:r w:rsidRPr="00775168">
              <w:t xml:space="preserve">EGR-TKIs </w:t>
            </w:r>
          </w:p>
        </w:tc>
      </w:tr>
      <w:tr w:rsidR="00743320" w:rsidRPr="00775168">
        <w:trPr>
          <w:jc w:val="center"/>
        </w:trPr>
        <w:tc>
          <w:tcPr>
            <w:tcW w:w="2765" w:type="dxa"/>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Starting dose </w:t>
            </w:r>
          </w:p>
        </w:tc>
        <w:tc>
          <w:tcPr>
            <w:tcW w:w="2765" w:type="dxa"/>
            <w:vAlign w:val="center"/>
          </w:tcPr>
          <w:p w:rsidR="00743320" w:rsidRPr="00775168" w:rsidRDefault="00DF7F26">
            <w:pPr>
              <w:pStyle w:val="P68B1DB1-11086"/>
              <w:snapToGrid w:val="0"/>
              <w:spacing w:before="240"/>
              <w:ind w:firstLineChars="0" w:firstLine="0"/>
              <w:jc w:val="center"/>
            </w:pPr>
            <w:r w:rsidRPr="00775168">
              <w:t xml:space="preserve">12 mg </w:t>
            </w:r>
          </w:p>
        </w:tc>
        <w:tc>
          <w:tcPr>
            <w:tcW w:w="2766" w:type="dxa"/>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Pre-Entry Dose </w:t>
            </w:r>
          </w:p>
        </w:tc>
      </w:tr>
      <w:tr w:rsidR="00743320" w:rsidRPr="00775168">
        <w:trPr>
          <w:jc w:val="center"/>
        </w:trPr>
        <w:tc>
          <w:tcPr>
            <w:tcW w:w="2765" w:type="dxa"/>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First Dose Adjustment </w:t>
            </w:r>
          </w:p>
        </w:tc>
        <w:tc>
          <w:tcPr>
            <w:tcW w:w="2765" w:type="dxa"/>
            <w:vAlign w:val="center"/>
          </w:tcPr>
          <w:p w:rsidR="00743320" w:rsidRPr="00775168" w:rsidRDefault="00DF7F26">
            <w:pPr>
              <w:pStyle w:val="P68B1DB1-11086"/>
              <w:snapToGrid w:val="0"/>
              <w:spacing w:before="240"/>
              <w:ind w:firstLineChars="0" w:firstLine="0"/>
              <w:jc w:val="center"/>
            </w:pPr>
            <w:r w:rsidRPr="00775168">
              <w:t xml:space="preserve">10 mg </w:t>
            </w:r>
          </w:p>
        </w:tc>
        <w:tc>
          <w:tcPr>
            <w:tcW w:w="2766" w:type="dxa"/>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Pre-Entry Dose </w:t>
            </w:r>
          </w:p>
        </w:tc>
      </w:tr>
      <w:tr w:rsidR="00743320" w:rsidRPr="00775168">
        <w:trPr>
          <w:jc w:val="center"/>
        </w:trPr>
        <w:tc>
          <w:tcPr>
            <w:tcW w:w="2765" w:type="dxa"/>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Second Dose Modification </w:t>
            </w:r>
          </w:p>
        </w:tc>
        <w:tc>
          <w:tcPr>
            <w:tcW w:w="2765" w:type="dxa"/>
            <w:vAlign w:val="center"/>
          </w:tcPr>
          <w:p w:rsidR="00743320" w:rsidRPr="00775168" w:rsidRDefault="00DF7F26">
            <w:pPr>
              <w:pStyle w:val="P68B1DB1-11086"/>
              <w:snapToGrid w:val="0"/>
              <w:spacing w:before="240"/>
              <w:ind w:firstLineChars="0" w:firstLine="0"/>
              <w:jc w:val="center"/>
            </w:pPr>
            <w:r w:rsidRPr="00775168">
              <w:t xml:space="preserve">8 mg </w:t>
            </w:r>
          </w:p>
        </w:tc>
        <w:tc>
          <w:tcPr>
            <w:tcW w:w="2766" w:type="dxa"/>
            <w:vAlign w:val="center"/>
          </w:tcPr>
          <w:p w:rsidR="00743320" w:rsidRPr="00775168" w:rsidRDefault="00DF7F26">
            <w:pPr>
              <w:pStyle w:val="P68B1DB1-11079"/>
              <w:snapToGrid w:val="0"/>
              <w:spacing w:before="240"/>
              <w:ind w:firstLineChars="0" w:firstLine="0"/>
              <w:jc w:val="center"/>
              <w:rPr>
                <w:rFonts w:cs="Times New Roman" w:hint="default"/>
              </w:rPr>
            </w:pPr>
            <w:r w:rsidRPr="00775168">
              <w:t xml:space="preserve">Pre-Entry Dose </w:t>
            </w:r>
          </w:p>
        </w:tc>
      </w:tr>
    </w:tbl>
    <w:p w:rsidR="00743320" w:rsidRPr="00775168" w:rsidRDefault="00DF7F26">
      <w:pPr>
        <w:pStyle w:val="P68B1DB1-377"/>
        <w:rPr>
          <w:rFonts w:ascii="Times New Roman" w:hAnsi="Times New Roman" w:hint="default"/>
        </w:rPr>
      </w:pPr>
      <w:r w:rsidRPr="00775168">
        <w:rPr>
          <w:rFonts w:ascii="Times New Roman" w:hAnsi="Times New Roman"/>
        </w:rPr>
        <w:t xml:space="preserve">5.3.1 Dose </w:t>
      </w:r>
      <w:r w:rsidR="00775168" w:rsidRPr="00775168">
        <w:rPr>
          <w:rFonts w:ascii="Times New Roman" w:hAnsi="Times New Roman" w:hint="default"/>
        </w:rPr>
        <w:t>I</w:t>
      </w:r>
      <w:r w:rsidR="00775168" w:rsidRPr="00775168">
        <w:rPr>
          <w:rFonts w:ascii="Times New Roman" w:hAnsi="Times New Roman"/>
        </w:rPr>
        <w:t>nterruption</w:t>
      </w:r>
      <w:r w:rsidRPr="00775168">
        <w:rPr>
          <w:rFonts w:ascii="Times New Roman" w:hAnsi="Times New Roman"/>
        </w:rPr>
        <w:t xml:space="preserve"> or </w:t>
      </w:r>
      <w:r w:rsidR="00775168" w:rsidRPr="00775168">
        <w:rPr>
          <w:rFonts w:ascii="Times New Roman" w:hAnsi="Times New Roman" w:hint="default"/>
        </w:rPr>
        <w:t>Reduction</w:t>
      </w:r>
      <w:r w:rsidRPr="00775168">
        <w:rPr>
          <w:rFonts w:ascii="Times New Roman" w:hAnsi="Times New Roman"/>
        </w:rPr>
        <w:t xml:space="preserve"> Criteria </w:t>
      </w:r>
    </w:p>
    <w:p w:rsidR="00743320" w:rsidRPr="00775168" w:rsidRDefault="00DF7F26">
      <w:pPr>
        <w:pStyle w:val="P68B1DB1-a023"/>
        <w:spacing w:line="360" w:lineRule="auto"/>
        <w:ind w:firstLineChars="200" w:firstLine="480"/>
        <w:rPr>
          <w:rFonts w:hAnsi="Times New Roman" w:cs="宋体" w:hint="default"/>
        </w:rPr>
      </w:pPr>
      <w:r w:rsidRPr="00775168">
        <w:rPr>
          <w:rFonts w:hAnsi="Times New Roman"/>
        </w:rPr>
        <w:t xml:space="preserve">During treatment, dose interruption is required due to unrecovered drug toxicity. The cumulative duration of dose interruption due to drug toxicity in each dosing cycle is recommended to not exceed 2 weeks; and dose interruption should not exceed 2 times in each cycle, so as to ensure the drug intensity received by subjects. If the above criteria are exceeded and the investigator judges that the subject may benefit from continued treatment, the investigator may discuss with the sponsor to determine whether the subject should continue to take the study drug.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Do not revert back to the previous level after downtitration. Subjects were allowed up to two dose modifications.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Dose interruption and dose reduction are allowed only when hematological toxicity reaches grade III or non-hematological toxicity reaches grade II and above; in non-hematological toxicity, controllable nausea, vomiting and fever (below 38</w:t>
      </w:r>
      <w:r w:rsidRPr="00775168">
        <w:rPr>
          <w:rFonts w:hAnsi="Times New Roman"/>
        </w:rPr>
        <w:t>℃</w:t>
      </w:r>
      <w:r w:rsidRPr="00775168">
        <w:rPr>
          <w:rFonts w:hAnsi="Times New Roman"/>
        </w:rPr>
        <w:t xml:space="preserve">) with definite cause can be treated aggressively and symptomatically without dose interruption and dose reduction. </w:t>
      </w:r>
    </w:p>
    <w:p w:rsidR="00743320" w:rsidRPr="00775168" w:rsidRDefault="00743320">
      <w:pPr>
        <w:spacing w:line="360" w:lineRule="auto"/>
        <w:ind w:firstLineChars="200" w:firstLine="480"/>
        <w:rPr>
          <w:rFonts w:cs="宋体"/>
          <w:sz w:val="24"/>
        </w:rPr>
      </w:pPr>
    </w:p>
    <w:p w:rsidR="00743320" w:rsidRPr="00775168" w:rsidRDefault="00DF7F26">
      <w:pPr>
        <w:pStyle w:val="P68B1DB1-377"/>
        <w:rPr>
          <w:rFonts w:ascii="Times New Roman" w:hAnsi="Times New Roman" w:hint="default"/>
        </w:rPr>
      </w:pPr>
      <w:r w:rsidRPr="00775168">
        <w:rPr>
          <w:rFonts w:ascii="Times New Roman" w:hAnsi="Times New Roman"/>
        </w:rPr>
        <w:t xml:space="preserve">5.3.2 Details of </w:t>
      </w:r>
      <w:r w:rsidR="00775168" w:rsidRPr="00775168">
        <w:rPr>
          <w:rFonts w:ascii="Times New Roman" w:hAnsi="Times New Roman" w:hint="default"/>
        </w:rPr>
        <w:t>D</w:t>
      </w:r>
      <w:r w:rsidRPr="00775168">
        <w:rPr>
          <w:rFonts w:ascii="Times New Roman" w:hAnsi="Times New Roman"/>
        </w:rPr>
        <w:t xml:space="preserve">ose </w:t>
      </w:r>
      <w:r w:rsidR="00775168" w:rsidRPr="00775168">
        <w:rPr>
          <w:rFonts w:ascii="Times New Roman" w:hAnsi="Times New Roman" w:hint="default"/>
        </w:rPr>
        <w:t>I</w:t>
      </w:r>
      <w:r w:rsidRPr="00775168">
        <w:rPr>
          <w:rFonts w:ascii="Times New Roman" w:hAnsi="Times New Roman"/>
        </w:rPr>
        <w:t xml:space="preserve">nterruption or </w:t>
      </w:r>
      <w:r w:rsidR="00775168" w:rsidRPr="00775168">
        <w:rPr>
          <w:rFonts w:ascii="Times New Roman" w:hAnsi="Times New Roman" w:hint="default"/>
        </w:rPr>
        <w:t>R</w:t>
      </w:r>
      <w:r w:rsidRPr="00775168">
        <w:rPr>
          <w:rFonts w:ascii="Times New Roman" w:hAnsi="Times New Roman"/>
        </w:rPr>
        <w:t xml:space="preserve">eduction </w:t>
      </w:r>
      <w:r w:rsidR="00775168" w:rsidRPr="00775168">
        <w:rPr>
          <w:rFonts w:ascii="Times New Roman" w:hAnsi="Times New Roman" w:hint="default"/>
        </w:rPr>
        <w:t>C</w:t>
      </w:r>
      <w:r w:rsidRPr="00775168">
        <w:rPr>
          <w:rFonts w:ascii="Times New Roman" w:hAnsi="Times New Roman"/>
        </w:rPr>
        <w:t xml:space="preserve">riteria </w:t>
      </w:r>
    </w:p>
    <w:p w:rsidR="00743320" w:rsidRPr="00775168" w:rsidRDefault="00DF7F26">
      <w:pPr>
        <w:pStyle w:val="P68B1DB1-11079"/>
        <w:snapToGrid w:val="0"/>
        <w:spacing w:before="240"/>
        <w:ind w:firstLine="480"/>
        <w:rPr>
          <w:rFonts w:hint="default"/>
        </w:rPr>
      </w:pPr>
      <w:r w:rsidRPr="00775168">
        <w:t xml:space="preserve">To ensure consistency of dose adjustment throughout the study, dose interruption was performed first when dose adjustment was performed in each dosing cycle. Dose interruptions and reductions are shown in the table below (as long as downtitration conditions are met, it is considered to be poorly tolerated and the dose should be reduced) </w:t>
      </w:r>
    </w:p>
    <w:p w:rsidR="00743320" w:rsidRPr="00775168" w:rsidRDefault="00DF7F26">
      <w:pPr>
        <w:pStyle w:val="P68B1DB1-11087"/>
        <w:snapToGrid w:val="0"/>
        <w:spacing w:before="240"/>
        <w:ind w:firstLine="482"/>
        <w:rPr>
          <w:rFonts w:cs="Times New Roman" w:hint="default"/>
        </w:rPr>
      </w:pPr>
      <w:r w:rsidRPr="00775168">
        <w:t xml:space="preserve">Dose Modification Rule </w:t>
      </w:r>
    </w:p>
    <w:tbl>
      <w:tblPr>
        <w:tblW w:w="8758"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firstRow="1" w:lastRow="0" w:firstColumn="1" w:lastColumn="0" w:noHBand="0" w:noVBand="1"/>
      </w:tblPr>
      <w:tblGrid>
        <w:gridCol w:w="2377"/>
        <w:gridCol w:w="6381"/>
      </w:tblGrid>
      <w:tr w:rsidR="00743320" w:rsidRPr="00775168">
        <w:trPr>
          <w:trHeight w:val="469"/>
          <w:jc w:val="center"/>
        </w:trPr>
        <w:tc>
          <w:tcPr>
            <w:tcW w:w="2377" w:type="dxa"/>
            <w:tcBorders>
              <w:right w:val="single" w:sz="6" w:space="0" w:color="000000"/>
            </w:tcBorders>
            <w:vAlign w:val="center"/>
          </w:tcPr>
          <w:p w:rsidR="00743320" w:rsidRPr="00775168" w:rsidRDefault="00DF7F26" w:rsidP="00775168">
            <w:pPr>
              <w:pStyle w:val="P68B1DB1-TableParagraph47"/>
              <w:spacing w:line="449" w:lineRule="exact"/>
              <w:ind w:left="107"/>
              <w:jc w:val="center"/>
              <w:rPr>
                <w:rFonts w:ascii="Times New Roman" w:hAnsi="Times New Roman" w:cs="Times New Roman"/>
              </w:rPr>
            </w:pPr>
            <w:r w:rsidRPr="00775168">
              <w:rPr>
                <w:rFonts w:ascii="Times New Roman" w:eastAsia="Times New Roman" w:hAnsi="Times New Roman" w:cs="Times New Roman"/>
                <w:b/>
              </w:rPr>
              <w:t>NCI Toxicity Grade</w:t>
            </w:r>
          </w:p>
        </w:tc>
        <w:tc>
          <w:tcPr>
            <w:tcW w:w="6381" w:type="dxa"/>
            <w:tcBorders>
              <w:left w:val="single" w:sz="6" w:space="0" w:color="000000"/>
            </w:tcBorders>
            <w:vAlign w:val="center"/>
          </w:tcPr>
          <w:p w:rsidR="00743320" w:rsidRPr="00775168" w:rsidRDefault="00DF7F26" w:rsidP="00775168">
            <w:pPr>
              <w:pStyle w:val="P68B1DB1-TableParagraph10"/>
              <w:spacing w:line="449" w:lineRule="exact"/>
              <w:jc w:val="center"/>
              <w:rPr>
                <w:rFonts w:ascii="Times New Roman" w:hAnsi="Times New Roman" w:cs="Times New Roman" w:hint="default"/>
              </w:rPr>
            </w:pPr>
            <w:r w:rsidRPr="00775168">
              <w:rPr>
                <w:rFonts w:ascii="Times New Roman" w:hAnsi="Times New Roman"/>
              </w:rPr>
              <w:t>Dose Modifications for Hematologic Toxicities</w:t>
            </w:r>
          </w:p>
        </w:tc>
      </w:tr>
      <w:tr w:rsidR="00743320" w:rsidRPr="00775168">
        <w:trPr>
          <w:trHeight w:val="467"/>
          <w:jc w:val="center"/>
        </w:trPr>
        <w:tc>
          <w:tcPr>
            <w:tcW w:w="2377" w:type="dxa"/>
            <w:tcBorders>
              <w:bottom w:val="single" w:sz="6" w:space="0" w:color="000000"/>
              <w:right w:val="single" w:sz="6" w:space="0" w:color="000000"/>
            </w:tcBorders>
            <w:vAlign w:val="center"/>
          </w:tcPr>
          <w:p w:rsidR="00743320" w:rsidRPr="00775168" w:rsidRDefault="00DF7F26">
            <w:pPr>
              <w:pStyle w:val="P68B1DB1-TableParagraph10"/>
              <w:spacing w:line="447" w:lineRule="exact"/>
              <w:ind w:left="107"/>
              <w:jc w:val="center"/>
              <w:rPr>
                <w:rFonts w:ascii="Times New Roman" w:hAnsi="Times New Roman" w:cs="Times New Roman" w:hint="default"/>
              </w:rPr>
            </w:pPr>
            <w:r w:rsidRPr="00775168">
              <w:rPr>
                <w:rFonts w:ascii="Times New Roman" w:hAnsi="Times New Roman"/>
              </w:rPr>
              <w:lastRenderedPageBreak/>
              <w:t xml:space="preserve">Grade I hematological toxicity </w:t>
            </w:r>
          </w:p>
        </w:tc>
        <w:tc>
          <w:tcPr>
            <w:tcW w:w="6381" w:type="dxa"/>
            <w:tcBorders>
              <w:left w:val="single" w:sz="6" w:space="0" w:color="000000"/>
              <w:bottom w:val="single" w:sz="6" w:space="0" w:color="000000"/>
            </w:tcBorders>
            <w:vAlign w:val="center"/>
          </w:tcPr>
          <w:p w:rsidR="00743320" w:rsidRPr="00775168" w:rsidRDefault="00DF7F26">
            <w:pPr>
              <w:pStyle w:val="P68B1DB1-TableParagraph10"/>
              <w:spacing w:line="447" w:lineRule="exact"/>
              <w:ind w:left="114"/>
              <w:jc w:val="center"/>
              <w:rPr>
                <w:rFonts w:ascii="Times New Roman" w:hAnsi="Times New Roman" w:cs="Times New Roman" w:hint="default"/>
              </w:rPr>
            </w:pPr>
            <w:r w:rsidRPr="00775168">
              <w:rPr>
                <w:rFonts w:ascii="Times New Roman" w:hAnsi="Times New Roman"/>
              </w:rPr>
              <w:t xml:space="preserve">Maintain original dose level (appropriate symptomatic treatment) </w:t>
            </w:r>
          </w:p>
        </w:tc>
      </w:tr>
      <w:tr w:rsidR="00743320" w:rsidRPr="00775168">
        <w:trPr>
          <w:trHeight w:val="469"/>
          <w:jc w:val="center"/>
        </w:trPr>
        <w:tc>
          <w:tcPr>
            <w:tcW w:w="2377" w:type="dxa"/>
            <w:tcBorders>
              <w:top w:val="single" w:sz="6" w:space="0" w:color="000000"/>
              <w:bottom w:val="single" w:sz="6" w:space="0" w:color="000000"/>
              <w:right w:val="single" w:sz="6" w:space="0" w:color="000000"/>
            </w:tcBorders>
            <w:vAlign w:val="center"/>
          </w:tcPr>
          <w:p w:rsidR="00743320" w:rsidRPr="00775168" w:rsidRDefault="00DF7F26">
            <w:pPr>
              <w:pStyle w:val="P68B1DB1-TableParagraph10"/>
              <w:spacing w:line="450" w:lineRule="exact"/>
              <w:ind w:left="107"/>
              <w:jc w:val="center"/>
              <w:rPr>
                <w:rFonts w:ascii="Times New Roman" w:hAnsi="Times New Roman" w:cs="Times New Roman" w:hint="default"/>
              </w:rPr>
            </w:pPr>
            <w:r w:rsidRPr="00775168">
              <w:rPr>
                <w:rFonts w:ascii="Times New Roman" w:hAnsi="Times New Roman"/>
              </w:rPr>
              <w:t xml:space="preserve">Grade II hematologic toxicity </w:t>
            </w:r>
          </w:p>
        </w:tc>
        <w:tc>
          <w:tcPr>
            <w:tcW w:w="6381" w:type="dxa"/>
            <w:tcBorders>
              <w:top w:val="single" w:sz="6" w:space="0" w:color="000000"/>
              <w:left w:val="single" w:sz="6" w:space="0" w:color="000000"/>
              <w:bottom w:val="single" w:sz="6" w:space="0" w:color="000000"/>
            </w:tcBorders>
            <w:vAlign w:val="center"/>
          </w:tcPr>
          <w:p w:rsidR="00743320" w:rsidRPr="00775168" w:rsidRDefault="00DF7F26">
            <w:pPr>
              <w:pStyle w:val="P68B1DB1-TableParagraph10"/>
              <w:spacing w:line="450" w:lineRule="exact"/>
              <w:ind w:left="114"/>
              <w:jc w:val="center"/>
              <w:rPr>
                <w:rFonts w:ascii="Times New Roman" w:hAnsi="Times New Roman" w:cs="Times New Roman" w:hint="default"/>
              </w:rPr>
            </w:pPr>
            <w:r w:rsidRPr="00775168">
              <w:rPr>
                <w:rFonts w:ascii="Times New Roman" w:hAnsi="Times New Roman"/>
              </w:rPr>
              <w:t xml:space="preserve">Maintain original dose level (appropriate symptomatic treatment) </w:t>
            </w:r>
          </w:p>
        </w:tc>
      </w:tr>
      <w:tr w:rsidR="00743320" w:rsidRPr="00775168">
        <w:trPr>
          <w:trHeight w:val="935"/>
          <w:jc w:val="center"/>
        </w:trPr>
        <w:tc>
          <w:tcPr>
            <w:tcW w:w="2377" w:type="dxa"/>
            <w:tcBorders>
              <w:top w:val="single" w:sz="6" w:space="0" w:color="000000"/>
              <w:bottom w:val="single" w:sz="6" w:space="0" w:color="000000"/>
              <w:right w:val="single" w:sz="6" w:space="0" w:color="000000"/>
            </w:tcBorders>
            <w:vAlign w:val="center"/>
          </w:tcPr>
          <w:p w:rsidR="00743320" w:rsidRPr="00775168" w:rsidRDefault="00DF7F26">
            <w:pPr>
              <w:pStyle w:val="P68B1DB1-TableParagraph10"/>
              <w:spacing w:before="196"/>
              <w:ind w:left="107"/>
              <w:jc w:val="center"/>
              <w:rPr>
                <w:rFonts w:ascii="Times New Roman" w:hAnsi="Times New Roman" w:cs="Times New Roman" w:hint="default"/>
              </w:rPr>
            </w:pPr>
            <w:r w:rsidRPr="00775168">
              <w:rPr>
                <w:rFonts w:ascii="Times New Roman" w:hAnsi="Times New Roman"/>
              </w:rPr>
              <w:t xml:space="preserve">Grade III hematological toxicity </w:t>
            </w:r>
          </w:p>
        </w:tc>
        <w:tc>
          <w:tcPr>
            <w:tcW w:w="6381" w:type="dxa"/>
            <w:tcBorders>
              <w:top w:val="single" w:sz="6" w:space="0" w:color="000000"/>
              <w:left w:val="single" w:sz="6" w:space="0" w:color="000000"/>
              <w:bottom w:val="single" w:sz="6" w:space="0" w:color="000000"/>
            </w:tcBorders>
            <w:vAlign w:val="center"/>
          </w:tcPr>
          <w:p w:rsidR="00743320" w:rsidRPr="00775168" w:rsidRDefault="00DF7F26">
            <w:pPr>
              <w:pStyle w:val="P68B1DB1-TableParagraph47"/>
              <w:spacing w:line="452" w:lineRule="exact"/>
              <w:ind w:left="114"/>
              <w:jc w:val="center"/>
              <w:rPr>
                <w:rFonts w:ascii="Times New Roman" w:hAnsi="Times New Roman" w:cs="Times New Roman"/>
              </w:rPr>
            </w:pPr>
            <w:r w:rsidRPr="00775168">
              <w:rPr>
                <w:rFonts w:ascii="Times New Roman" w:hAnsi="Times New Roman" w:hint="eastAsia"/>
              </w:rPr>
              <w:t xml:space="preserve">First suspend the drug and treat symptomatically, and then treat according to the original agent after the toxicity recovers to </w:t>
            </w:r>
            <w:r w:rsidRPr="00775168">
              <w:rPr>
                <w:rFonts w:ascii="Times New Roman" w:hAnsi="Times New Roman" w:hint="eastAsia"/>
              </w:rPr>
              <w:t>≤</w:t>
            </w:r>
            <w:r w:rsidRPr="00775168">
              <w:rPr>
                <w:rFonts w:ascii="Times New Roman" w:hAnsi="Times New Roman" w:hint="eastAsia"/>
              </w:rPr>
              <w:t xml:space="preserve"> grade II </w:t>
            </w:r>
          </w:p>
          <w:p w:rsidR="00743320" w:rsidRPr="00775168" w:rsidRDefault="00DF7F26">
            <w:pPr>
              <w:pStyle w:val="P68B1DB1-TableParagraph10"/>
              <w:spacing w:line="463" w:lineRule="exact"/>
              <w:ind w:left="114"/>
              <w:jc w:val="center"/>
              <w:rPr>
                <w:rFonts w:ascii="Times New Roman" w:hAnsi="Times New Roman" w:cs="Times New Roman" w:hint="default"/>
              </w:rPr>
            </w:pPr>
            <w:r w:rsidRPr="00775168">
              <w:rPr>
                <w:rFonts w:ascii="Times New Roman" w:hAnsi="Times New Roman"/>
              </w:rPr>
              <w:t xml:space="preserve">Volume Continue Treatment </w:t>
            </w:r>
          </w:p>
        </w:tc>
      </w:tr>
      <w:tr w:rsidR="00743320" w:rsidRPr="00775168">
        <w:trPr>
          <w:trHeight w:val="935"/>
          <w:jc w:val="center"/>
        </w:trPr>
        <w:tc>
          <w:tcPr>
            <w:tcW w:w="2377" w:type="dxa"/>
            <w:tcBorders>
              <w:top w:val="single" w:sz="6" w:space="0" w:color="000000"/>
              <w:right w:val="single" w:sz="6" w:space="0" w:color="000000"/>
            </w:tcBorders>
            <w:vAlign w:val="center"/>
          </w:tcPr>
          <w:p w:rsidR="00743320" w:rsidRPr="00775168" w:rsidRDefault="00DF7F26">
            <w:pPr>
              <w:pStyle w:val="P68B1DB1-TableParagraph10"/>
              <w:spacing w:before="199"/>
              <w:ind w:left="107"/>
              <w:jc w:val="center"/>
              <w:rPr>
                <w:rFonts w:ascii="Times New Roman" w:hAnsi="Times New Roman" w:cs="Times New Roman" w:hint="default"/>
              </w:rPr>
            </w:pPr>
            <w:r w:rsidRPr="00775168">
              <w:rPr>
                <w:rFonts w:ascii="Times New Roman" w:hAnsi="Times New Roman"/>
              </w:rPr>
              <w:t xml:space="preserve">Grade IV hematologic toxicity </w:t>
            </w:r>
          </w:p>
        </w:tc>
        <w:tc>
          <w:tcPr>
            <w:tcW w:w="6381" w:type="dxa"/>
            <w:tcBorders>
              <w:top w:val="single" w:sz="6" w:space="0" w:color="000000"/>
              <w:left w:val="single" w:sz="6" w:space="0" w:color="000000"/>
            </w:tcBorders>
            <w:vAlign w:val="center"/>
          </w:tcPr>
          <w:p w:rsidR="00743320" w:rsidRPr="00775168" w:rsidRDefault="00DF7F26">
            <w:pPr>
              <w:pStyle w:val="P68B1DB1-TableParagraph47"/>
              <w:spacing w:line="453" w:lineRule="exact"/>
              <w:ind w:left="114"/>
              <w:jc w:val="center"/>
              <w:rPr>
                <w:rFonts w:ascii="Times New Roman" w:hAnsi="Times New Roman" w:cs="Times New Roman"/>
              </w:rPr>
            </w:pPr>
            <w:r w:rsidRPr="00775168">
              <w:rPr>
                <w:rFonts w:ascii="Times New Roman" w:hAnsi="Times New Roman" w:hint="eastAsia"/>
              </w:rPr>
              <w:t xml:space="preserve">Withhold the drug first and treat symptomatically, and downregulate one after the toxicity recovers to </w:t>
            </w:r>
            <w:r w:rsidRPr="00775168">
              <w:rPr>
                <w:rFonts w:ascii="Times New Roman" w:hAnsi="Times New Roman" w:hint="eastAsia"/>
              </w:rPr>
              <w:t>≤</w:t>
            </w:r>
            <w:r w:rsidRPr="00775168">
              <w:rPr>
                <w:rFonts w:ascii="Times New Roman" w:hAnsi="Times New Roman" w:hint="eastAsia"/>
              </w:rPr>
              <w:t xml:space="preserve"> grade II </w:t>
            </w:r>
          </w:p>
          <w:p w:rsidR="00743320" w:rsidRPr="00775168" w:rsidRDefault="00DF7F26">
            <w:pPr>
              <w:pStyle w:val="P68B1DB1-TableParagraph10"/>
              <w:spacing w:line="463" w:lineRule="exact"/>
              <w:ind w:left="114"/>
              <w:jc w:val="center"/>
              <w:rPr>
                <w:rFonts w:ascii="Times New Roman" w:hAnsi="Times New Roman" w:cs="Times New Roman" w:hint="default"/>
              </w:rPr>
            </w:pPr>
            <w:r w:rsidRPr="00775168">
              <w:rPr>
                <w:rFonts w:ascii="Times New Roman" w:hAnsi="Times New Roman"/>
              </w:rPr>
              <w:t xml:space="preserve">Dose Level Continuation </w:t>
            </w:r>
          </w:p>
        </w:tc>
      </w:tr>
      <w:tr w:rsidR="00743320" w:rsidRPr="00775168">
        <w:trPr>
          <w:trHeight w:val="469"/>
          <w:jc w:val="center"/>
        </w:trPr>
        <w:tc>
          <w:tcPr>
            <w:tcW w:w="2377" w:type="dxa"/>
            <w:tcBorders>
              <w:right w:val="single" w:sz="6" w:space="0" w:color="000000"/>
            </w:tcBorders>
            <w:vAlign w:val="center"/>
          </w:tcPr>
          <w:p w:rsidR="00743320" w:rsidRPr="00775168" w:rsidRDefault="00743320">
            <w:pPr>
              <w:pStyle w:val="TableParagraph"/>
              <w:jc w:val="center"/>
              <w:rPr>
                <w:rFonts w:ascii="Times New Roman" w:hAnsi="Times New Roman" w:cs="Times New Roman"/>
              </w:rPr>
            </w:pPr>
          </w:p>
        </w:tc>
        <w:tc>
          <w:tcPr>
            <w:tcW w:w="6381" w:type="dxa"/>
            <w:tcBorders>
              <w:left w:val="single" w:sz="6" w:space="0" w:color="000000"/>
            </w:tcBorders>
            <w:vAlign w:val="center"/>
          </w:tcPr>
          <w:p w:rsidR="00743320" w:rsidRPr="00775168" w:rsidRDefault="00DF7F26">
            <w:pPr>
              <w:pStyle w:val="P68B1DB1-TableParagraph10"/>
              <w:spacing w:line="449" w:lineRule="exact"/>
              <w:ind w:left="1871"/>
              <w:jc w:val="center"/>
              <w:rPr>
                <w:rFonts w:ascii="Times New Roman" w:hAnsi="Times New Roman" w:cs="Times New Roman" w:hint="default"/>
              </w:rPr>
            </w:pPr>
            <w:r w:rsidRPr="00775168">
              <w:rPr>
                <w:rFonts w:ascii="Times New Roman" w:hAnsi="Times New Roman"/>
              </w:rPr>
              <w:t xml:space="preserve">Dose Modifications for Non-Hematologic Toxicities </w:t>
            </w:r>
          </w:p>
        </w:tc>
      </w:tr>
      <w:tr w:rsidR="00743320" w:rsidRPr="00775168">
        <w:trPr>
          <w:trHeight w:val="467"/>
          <w:jc w:val="center"/>
        </w:trPr>
        <w:tc>
          <w:tcPr>
            <w:tcW w:w="2377" w:type="dxa"/>
            <w:tcBorders>
              <w:bottom w:val="single" w:sz="6" w:space="0" w:color="000000"/>
              <w:right w:val="single" w:sz="6" w:space="0" w:color="000000"/>
            </w:tcBorders>
            <w:vAlign w:val="center"/>
          </w:tcPr>
          <w:p w:rsidR="00743320" w:rsidRPr="00775168" w:rsidRDefault="00DF7F26">
            <w:pPr>
              <w:pStyle w:val="P68B1DB1-TableParagraph10"/>
              <w:spacing w:line="447" w:lineRule="exact"/>
              <w:ind w:left="107"/>
              <w:jc w:val="center"/>
              <w:rPr>
                <w:rFonts w:ascii="Times New Roman" w:hAnsi="Times New Roman" w:cs="Times New Roman" w:hint="default"/>
              </w:rPr>
            </w:pPr>
            <w:r w:rsidRPr="00775168">
              <w:rPr>
                <w:rFonts w:ascii="Times New Roman" w:hAnsi="Times New Roman"/>
              </w:rPr>
              <w:t xml:space="preserve">Grade I non-hematological toxicity </w:t>
            </w:r>
          </w:p>
        </w:tc>
        <w:tc>
          <w:tcPr>
            <w:tcW w:w="6381" w:type="dxa"/>
            <w:tcBorders>
              <w:left w:val="single" w:sz="6" w:space="0" w:color="000000"/>
              <w:bottom w:val="single" w:sz="6" w:space="0" w:color="000000"/>
            </w:tcBorders>
            <w:vAlign w:val="center"/>
          </w:tcPr>
          <w:p w:rsidR="00743320" w:rsidRPr="00775168" w:rsidRDefault="00DF7F26">
            <w:pPr>
              <w:pStyle w:val="P68B1DB1-TableParagraph10"/>
              <w:spacing w:line="447" w:lineRule="exact"/>
              <w:ind w:left="114"/>
              <w:jc w:val="center"/>
              <w:rPr>
                <w:rFonts w:ascii="Times New Roman" w:hAnsi="Times New Roman" w:cs="Times New Roman" w:hint="default"/>
              </w:rPr>
            </w:pPr>
            <w:r w:rsidRPr="00775168">
              <w:rPr>
                <w:rFonts w:ascii="Times New Roman" w:hAnsi="Times New Roman"/>
              </w:rPr>
              <w:t xml:space="preserve">Maintain original dose level (appropriate symptomatic treatment) </w:t>
            </w:r>
          </w:p>
        </w:tc>
      </w:tr>
      <w:tr w:rsidR="00743320" w:rsidRPr="00775168">
        <w:trPr>
          <w:trHeight w:val="1403"/>
          <w:jc w:val="center"/>
        </w:trPr>
        <w:tc>
          <w:tcPr>
            <w:tcW w:w="2377" w:type="dxa"/>
            <w:tcBorders>
              <w:top w:val="single" w:sz="6" w:space="0" w:color="000000"/>
              <w:bottom w:val="single" w:sz="6" w:space="0" w:color="000000"/>
              <w:right w:val="single" w:sz="6" w:space="0" w:color="000000"/>
            </w:tcBorders>
            <w:vAlign w:val="center"/>
          </w:tcPr>
          <w:p w:rsidR="00743320" w:rsidRPr="00775168" w:rsidRDefault="00743320">
            <w:pPr>
              <w:pStyle w:val="TableParagraph"/>
              <w:spacing w:before="7"/>
              <w:jc w:val="center"/>
              <w:rPr>
                <w:rFonts w:ascii="Times New Roman" w:hAnsi="Times New Roman" w:cs="Times New Roman"/>
                <w:sz w:val="20"/>
              </w:rPr>
            </w:pPr>
          </w:p>
          <w:p w:rsidR="00743320" w:rsidRPr="00775168" w:rsidRDefault="00DF7F26">
            <w:pPr>
              <w:pStyle w:val="P68B1DB1-TableParagraph10"/>
              <w:ind w:left="107"/>
              <w:jc w:val="center"/>
              <w:rPr>
                <w:rFonts w:ascii="Times New Roman" w:hAnsi="Times New Roman" w:cs="Times New Roman" w:hint="default"/>
              </w:rPr>
            </w:pPr>
            <w:r w:rsidRPr="00775168">
              <w:rPr>
                <w:rFonts w:ascii="Times New Roman" w:hAnsi="Times New Roman"/>
              </w:rPr>
              <w:t xml:space="preserve">Grade II non-hematological toxicity </w:t>
            </w:r>
          </w:p>
        </w:tc>
        <w:tc>
          <w:tcPr>
            <w:tcW w:w="6381" w:type="dxa"/>
            <w:tcBorders>
              <w:top w:val="single" w:sz="6" w:space="0" w:color="000000"/>
              <w:left w:val="single" w:sz="6" w:space="0" w:color="000000"/>
              <w:bottom w:val="single" w:sz="6" w:space="0" w:color="000000"/>
            </w:tcBorders>
            <w:vAlign w:val="center"/>
          </w:tcPr>
          <w:p w:rsidR="00743320" w:rsidRPr="00775168" w:rsidRDefault="00DF7F26">
            <w:pPr>
              <w:pStyle w:val="P68B1DB1-TableParagraph47"/>
              <w:spacing w:line="220" w:lineRule="auto"/>
              <w:ind w:left="114" w:right="2"/>
              <w:jc w:val="center"/>
              <w:rPr>
                <w:rFonts w:ascii="Times New Roman" w:hAnsi="Times New Roman" w:cs="Times New Roman"/>
              </w:rPr>
            </w:pPr>
            <w:r w:rsidRPr="00775168">
              <w:rPr>
                <w:rFonts w:ascii="Times New Roman" w:hAnsi="Times New Roman" w:hint="eastAsia"/>
              </w:rPr>
              <w:t xml:space="preserve">Treat symptomatically, and continue medication if the toxicity recovers to </w:t>
            </w:r>
            <w:r w:rsidRPr="00775168">
              <w:rPr>
                <w:rFonts w:ascii="Times New Roman" w:hAnsi="Times New Roman" w:hint="eastAsia"/>
              </w:rPr>
              <w:t>≤</w:t>
            </w:r>
            <w:r w:rsidRPr="00775168">
              <w:rPr>
                <w:rFonts w:ascii="Times New Roman" w:hAnsi="Times New Roman" w:hint="eastAsia"/>
              </w:rPr>
              <w:t xml:space="preserve"> Grade I one week later; if the toxicity is not improved or aggravated, suspend the medication until the toxicity recovers to </w:t>
            </w:r>
          </w:p>
          <w:p w:rsidR="00743320" w:rsidRPr="00775168" w:rsidRDefault="00DF7F26">
            <w:pPr>
              <w:pStyle w:val="P68B1DB1-TableParagraph47"/>
              <w:spacing w:line="455" w:lineRule="exact"/>
              <w:ind w:left="114"/>
              <w:jc w:val="center"/>
              <w:rPr>
                <w:rFonts w:ascii="Times New Roman" w:hAnsi="Times New Roman" w:cs="Times New Roman"/>
              </w:rPr>
            </w:pPr>
            <w:r w:rsidRPr="00775168">
              <w:rPr>
                <w:rFonts w:ascii="Times New Roman" w:hAnsi="Times New Roman" w:cs="Times New Roman"/>
              </w:rPr>
              <w:t xml:space="preserve">≤ Grade I, and then continue the treatment at the original dose level </w:t>
            </w:r>
          </w:p>
        </w:tc>
      </w:tr>
      <w:tr w:rsidR="00743320" w:rsidRPr="00775168">
        <w:trPr>
          <w:trHeight w:val="937"/>
          <w:jc w:val="center"/>
        </w:trPr>
        <w:tc>
          <w:tcPr>
            <w:tcW w:w="2377" w:type="dxa"/>
            <w:tcBorders>
              <w:top w:val="single" w:sz="6" w:space="0" w:color="000000"/>
              <w:bottom w:val="single" w:sz="6" w:space="0" w:color="000000"/>
              <w:right w:val="single" w:sz="6" w:space="0" w:color="000000"/>
            </w:tcBorders>
            <w:vAlign w:val="center"/>
          </w:tcPr>
          <w:p w:rsidR="00743320" w:rsidRPr="00775168" w:rsidRDefault="00DF7F26">
            <w:pPr>
              <w:pStyle w:val="P68B1DB1-TableParagraph10"/>
              <w:spacing w:before="199"/>
              <w:ind w:left="107"/>
              <w:jc w:val="center"/>
              <w:rPr>
                <w:rFonts w:ascii="Times New Roman" w:hAnsi="Times New Roman" w:cs="Times New Roman" w:hint="default"/>
              </w:rPr>
            </w:pPr>
            <w:r w:rsidRPr="00775168">
              <w:rPr>
                <w:rFonts w:ascii="Times New Roman" w:hAnsi="Times New Roman"/>
              </w:rPr>
              <w:t xml:space="preserve">Grade III non-hematological toxicity </w:t>
            </w:r>
          </w:p>
        </w:tc>
        <w:tc>
          <w:tcPr>
            <w:tcW w:w="6381" w:type="dxa"/>
            <w:tcBorders>
              <w:top w:val="single" w:sz="6" w:space="0" w:color="000000"/>
              <w:left w:val="single" w:sz="6" w:space="0" w:color="000000"/>
              <w:bottom w:val="single" w:sz="6" w:space="0" w:color="000000"/>
            </w:tcBorders>
            <w:vAlign w:val="center"/>
          </w:tcPr>
          <w:p w:rsidR="00743320" w:rsidRPr="00775168" w:rsidRDefault="00DF7F26">
            <w:pPr>
              <w:pStyle w:val="P68B1DB1-TableParagraph47"/>
              <w:spacing w:line="455" w:lineRule="exact"/>
              <w:ind w:left="114"/>
              <w:jc w:val="center"/>
              <w:rPr>
                <w:rFonts w:ascii="Times New Roman" w:hAnsi="Times New Roman" w:cs="Times New Roman"/>
              </w:rPr>
            </w:pPr>
            <w:r w:rsidRPr="00775168">
              <w:rPr>
                <w:rFonts w:ascii="Times New Roman" w:hAnsi="Times New Roman" w:hint="eastAsia"/>
              </w:rPr>
              <w:t xml:space="preserve">Withhold the drug and give symptomatic treatment, and continue to follow the original instructions after the toxicity recovers to </w:t>
            </w:r>
            <w:r w:rsidRPr="00775168">
              <w:rPr>
                <w:rFonts w:ascii="Times New Roman" w:hAnsi="Times New Roman" w:hint="eastAsia"/>
              </w:rPr>
              <w:t>≤</w:t>
            </w:r>
            <w:r w:rsidRPr="00775168">
              <w:rPr>
                <w:rFonts w:ascii="Times New Roman" w:hAnsi="Times New Roman" w:hint="eastAsia"/>
              </w:rPr>
              <w:t xml:space="preserve"> Grade I </w:t>
            </w:r>
          </w:p>
          <w:p w:rsidR="00743320" w:rsidRPr="00775168" w:rsidRDefault="00DF7F26">
            <w:pPr>
              <w:pStyle w:val="P68B1DB1-TableParagraph10"/>
              <w:spacing w:line="463" w:lineRule="exact"/>
              <w:ind w:left="114"/>
              <w:jc w:val="center"/>
              <w:rPr>
                <w:rFonts w:ascii="Times New Roman" w:hAnsi="Times New Roman" w:cs="Times New Roman" w:hint="default"/>
              </w:rPr>
            </w:pPr>
            <w:r w:rsidRPr="00775168">
              <w:rPr>
                <w:rFonts w:ascii="Times New Roman" w:hAnsi="Times New Roman"/>
              </w:rPr>
              <w:t xml:space="preserve">Dose treatment, or dose reduction by 1 dose level to continue at the discretion of the investigator </w:t>
            </w:r>
          </w:p>
        </w:tc>
      </w:tr>
      <w:tr w:rsidR="00743320" w:rsidRPr="00775168">
        <w:trPr>
          <w:trHeight w:val="2339"/>
          <w:jc w:val="center"/>
        </w:trPr>
        <w:tc>
          <w:tcPr>
            <w:tcW w:w="2377" w:type="dxa"/>
            <w:tcBorders>
              <w:top w:val="single" w:sz="6" w:space="0" w:color="000000"/>
              <w:right w:val="single" w:sz="6" w:space="0" w:color="000000"/>
            </w:tcBorders>
            <w:vAlign w:val="center"/>
          </w:tcPr>
          <w:p w:rsidR="00743320" w:rsidRPr="00775168" w:rsidRDefault="00743320">
            <w:pPr>
              <w:pStyle w:val="TableParagraph"/>
              <w:jc w:val="center"/>
              <w:rPr>
                <w:rFonts w:ascii="Times New Roman" w:hAnsi="Times New Roman" w:cs="Times New Roman"/>
                <w:sz w:val="24"/>
              </w:rPr>
            </w:pPr>
          </w:p>
          <w:p w:rsidR="00743320" w:rsidRPr="00775168" w:rsidRDefault="00743320">
            <w:pPr>
              <w:pStyle w:val="TableParagraph"/>
              <w:spacing w:before="9"/>
              <w:jc w:val="center"/>
              <w:rPr>
                <w:rFonts w:ascii="Times New Roman" w:hAnsi="Times New Roman" w:cs="Times New Roman"/>
                <w:sz w:val="18"/>
              </w:rPr>
            </w:pPr>
          </w:p>
          <w:p w:rsidR="00743320" w:rsidRPr="00775168" w:rsidRDefault="00DF7F26">
            <w:pPr>
              <w:pStyle w:val="P68B1DB1-TableParagraph10"/>
              <w:ind w:left="107"/>
              <w:jc w:val="center"/>
              <w:rPr>
                <w:rFonts w:ascii="Times New Roman" w:hAnsi="Times New Roman" w:cs="Times New Roman" w:hint="default"/>
              </w:rPr>
            </w:pPr>
            <w:r w:rsidRPr="00775168">
              <w:rPr>
                <w:rFonts w:ascii="Times New Roman" w:hAnsi="Times New Roman"/>
              </w:rPr>
              <w:t xml:space="preserve">Grade IV non-hematological toxicity </w:t>
            </w:r>
          </w:p>
        </w:tc>
        <w:tc>
          <w:tcPr>
            <w:tcW w:w="6381" w:type="dxa"/>
            <w:tcBorders>
              <w:top w:val="single" w:sz="6" w:space="0" w:color="000000"/>
              <w:left w:val="single" w:sz="6" w:space="0" w:color="000000"/>
            </w:tcBorders>
            <w:vAlign w:val="center"/>
          </w:tcPr>
          <w:p w:rsidR="00743320" w:rsidRPr="00775168" w:rsidRDefault="00DF7F26">
            <w:pPr>
              <w:pStyle w:val="P68B1DB1-TableParagraph47"/>
              <w:spacing w:line="220" w:lineRule="auto"/>
              <w:ind w:left="114" w:right="-44"/>
              <w:jc w:val="center"/>
              <w:rPr>
                <w:rFonts w:ascii="Times New Roman" w:hAnsi="Times New Roman" w:cs="Times New Roman"/>
              </w:rPr>
            </w:pPr>
            <w:r w:rsidRPr="00775168">
              <w:rPr>
                <w:rFonts w:ascii="Times New Roman" w:hAnsi="Times New Roman" w:hint="eastAsia"/>
              </w:rPr>
              <w:t xml:space="preserve">Dose interruption and symptomatic treatment. After the toxicity recovers to </w:t>
            </w:r>
            <w:r w:rsidRPr="00775168">
              <w:rPr>
                <w:rFonts w:ascii="Times New Roman" w:hAnsi="Times New Roman" w:hint="eastAsia"/>
              </w:rPr>
              <w:t>≤</w:t>
            </w:r>
            <w:r w:rsidRPr="00775168">
              <w:rPr>
                <w:rFonts w:ascii="Times New Roman" w:hAnsi="Times New Roman" w:hint="eastAsia"/>
              </w:rPr>
              <w:t xml:space="preserve"> grade I, resume the treatment at a lower dose level. If grade IV toxicity occurs again, terminate the treatment and withdraw from the clinical study (immediately terminate the treatment and withdraw from the clinical study in case of life-threatening adverse reactions such as grade IV renal impairment, neurotoxicity, cardiotoxicity, and hepatotoxicity) </w:t>
            </w:r>
          </w:p>
        </w:tc>
      </w:tr>
      <w:tr w:rsidR="00743320" w:rsidRPr="00775168">
        <w:trPr>
          <w:trHeight w:val="466"/>
          <w:jc w:val="center"/>
        </w:trPr>
        <w:tc>
          <w:tcPr>
            <w:tcW w:w="8758" w:type="dxa"/>
            <w:gridSpan w:val="2"/>
            <w:vAlign w:val="center"/>
          </w:tcPr>
          <w:p w:rsidR="00743320" w:rsidRPr="00775168" w:rsidRDefault="00DF7F26">
            <w:pPr>
              <w:pStyle w:val="P68B1DB1-TableParagraph10"/>
              <w:spacing w:line="447" w:lineRule="exact"/>
              <w:ind w:left="3277" w:right="3251"/>
              <w:jc w:val="center"/>
              <w:rPr>
                <w:rFonts w:ascii="Times New Roman" w:hAnsi="Times New Roman" w:cs="Times New Roman" w:hint="default"/>
              </w:rPr>
            </w:pPr>
            <w:r w:rsidRPr="00775168">
              <w:rPr>
                <w:rFonts w:ascii="Times New Roman" w:hAnsi="Times New Roman"/>
              </w:rPr>
              <w:t xml:space="preserve">Adverse Reactions of </w:t>
            </w:r>
            <w:r w:rsidRPr="00775168">
              <w:rPr>
                <w:rFonts w:ascii="Times New Roman" w:hAnsi="Times New Roman"/>
              </w:rPr>
              <w:lastRenderedPageBreak/>
              <w:t xml:space="preserve">Special Concern </w:t>
            </w:r>
          </w:p>
        </w:tc>
      </w:tr>
      <w:tr w:rsidR="00743320" w:rsidRPr="00775168">
        <w:trPr>
          <w:trHeight w:val="1402"/>
          <w:jc w:val="center"/>
        </w:trPr>
        <w:tc>
          <w:tcPr>
            <w:tcW w:w="8758" w:type="dxa"/>
            <w:gridSpan w:val="2"/>
            <w:vAlign w:val="center"/>
          </w:tcPr>
          <w:p w:rsidR="00743320" w:rsidRPr="00775168" w:rsidRDefault="00DF7F26">
            <w:pPr>
              <w:pStyle w:val="P68B1DB1-TableParagraph47"/>
              <w:spacing w:line="220" w:lineRule="auto"/>
              <w:ind w:left="107" w:right="76" w:hanging="2"/>
              <w:jc w:val="center"/>
              <w:rPr>
                <w:rFonts w:ascii="Times New Roman" w:hAnsi="Times New Roman" w:cs="Times New Roman"/>
              </w:rPr>
            </w:pPr>
            <w:r w:rsidRPr="00775168">
              <w:rPr>
                <w:rFonts w:ascii="Times New Roman" w:hAnsi="Times New Roman" w:hint="eastAsia"/>
              </w:rPr>
              <w:lastRenderedPageBreak/>
              <w:t xml:space="preserve">Once hypertensive crisis, cerebral hemorrhage, </w:t>
            </w:r>
            <w:r w:rsidRPr="00775168">
              <w:rPr>
                <w:rFonts w:ascii="Times New Roman" w:hAnsi="Times New Roman" w:hint="eastAsia"/>
              </w:rPr>
              <w:t>≥</w:t>
            </w:r>
            <w:r w:rsidRPr="00775168">
              <w:rPr>
                <w:rFonts w:ascii="Times New Roman" w:hAnsi="Times New Roman" w:hint="eastAsia"/>
              </w:rPr>
              <w:t xml:space="preserve"> grade II pulmonary hemorrhage, </w:t>
            </w:r>
            <w:r w:rsidRPr="00775168">
              <w:rPr>
                <w:rFonts w:ascii="Times New Roman" w:hAnsi="Times New Roman" w:hint="eastAsia"/>
              </w:rPr>
              <w:t>≥</w:t>
            </w:r>
            <w:r w:rsidRPr="00775168">
              <w:rPr>
                <w:rFonts w:ascii="Times New Roman" w:hAnsi="Times New Roman" w:hint="eastAsia"/>
              </w:rPr>
              <w:t xml:space="preserve"> grade III other hemorrhage, arterial thrombosis, grade IV venous thrombosis, leukoencephalopathy syndrome and gastrointestinal perforation occur, the treatment should be terminated, the patient should withdraw from the clinical study and receive active symptomatic treatment </w:t>
            </w:r>
          </w:p>
          <w:p w:rsidR="00743320" w:rsidRPr="00775168" w:rsidRDefault="00DF7F26">
            <w:pPr>
              <w:pStyle w:val="P68B1DB1-TableParagraph10"/>
              <w:spacing w:line="452" w:lineRule="exact"/>
              <w:ind w:left="3277" w:right="3250"/>
              <w:jc w:val="center"/>
              <w:rPr>
                <w:rFonts w:ascii="Times New Roman" w:hAnsi="Times New Roman" w:cs="Times New Roman" w:hint="default"/>
              </w:rPr>
            </w:pPr>
            <w:r w:rsidRPr="00775168">
              <w:rPr>
                <w:rFonts w:ascii="Times New Roman" w:hAnsi="Times New Roman"/>
              </w:rPr>
              <w:t xml:space="preserve">Treatment </w:t>
            </w:r>
          </w:p>
        </w:tc>
      </w:tr>
    </w:tbl>
    <w:p w:rsidR="00743320" w:rsidRPr="00775168" w:rsidRDefault="00DF7F26">
      <w:pPr>
        <w:pStyle w:val="P68B1DB1-377"/>
        <w:rPr>
          <w:rFonts w:ascii="Times New Roman" w:hAnsi="Times New Roman" w:hint="default"/>
        </w:rPr>
      </w:pPr>
      <w:bookmarkStart w:id="166" w:name="_Toc512940951"/>
      <w:bookmarkStart w:id="167" w:name="_Toc512941705"/>
      <w:r w:rsidRPr="00775168">
        <w:rPr>
          <w:rFonts w:ascii="Times New Roman" w:hAnsi="Times New Roman"/>
        </w:rPr>
        <w:t xml:space="preserve">5.3.3 Treatment strategies after disease progression </w:t>
      </w:r>
    </w:p>
    <w:p w:rsidR="00743320" w:rsidRPr="00775168" w:rsidRDefault="00DF7F26" w:rsidP="00775168">
      <w:pPr>
        <w:pStyle w:val="P68B1DB1-a01"/>
        <w:widowControl/>
        <w:spacing w:line="360" w:lineRule="auto"/>
        <w:jc w:val="left"/>
      </w:pPr>
      <w:r w:rsidRPr="00775168">
        <w:rPr>
          <w:rFonts w:cs="宋体" w:hint="eastAsia"/>
        </w:rPr>
        <w:t xml:space="preserve">Patients who are evaluated as progressive disease (PD) according to RECIST 1.1, when one of the following conditions exists: a. with tumor center necrosis or density reduction and/or b. when the disease is </w:t>
      </w:r>
      <w:r w:rsidR="003A58EF" w:rsidRPr="00775168">
        <w:rPr>
          <w:rFonts w:cs="宋体"/>
        </w:rPr>
        <w:t>gradual</w:t>
      </w:r>
      <w:r w:rsidRPr="00775168">
        <w:rPr>
          <w:rFonts w:cs="宋体" w:hint="eastAsia"/>
        </w:rPr>
        <w:t xml:space="preserve"> or </w:t>
      </w:r>
      <w:r w:rsidR="003A58EF" w:rsidRPr="00775168">
        <w:rPr>
          <w:rFonts w:cs="宋体"/>
        </w:rPr>
        <w:t>oligo</w:t>
      </w:r>
      <w:r w:rsidRPr="00775168">
        <w:rPr>
          <w:rFonts w:cs="宋体" w:hint="eastAsia"/>
        </w:rPr>
        <w:t xml:space="preserve"> progression, the investigator determines that if the continuous use of the study drug may be clinically beneficial, and the patient actively makes a written application for continued medication, it is signed and recognized by the principal investigator of each sub-site and at least another physician with senior professional title, and the original numbered study drug may be continued after obtaining the consent of the sponsor, until the investigator determines that the patient's disease is clinically progressive. Patients must be withdrawn from the study when there is an outbreak of disease progression. </w:t>
      </w:r>
    </w:p>
    <w:p w:rsidR="00743320" w:rsidRPr="00775168" w:rsidRDefault="00DF7F26" w:rsidP="00775168">
      <w:pPr>
        <w:pStyle w:val="P68B1DB1-a01"/>
        <w:widowControl/>
        <w:spacing w:line="360" w:lineRule="auto"/>
        <w:jc w:val="left"/>
      </w:pPr>
      <w:r w:rsidRPr="00775168">
        <w:rPr>
          <w:rFonts w:hint="eastAsia"/>
        </w:rPr>
        <w:t xml:space="preserve">1) </w:t>
      </w:r>
      <w:r w:rsidR="003A58EF" w:rsidRPr="00775168">
        <w:t>Oligo</w:t>
      </w:r>
      <w:r w:rsidRPr="00775168">
        <w:rPr>
          <w:rFonts w:hint="eastAsia"/>
        </w:rPr>
        <w:t xml:space="preserve"> progression: isolated extracranial progression or intracranial progression; symptom score </w:t>
      </w:r>
      <w:r w:rsidRPr="00775168">
        <w:rPr>
          <w:rFonts w:hint="eastAsia"/>
        </w:rPr>
        <w:t>≤</w:t>
      </w:r>
      <w:r w:rsidRPr="00775168">
        <w:rPr>
          <w:rFonts w:hint="eastAsia"/>
        </w:rPr>
        <w:t xml:space="preserve"> 1; </w:t>
      </w:r>
    </w:p>
    <w:p w:rsidR="00743320" w:rsidRPr="00775168" w:rsidRDefault="00DF7F26" w:rsidP="00775168">
      <w:pPr>
        <w:pStyle w:val="P68B1DB1-a088"/>
        <w:widowControl/>
        <w:spacing w:line="360" w:lineRule="auto"/>
        <w:jc w:val="left"/>
        <w:rPr>
          <w:rFonts w:ascii="Times New Roman" w:hAnsi="Times New Roman" w:hint="default"/>
        </w:rPr>
      </w:pPr>
      <w:r w:rsidRPr="00775168">
        <w:rPr>
          <w:rFonts w:ascii="Times New Roman" w:hAnsi="Times New Roman"/>
        </w:rPr>
        <w:t xml:space="preserve">2) </w:t>
      </w:r>
      <w:r w:rsidR="003A58EF" w:rsidRPr="00775168">
        <w:rPr>
          <w:rFonts w:ascii="Times New Roman" w:hAnsi="Times New Roman" w:hint="default"/>
        </w:rPr>
        <w:t>G</w:t>
      </w:r>
      <w:r w:rsidR="003A58EF" w:rsidRPr="00775168">
        <w:rPr>
          <w:rFonts w:ascii="Times New Roman" w:hAnsi="Times New Roman"/>
        </w:rPr>
        <w:t>radual</w:t>
      </w:r>
      <w:r w:rsidRPr="00775168">
        <w:rPr>
          <w:rFonts w:ascii="Times New Roman" w:hAnsi="Times New Roman"/>
        </w:rPr>
        <w:t xml:space="preserve"> progression: slight increase in tumor burden (</w:t>
      </w:r>
      <w:r w:rsidRPr="00775168">
        <w:rPr>
          <w:rFonts w:ascii="Times New Roman" w:hAnsi="Times New Roman"/>
        </w:rPr>
        <w:t>≤</w:t>
      </w:r>
      <w:r w:rsidRPr="00775168">
        <w:rPr>
          <w:rFonts w:ascii="Times New Roman" w:hAnsi="Times New Roman"/>
        </w:rPr>
        <w:t xml:space="preserve"> 2 points) compared with previous assessment; symptom score </w:t>
      </w:r>
      <w:r w:rsidRPr="00775168">
        <w:rPr>
          <w:rFonts w:ascii="Times New Roman" w:hAnsi="Times New Roman"/>
        </w:rPr>
        <w:t>≤</w:t>
      </w:r>
      <w:r w:rsidRPr="00775168">
        <w:rPr>
          <w:rFonts w:ascii="Times New Roman" w:hAnsi="Times New Roman"/>
        </w:rPr>
        <w:t xml:space="preserve"> 1 </w:t>
      </w:r>
    </w:p>
    <w:p w:rsidR="00743320" w:rsidRPr="00775168" w:rsidRDefault="00DF7F26" w:rsidP="00775168">
      <w:pPr>
        <w:pStyle w:val="P68B1DB1-a089"/>
        <w:widowControl/>
        <w:spacing w:line="360" w:lineRule="auto"/>
        <w:jc w:val="left"/>
        <w:rPr>
          <w:rFonts w:ascii="Times New Roman" w:hint="default"/>
        </w:rPr>
      </w:pPr>
      <w:r w:rsidRPr="00775168">
        <w:rPr>
          <w:rFonts w:ascii="Times New Roman"/>
        </w:rPr>
        <w:t xml:space="preserve">3) </w:t>
      </w:r>
      <w:r w:rsidR="003A58EF" w:rsidRPr="00775168">
        <w:rPr>
          <w:rFonts w:ascii="Times New Roman" w:hint="default"/>
        </w:rPr>
        <w:t>D</w:t>
      </w:r>
      <w:r w:rsidR="003A58EF" w:rsidRPr="00775168">
        <w:rPr>
          <w:rFonts w:ascii="Times New Roman"/>
        </w:rPr>
        <w:t>ramatic</w:t>
      </w:r>
      <w:r w:rsidRPr="00775168">
        <w:rPr>
          <w:rFonts w:ascii="Times New Roman"/>
        </w:rPr>
        <w:t xml:space="preserve"> progression: rapid increase in tumor burden (&gt; 2 points) compared to previous assessment; symptom score = 2 </w:t>
      </w:r>
    </w:p>
    <w:p w:rsidR="00743320" w:rsidRPr="00775168" w:rsidRDefault="00DF7F26" w:rsidP="00775168">
      <w:pPr>
        <w:pStyle w:val="P68B1DB1-a01"/>
        <w:widowControl/>
        <w:spacing w:line="360" w:lineRule="auto"/>
        <w:jc w:val="left"/>
      </w:pPr>
      <w:r w:rsidRPr="00775168">
        <w:rPr>
          <w:rFonts w:eastAsia="TimesNewRomanPSMT" w:cs="TimesNewRomanPSMT"/>
        </w:rPr>
        <w:t xml:space="preserve">4) Symptom score: 0 for no symptom, 1 for no change in symptom, and 2 for symptom plus score; </w:t>
      </w:r>
    </w:p>
    <w:p w:rsidR="00743320" w:rsidRPr="00775168" w:rsidRDefault="00DF7F26" w:rsidP="00775168">
      <w:pPr>
        <w:pStyle w:val="P68B1DB1-a01"/>
        <w:widowControl/>
        <w:spacing w:line="360" w:lineRule="auto"/>
        <w:jc w:val="left"/>
      </w:pPr>
      <w:r w:rsidRPr="00775168">
        <w:rPr>
          <w:rFonts w:eastAsia="TimesNewRomanPSMT" w:cs="TimesNewRomanPSMT"/>
        </w:rPr>
        <w:t xml:space="preserve">5) Tumor burden score is represented by non-target lesion score, lesion progression, new intrathoracic lesion, new extrathoracic lesion </w:t>
      </w:r>
    </w:p>
    <w:p w:rsidR="00743320" w:rsidRPr="00775168" w:rsidRDefault="00DF7F26" w:rsidP="00775168">
      <w:pPr>
        <w:pStyle w:val="P68B1DB1-a01"/>
        <w:widowControl/>
        <w:spacing w:line="360" w:lineRule="auto"/>
        <w:jc w:val="left"/>
      </w:pPr>
      <w:r w:rsidRPr="00775168">
        <w:rPr>
          <w:rFonts w:cs="宋体" w:hint="eastAsia"/>
        </w:rPr>
        <w:t xml:space="preserve">The four conditions of lesion and malignant pleural effusion were 1 point each, with a total score of 4 points. </w:t>
      </w:r>
    </w:p>
    <w:p w:rsidR="00743320" w:rsidRPr="00775168" w:rsidRDefault="00DF7F26">
      <w:pPr>
        <w:pStyle w:val="P68B1DB1-265"/>
        <w:rPr>
          <w:rFonts w:ascii="Times New Roman" w:eastAsia="宋体" w:hAnsi="Times New Roman" w:cs="Times New Roman"/>
        </w:rPr>
      </w:pPr>
      <w:bookmarkStart w:id="168" w:name="_Toc178589682"/>
      <w:r w:rsidRPr="00775168">
        <w:rPr>
          <w:rFonts w:ascii="Times New Roman" w:eastAsia="宋体" w:hAnsi="Times New Roman" w:cs="宋体"/>
        </w:rPr>
        <w:t>5.4 Symptomatic Treatment of Common Adverse Reactions</w:t>
      </w:r>
      <w:bookmarkEnd w:id="168"/>
      <w:r w:rsidRPr="00775168">
        <w:rPr>
          <w:rFonts w:ascii="Times New Roman" w:eastAsia="宋体" w:hAnsi="Times New Roman" w:cs="宋体"/>
        </w:rPr>
        <w:t xml:space="preserve"> </w:t>
      </w:r>
      <w:bookmarkEnd w:id="166"/>
      <w:bookmarkEnd w:id="167"/>
    </w:p>
    <w:p w:rsidR="00743320" w:rsidRPr="00775168" w:rsidRDefault="00DF7F26" w:rsidP="00775168">
      <w:pPr>
        <w:pStyle w:val="P68B1DB1-11079"/>
        <w:snapToGrid w:val="0"/>
        <w:spacing w:before="240" w:line="360" w:lineRule="auto"/>
        <w:ind w:firstLine="480"/>
        <w:rPr>
          <w:rFonts w:cs="Times New Roman" w:hint="default"/>
        </w:rPr>
      </w:pPr>
      <w:r w:rsidRPr="00775168">
        <w:t xml:space="preserve">For the adverse reactions occurred during the trial, it is recommended that the investigators perform medical treatment according to the actual clinical situation (the following treatment methods are for reference) </w:t>
      </w:r>
    </w:p>
    <w:p w:rsidR="00743320" w:rsidRPr="00775168" w:rsidRDefault="00DF7F26" w:rsidP="00775168">
      <w:pPr>
        <w:pStyle w:val="P68B1DB1-11090"/>
        <w:snapToGrid w:val="0"/>
        <w:spacing w:before="240" w:line="360" w:lineRule="auto"/>
        <w:ind w:firstLineChars="0" w:firstLine="480"/>
        <w:rPr>
          <w:rFonts w:cs="Times New Roman" w:hint="default"/>
        </w:rPr>
      </w:pPr>
      <w:r w:rsidRPr="00775168">
        <w:lastRenderedPageBreak/>
        <w:t xml:space="preserve">1) Hepatic function abnormal </w:t>
      </w:r>
    </w:p>
    <w:p w:rsidR="00743320" w:rsidRPr="00775168" w:rsidRDefault="00DF7F26" w:rsidP="00775168">
      <w:pPr>
        <w:pStyle w:val="P68B1DB1-a024"/>
        <w:adjustRightInd w:val="0"/>
        <w:snapToGrid w:val="0"/>
        <w:spacing w:line="360" w:lineRule="auto"/>
        <w:jc w:val="left"/>
        <w:rPr>
          <w:rFonts w:hint="default"/>
        </w:rPr>
      </w:pPr>
      <w:r w:rsidRPr="00775168">
        <w:t xml:space="preserve">The following table shows the recommended delayed dosing time and/or dose level change regimen in case of abnormal liver function (ALT increase, AST increase or total bilirubin increase) </w:t>
      </w:r>
    </w:p>
    <w:tbl>
      <w:tblPr>
        <w:tblW w:w="8827"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831"/>
        <w:gridCol w:w="2928"/>
        <w:gridCol w:w="4068"/>
      </w:tblGrid>
      <w:tr w:rsidR="00743320" w:rsidRPr="00775168">
        <w:trPr>
          <w:trHeight w:val="758"/>
          <w:tblHeader/>
          <w:jc w:val="center"/>
        </w:trPr>
        <w:tc>
          <w:tcPr>
            <w:tcW w:w="1831" w:type="dxa"/>
            <w:vAlign w:val="center"/>
          </w:tcPr>
          <w:p w:rsidR="00743320" w:rsidRPr="00775168" w:rsidRDefault="00DF7F26">
            <w:pPr>
              <w:pStyle w:val="P68B1DB1-a024"/>
              <w:adjustRightInd w:val="0"/>
              <w:snapToGrid w:val="0"/>
              <w:spacing w:line="276" w:lineRule="auto"/>
              <w:jc w:val="center"/>
              <w:rPr>
                <w:rFonts w:hint="default"/>
              </w:rPr>
            </w:pPr>
            <w:r w:rsidRPr="00775168">
              <w:t xml:space="preserve">Grade of AE </w:t>
            </w:r>
          </w:p>
        </w:tc>
        <w:tc>
          <w:tcPr>
            <w:tcW w:w="2928" w:type="dxa"/>
            <w:vAlign w:val="center"/>
          </w:tcPr>
          <w:p w:rsidR="00743320" w:rsidRPr="00775168" w:rsidRDefault="00DF7F26">
            <w:pPr>
              <w:pStyle w:val="P68B1DB1-a09"/>
              <w:adjustRightInd w:val="0"/>
              <w:snapToGrid w:val="0"/>
              <w:spacing w:line="276" w:lineRule="auto"/>
              <w:jc w:val="center"/>
              <w:rPr>
                <w:rFonts w:hint="default"/>
              </w:rPr>
            </w:pPr>
            <w:r w:rsidRPr="00775168">
              <w:t xml:space="preserve">Dose Modification Scheme </w:t>
            </w:r>
          </w:p>
        </w:tc>
        <w:tc>
          <w:tcPr>
            <w:tcW w:w="4068" w:type="dxa"/>
            <w:vAlign w:val="center"/>
          </w:tcPr>
          <w:p w:rsidR="00743320" w:rsidRPr="00775168" w:rsidRDefault="00DF7F26">
            <w:pPr>
              <w:pStyle w:val="P68B1DB1-a09"/>
              <w:adjustRightInd w:val="0"/>
              <w:snapToGrid w:val="0"/>
              <w:spacing w:line="276" w:lineRule="auto"/>
              <w:jc w:val="center"/>
              <w:rPr>
                <w:rFonts w:hint="default"/>
              </w:rPr>
            </w:pPr>
            <w:r w:rsidRPr="00775168">
              <w:t xml:space="preserve">Treatment Recommendations </w:t>
            </w:r>
          </w:p>
        </w:tc>
      </w:tr>
      <w:tr w:rsidR="00743320" w:rsidRPr="00775168">
        <w:trPr>
          <w:trHeight w:val="697"/>
          <w:tblHeader/>
          <w:jc w:val="center"/>
        </w:trPr>
        <w:tc>
          <w:tcPr>
            <w:tcW w:w="1831" w:type="dxa"/>
            <w:vAlign w:val="center"/>
          </w:tcPr>
          <w:p w:rsidR="00743320" w:rsidRPr="00775168" w:rsidRDefault="00DF7F26">
            <w:pPr>
              <w:pStyle w:val="P68B1DB1-a024"/>
              <w:adjustRightInd w:val="0"/>
              <w:snapToGrid w:val="0"/>
              <w:spacing w:line="276" w:lineRule="auto"/>
              <w:jc w:val="center"/>
              <w:rPr>
                <w:rFonts w:hint="default"/>
              </w:rPr>
            </w:pPr>
            <w:r w:rsidRPr="00775168">
              <w:t xml:space="preserve">Level 1 </w:t>
            </w:r>
          </w:p>
        </w:tc>
        <w:tc>
          <w:tcPr>
            <w:tcW w:w="2928" w:type="dxa"/>
            <w:vAlign w:val="center"/>
          </w:tcPr>
          <w:p w:rsidR="00743320" w:rsidRPr="00775168" w:rsidRDefault="00DF7F26">
            <w:pPr>
              <w:pStyle w:val="P68B1DB1-a09"/>
              <w:adjustRightInd w:val="0"/>
              <w:snapToGrid w:val="0"/>
              <w:spacing w:line="276" w:lineRule="auto"/>
              <w:jc w:val="center"/>
              <w:rPr>
                <w:rFonts w:hint="default"/>
              </w:rPr>
            </w:pPr>
            <w:r w:rsidRPr="00775168">
              <w:t xml:space="preserve">Maintain original dose </w:t>
            </w:r>
          </w:p>
        </w:tc>
        <w:tc>
          <w:tcPr>
            <w:tcW w:w="4068" w:type="dxa"/>
            <w:vAlign w:val="center"/>
          </w:tcPr>
          <w:p w:rsidR="00743320" w:rsidRPr="00775168" w:rsidRDefault="00DF7F26">
            <w:pPr>
              <w:pStyle w:val="P68B1DB1-a09"/>
              <w:adjustRightInd w:val="0"/>
              <w:snapToGrid w:val="0"/>
              <w:spacing w:line="276" w:lineRule="auto"/>
              <w:jc w:val="center"/>
              <w:rPr>
                <w:rFonts w:hint="default"/>
              </w:rPr>
            </w:pPr>
            <w:r w:rsidRPr="00775168">
              <w:t xml:space="preserve">Scheduled Follow-up </w:t>
            </w:r>
          </w:p>
        </w:tc>
      </w:tr>
      <w:tr w:rsidR="00743320" w:rsidRPr="00775168">
        <w:trPr>
          <w:tblHeader/>
          <w:jc w:val="center"/>
        </w:trPr>
        <w:tc>
          <w:tcPr>
            <w:tcW w:w="1831" w:type="dxa"/>
            <w:vAlign w:val="center"/>
          </w:tcPr>
          <w:p w:rsidR="00743320" w:rsidRPr="00775168" w:rsidRDefault="00DF7F26">
            <w:pPr>
              <w:pStyle w:val="P68B1DB1-a024"/>
              <w:adjustRightInd w:val="0"/>
              <w:snapToGrid w:val="0"/>
              <w:spacing w:line="276" w:lineRule="auto"/>
              <w:jc w:val="center"/>
              <w:rPr>
                <w:rFonts w:hint="default"/>
              </w:rPr>
            </w:pPr>
            <w:r w:rsidRPr="00775168">
              <w:t xml:space="preserve">Grade 2 (normal baseline) </w:t>
            </w:r>
          </w:p>
        </w:tc>
        <w:tc>
          <w:tcPr>
            <w:tcW w:w="2928" w:type="dxa"/>
            <w:vAlign w:val="center"/>
          </w:tcPr>
          <w:p w:rsidR="00743320" w:rsidRPr="00775168" w:rsidRDefault="00DF7F26">
            <w:pPr>
              <w:pStyle w:val="P68B1DB1-a024"/>
              <w:adjustRightInd w:val="0"/>
              <w:snapToGrid w:val="0"/>
              <w:spacing w:line="276" w:lineRule="auto"/>
              <w:jc w:val="center"/>
              <w:rPr>
                <w:rFonts w:hint="default"/>
              </w:rPr>
            </w:pPr>
            <w:r w:rsidRPr="00775168">
              <w:t xml:space="preserve">Dose delay, which can recover to &lt; Grade 2 within 2 weeks, and reduce by 1 dose level </w:t>
            </w:r>
          </w:p>
        </w:tc>
        <w:tc>
          <w:tcPr>
            <w:tcW w:w="4068" w:type="dxa"/>
            <w:vAlign w:val="center"/>
          </w:tcPr>
          <w:p w:rsidR="00743320" w:rsidRPr="00775168" w:rsidRDefault="00DF7F26">
            <w:pPr>
              <w:pStyle w:val="P68B1DB1-a024"/>
              <w:adjustRightInd w:val="0"/>
              <w:snapToGrid w:val="0"/>
              <w:spacing w:line="276" w:lineRule="auto"/>
              <w:rPr>
                <w:rFonts w:hint="default"/>
              </w:rPr>
            </w:pPr>
            <w:r w:rsidRPr="00775168">
              <w:t xml:space="preserve">Actively protect the liver and closely monitor liver function, once a week </w:t>
            </w:r>
          </w:p>
        </w:tc>
      </w:tr>
      <w:tr w:rsidR="00743320" w:rsidRPr="00775168">
        <w:trPr>
          <w:tblHeader/>
          <w:jc w:val="center"/>
        </w:trPr>
        <w:tc>
          <w:tcPr>
            <w:tcW w:w="1831" w:type="dxa"/>
            <w:vAlign w:val="center"/>
          </w:tcPr>
          <w:p w:rsidR="00743320" w:rsidRPr="00775168" w:rsidRDefault="00DF7F26">
            <w:pPr>
              <w:pStyle w:val="P68B1DB1-a024"/>
              <w:adjustRightInd w:val="0"/>
              <w:snapToGrid w:val="0"/>
              <w:spacing w:line="276" w:lineRule="auto"/>
              <w:jc w:val="center"/>
              <w:rPr>
                <w:rFonts w:hint="default"/>
              </w:rPr>
            </w:pPr>
            <w:r w:rsidRPr="00775168">
              <w:t xml:space="preserve">Grade 2 (abnormal baseline) </w:t>
            </w:r>
          </w:p>
        </w:tc>
        <w:tc>
          <w:tcPr>
            <w:tcW w:w="2928" w:type="dxa"/>
            <w:vAlign w:val="center"/>
          </w:tcPr>
          <w:p w:rsidR="00743320" w:rsidRPr="00775168" w:rsidRDefault="00DF7F26">
            <w:pPr>
              <w:pStyle w:val="P68B1DB1-a09"/>
              <w:adjustRightInd w:val="0"/>
              <w:snapToGrid w:val="0"/>
              <w:spacing w:line="276" w:lineRule="auto"/>
              <w:jc w:val="center"/>
              <w:rPr>
                <w:rFonts w:hint="default"/>
              </w:rPr>
            </w:pPr>
            <w:r w:rsidRPr="00775168">
              <w:t xml:space="preserve">Maintain original dose </w:t>
            </w:r>
          </w:p>
        </w:tc>
        <w:tc>
          <w:tcPr>
            <w:tcW w:w="4068" w:type="dxa"/>
            <w:vAlign w:val="center"/>
          </w:tcPr>
          <w:p w:rsidR="00743320" w:rsidRPr="00775168" w:rsidRDefault="00DF7F26">
            <w:pPr>
              <w:pStyle w:val="P68B1DB1-a024"/>
              <w:adjustRightInd w:val="0"/>
              <w:snapToGrid w:val="0"/>
              <w:spacing w:line="276" w:lineRule="auto"/>
              <w:rPr>
                <w:rFonts w:hint="default"/>
              </w:rPr>
            </w:pPr>
            <w:r w:rsidRPr="00775168">
              <w:t xml:space="preserve">Actively protect the liver and closely monitor liver function, once a week </w:t>
            </w:r>
          </w:p>
        </w:tc>
      </w:tr>
      <w:tr w:rsidR="00743320" w:rsidRPr="00775168">
        <w:trPr>
          <w:tblHeader/>
          <w:jc w:val="center"/>
        </w:trPr>
        <w:tc>
          <w:tcPr>
            <w:tcW w:w="1831" w:type="dxa"/>
            <w:vAlign w:val="center"/>
          </w:tcPr>
          <w:p w:rsidR="00743320" w:rsidRPr="00775168" w:rsidRDefault="00DF7F26">
            <w:pPr>
              <w:pStyle w:val="P68B1DB1-a024"/>
              <w:adjustRightInd w:val="0"/>
              <w:snapToGrid w:val="0"/>
              <w:spacing w:line="276" w:lineRule="auto"/>
              <w:jc w:val="center"/>
              <w:rPr>
                <w:rFonts w:hint="default"/>
              </w:rPr>
            </w:pPr>
            <w:r w:rsidRPr="00775168">
              <w:t xml:space="preserve">Grade 3 </w:t>
            </w:r>
          </w:p>
        </w:tc>
        <w:tc>
          <w:tcPr>
            <w:tcW w:w="2928" w:type="dxa"/>
            <w:vAlign w:val="center"/>
          </w:tcPr>
          <w:p w:rsidR="00743320" w:rsidRPr="00775168" w:rsidRDefault="00DF7F26">
            <w:pPr>
              <w:pStyle w:val="P68B1DB1-a024"/>
              <w:adjustRightInd w:val="0"/>
              <w:snapToGrid w:val="0"/>
              <w:spacing w:line="276" w:lineRule="auto"/>
              <w:jc w:val="center"/>
              <w:rPr>
                <w:rFonts w:hint="default"/>
              </w:rPr>
            </w:pPr>
            <w:r w:rsidRPr="00775168">
              <w:t xml:space="preserve">Dose delay, which can recover to &lt; Grade 2 within 2 weeks, and reduce by 1 dose level </w:t>
            </w:r>
          </w:p>
        </w:tc>
        <w:tc>
          <w:tcPr>
            <w:tcW w:w="4068" w:type="dxa"/>
            <w:vAlign w:val="center"/>
          </w:tcPr>
          <w:p w:rsidR="00743320" w:rsidRPr="00775168" w:rsidRDefault="00DF7F26">
            <w:pPr>
              <w:pStyle w:val="P68B1DB1-a024"/>
              <w:adjustRightInd w:val="0"/>
              <w:snapToGrid w:val="0"/>
              <w:spacing w:line="276" w:lineRule="auto"/>
              <w:rPr>
                <w:rFonts w:hint="default"/>
              </w:rPr>
            </w:pPr>
            <w:r w:rsidRPr="00775168">
              <w:t xml:space="preserve">Actively treat with liver protection and closely monitor liver function twice a week; until toxicity recovers to &lt; Grade 2 or there is a reason to explain </w:t>
            </w:r>
          </w:p>
        </w:tc>
      </w:tr>
      <w:tr w:rsidR="00743320" w:rsidRPr="00775168">
        <w:trPr>
          <w:tblHeader/>
          <w:jc w:val="center"/>
        </w:trPr>
        <w:tc>
          <w:tcPr>
            <w:tcW w:w="1831" w:type="dxa"/>
            <w:vAlign w:val="center"/>
          </w:tcPr>
          <w:p w:rsidR="00743320" w:rsidRPr="00775168" w:rsidRDefault="00DF7F26">
            <w:pPr>
              <w:pStyle w:val="P68B1DB1-a091"/>
              <w:adjustRightInd w:val="0"/>
              <w:snapToGrid w:val="0"/>
              <w:spacing w:line="276" w:lineRule="auto"/>
              <w:jc w:val="center"/>
              <w:rPr>
                <w:rFonts w:ascii="Times New Roman" w:hint="default"/>
              </w:rPr>
            </w:pPr>
            <w:r w:rsidRPr="00775168">
              <w:rPr>
                <w:rFonts w:ascii="Times New Roman"/>
              </w:rPr>
              <w:t xml:space="preserve">Grade 4 </w:t>
            </w:r>
          </w:p>
        </w:tc>
        <w:tc>
          <w:tcPr>
            <w:tcW w:w="2928" w:type="dxa"/>
            <w:vAlign w:val="center"/>
          </w:tcPr>
          <w:p w:rsidR="00743320" w:rsidRPr="00775168" w:rsidRDefault="00DF7F26">
            <w:pPr>
              <w:pStyle w:val="P68B1DB1-a09"/>
              <w:adjustRightInd w:val="0"/>
              <w:snapToGrid w:val="0"/>
              <w:spacing w:line="276" w:lineRule="auto"/>
              <w:jc w:val="center"/>
              <w:rPr>
                <w:rFonts w:hint="default"/>
              </w:rPr>
            </w:pPr>
            <w:r w:rsidRPr="00775168">
              <w:t xml:space="preserve">Permanent treatment discontinuation </w:t>
            </w:r>
          </w:p>
        </w:tc>
        <w:tc>
          <w:tcPr>
            <w:tcW w:w="4068" w:type="dxa"/>
            <w:vAlign w:val="center"/>
          </w:tcPr>
          <w:p w:rsidR="00743320" w:rsidRPr="00775168" w:rsidRDefault="00DF7F26">
            <w:pPr>
              <w:pStyle w:val="P68B1DB1-a024"/>
              <w:adjustRightInd w:val="0"/>
              <w:snapToGrid w:val="0"/>
              <w:spacing w:line="276" w:lineRule="auto"/>
              <w:rPr>
                <w:rFonts w:hint="default"/>
              </w:rPr>
            </w:pPr>
            <w:r w:rsidRPr="00775168">
              <w:t xml:space="preserve">Actively protect the liver and closely monitor liver function, once or twice a week; until the toxicity recovers to &lt; grade 2 or there is a reason to explain </w:t>
            </w:r>
          </w:p>
        </w:tc>
      </w:tr>
    </w:tbl>
    <w:p w:rsidR="00743320" w:rsidRPr="00775168" w:rsidRDefault="00743320">
      <w:pPr>
        <w:pStyle w:val="110"/>
        <w:snapToGrid w:val="0"/>
        <w:spacing w:before="240"/>
        <w:ind w:firstLineChars="0" w:firstLine="480"/>
        <w:rPr>
          <w:rFonts w:ascii="Times New Roman" w:hAnsi="Times New Roman" w:cs="Times New Roman"/>
          <w:sz w:val="24"/>
        </w:rPr>
      </w:pPr>
    </w:p>
    <w:p w:rsidR="00743320" w:rsidRPr="00775168" w:rsidRDefault="00DF7F26">
      <w:pPr>
        <w:pStyle w:val="P68B1DB1-aff240"/>
        <w:ind w:firstLine="482"/>
        <w:rPr>
          <w:rFonts w:ascii="Times New Roman" w:hAnsi="Times New Roman" w:cs="Times New Roman" w:hint="default"/>
        </w:rPr>
      </w:pPr>
      <w:r w:rsidRPr="00775168">
        <w:rPr>
          <w:rFonts w:ascii="Times New Roman" w:hAnsi="Times New Roman"/>
        </w:rPr>
        <w:t xml:space="preserve">2) Hand-foot syndrome (HFS)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Hand-foot syndrome, palmar-plantar dysesthesia or acral erythema, is a skin toxicity that occurs more markedly in compressed or stressed areas. Cancer patients may appear during chemotherapy or molecular targeted therapy. HFSR is characterized by numbness, dysesthesia, paresthesia, tingling, no or painful sensation, skin swelling, or erythema, desquamation, fissures, indurated blisters, and severe pain.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HFS Classification: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Grade 1: Numbness/dysesthesia/paresthesia of hands and/or feet, painless swelling or erythema, and/or discomfort that does not interfere with normal activities.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Grade 2: Painful erythema and swelling of the hands and/or feet and/or discomfort affecting the patient's daily activities.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Grade 3: Moist desquamation, ulceration, blistering, or severe pain in the hands and/or feet and/or severe discomfort making the patient unable to work or perform usual activities. Pain is intense and skin function is lost, which is relatively rare.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Symptomatic treatment and management of HFS: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Adopt some necessary symptomatic and supportive treatment, including intensive skin care, keep </w:t>
      </w:r>
      <w:r w:rsidRPr="00775168">
        <w:rPr>
          <w:rFonts w:ascii="Times New Roman" w:hAnsi="Times New Roman"/>
        </w:rPr>
        <w:lastRenderedPageBreak/>
        <w:t xml:space="preserve">the skin clean, avoid secondary infection; avoid pressure or friction; use emollient cream or lubricant, local application of emulsion or lubricant containing urea and corticosteroid; if necessary, local application of antifungal or antibiotic treatment. </w:t>
      </w:r>
    </w:p>
    <w:p w:rsidR="00743320" w:rsidRPr="00775168" w:rsidRDefault="00DF7F26">
      <w:pPr>
        <w:pStyle w:val="P68B1DB1-a092"/>
        <w:spacing w:line="360" w:lineRule="auto"/>
        <w:ind w:firstLineChars="200" w:firstLine="480"/>
        <w:rPr>
          <w:rFonts w:hAnsi="Times New Roman" w:hint="default"/>
        </w:rPr>
      </w:pPr>
      <w:r w:rsidRPr="00775168">
        <w:rPr>
          <w:rFonts w:hAnsi="Times New Roman"/>
        </w:rPr>
        <w:t xml:space="preserve">Note: If grade II or higher hand-foot syndrome occurs for 3 consecutive times with a tendency of aggravation, the administration should be terminated and the patient should be withdrawn from the clinical study. </w:t>
      </w:r>
    </w:p>
    <w:p w:rsidR="00743320" w:rsidRPr="00775168" w:rsidRDefault="00DF7F26">
      <w:pPr>
        <w:pStyle w:val="P68B1DB1-a069"/>
        <w:spacing w:line="360" w:lineRule="auto"/>
        <w:ind w:left="420"/>
        <w:rPr>
          <w:rFonts w:hint="default"/>
          <w:sz w:val="32"/>
        </w:rPr>
      </w:pPr>
      <w:r w:rsidRPr="00775168">
        <w:t xml:space="preserve">3) Hypertension </w:t>
      </w:r>
    </w:p>
    <w:p w:rsidR="00743320" w:rsidRPr="00775168" w:rsidRDefault="00DF7F26">
      <w:pPr>
        <w:pStyle w:val="P68B1DB1-a024"/>
        <w:spacing w:line="360" w:lineRule="auto"/>
        <w:ind w:firstLineChars="200" w:firstLine="480"/>
        <w:rPr>
          <w:rFonts w:hint="default"/>
        </w:rPr>
      </w:pPr>
      <w:r w:rsidRPr="00775168">
        <w:t xml:space="preserve">Before enrollment, patients should strictly follow the requirements for blood pressure in the inclusion and exclusion criteria. Before taking the study drug, patients with hypertension can complete blood pressure control by adjusting the dose of antihypertensive drugs or adding new antihypertensive drugs. Before randomization, patients must have blood pressure controlled within 140/90 mmHg (at an interval of 24 hours or more, mean value of 2 blood pressure monitoring). </w:t>
      </w:r>
    </w:p>
    <w:p w:rsidR="00743320" w:rsidRPr="00775168" w:rsidRDefault="00DF7F26">
      <w:pPr>
        <w:pStyle w:val="P68B1DB1-a024"/>
        <w:spacing w:line="360" w:lineRule="auto"/>
        <w:ind w:firstLineChars="200" w:firstLine="480"/>
        <w:rPr>
          <w:rFonts w:hint="default"/>
        </w:rPr>
      </w:pPr>
      <w:r w:rsidRPr="00775168">
        <w:t xml:space="preserve">Monitoring and management of such hypertension: Blood pressure should be monitored at least 3 times weekly during the first 2 cycles of targeted drug therapy. </w:t>
      </w:r>
    </w:p>
    <w:p w:rsidR="00743320" w:rsidRPr="00775168" w:rsidRDefault="00DF7F26">
      <w:pPr>
        <w:pStyle w:val="P68B1DB1-a092"/>
        <w:spacing w:line="360" w:lineRule="auto"/>
        <w:ind w:firstLineChars="200" w:firstLine="480"/>
        <w:rPr>
          <w:rFonts w:hAnsi="Times New Roman" w:hint="default"/>
        </w:rPr>
      </w:pPr>
      <w:r w:rsidRPr="00775168">
        <w:rPr>
          <w:rFonts w:hAnsi="Times New Roman"/>
        </w:rPr>
        <w:t xml:space="preserve">Since anti-VEGF/VEGFR targeted therapy drugs cause a decrease in NO synthesis and finally activate the renin-angiotensin-aldosterone system to cause hypertension, angiotensin-converting enzyme (ACE) inhibitors (such as captopril, enalapril, benazepril and cilazapril, etc.) are best used for antihypertensive treatment; some patients allergic or intolerant to ACE inhibitors can be treated with angiotensin II receptor blockers (ARBs, such as losartan, valsartan, irbesartan and telmisartan, etc.). In addition to lowering blood pressure, ARBs are also beneficial in relieving proteinuria. Angiotensin-converting enzyme inhibitors can be used in patients with chronic kidney disease, proteinuria, and metabolic syndrome; dihydropyridine calcium antagonists are indicated in elderly patients. </w:t>
      </w:r>
    </w:p>
    <w:p w:rsidR="00743320" w:rsidRPr="00775168" w:rsidRDefault="00DF7F26">
      <w:pPr>
        <w:pStyle w:val="P68B1DB1-a024"/>
        <w:spacing w:line="360" w:lineRule="auto"/>
        <w:ind w:firstLineChars="200" w:firstLine="480"/>
        <w:rPr>
          <w:rFonts w:hint="default"/>
        </w:rPr>
      </w:pPr>
      <w:r w:rsidRPr="00775168">
        <w:t xml:space="preserve">If the patient develops hypertension or aggravation of hypertension during medication, 1) adjust the study drug according to the protocol (see the table below); 2) start taking antihypertensive therapy or adjust the dose. </w:t>
      </w:r>
    </w:p>
    <w:p w:rsidR="00743320" w:rsidRPr="00775168" w:rsidRDefault="00DF7F26">
      <w:pPr>
        <w:pStyle w:val="P68B1DB1-a024"/>
        <w:spacing w:line="360" w:lineRule="auto"/>
        <w:ind w:firstLineChars="200" w:firstLine="480"/>
        <w:rPr>
          <w:rFonts w:hint="default"/>
        </w:rPr>
      </w:pPr>
      <w:r w:rsidRPr="00775168">
        <w:t xml:space="preserve">It is recommended to use antihypertensive drugs in the trial: 1) angiotensin-converting enzyme inhibitors (ACEI); 2) angiotensin II receptor antagonists (ARB); 3) dihydropyridine calcium channel antagonists; 4) </w:t>
      </w:r>
      <w:r w:rsidRPr="00775168">
        <w:t>β</w:t>
      </w:r>
      <w:r w:rsidRPr="00775168">
        <w:t xml:space="preserve">-blockers. </w:t>
      </w:r>
    </w:p>
    <w:p w:rsidR="00743320" w:rsidRPr="00775168" w:rsidRDefault="00DF7F26">
      <w:pPr>
        <w:spacing w:line="360" w:lineRule="auto"/>
        <w:ind w:firstLineChars="200" w:firstLine="420"/>
        <w:rPr>
          <w:sz w:val="24"/>
        </w:rPr>
      </w:pPr>
      <w:r w:rsidRPr="00775168">
        <w:rPr>
          <w:rFonts w:cs="宋体" w:hint="eastAsia"/>
        </w:rPr>
        <w:t xml:space="preserve">Diuretic antihypertensive agents are not recommended, and are contraindicated while taking trial medication </w:t>
      </w:r>
      <w:bookmarkStart w:id="169" w:name="OLE_LINK48"/>
      <w:bookmarkStart w:id="170" w:name="OLE_LINK47"/>
      <w:r w:rsidRPr="00775168">
        <w:rPr>
          <w:rFonts w:hint="eastAsia"/>
        </w:rPr>
        <w:t xml:space="preserve">Antihypertensive drugs such as nikadipine, lozapine, and verapamil that have CYP3A4 inhibitory effects. </w:t>
      </w:r>
      <w:bookmarkEnd w:id="169"/>
      <w:bookmarkEnd w:id="170"/>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Note: For patients with hypertensive crisis, the administration of Anlotinib should be terminated and the patient should be withdrawn from the clinical study.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The following principles should be followed for dose adjustment in case of hypertension </w:t>
      </w:r>
    </w:p>
    <w:tbl>
      <w:tblPr>
        <w:tblW w:w="8823"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4A0" w:firstRow="1" w:lastRow="0" w:firstColumn="1" w:lastColumn="0" w:noHBand="0" w:noVBand="1"/>
      </w:tblPr>
      <w:tblGrid>
        <w:gridCol w:w="3727"/>
        <w:gridCol w:w="5096"/>
      </w:tblGrid>
      <w:tr w:rsidR="00743320" w:rsidRPr="00775168">
        <w:trPr>
          <w:jc w:val="center"/>
        </w:trPr>
        <w:tc>
          <w:tcPr>
            <w:tcW w:w="3727" w:type="dxa"/>
            <w:tcBorders>
              <w:top w:val="single" w:sz="4" w:space="0" w:color="auto"/>
              <w:right w:val="single" w:sz="4" w:space="0" w:color="auto"/>
            </w:tcBorders>
          </w:tcPr>
          <w:p w:rsidR="00743320" w:rsidRPr="00775168" w:rsidRDefault="00DF7F26">
            <w:pPr>
              <w:pStyle w:val="P68B1DB1-a093"/>
              <w:tabs>
                <w:tab w:val="left" w:pos="6165"/>
              </w:tabs>
              <w:spacing w:line="720" w:lineRule="auto"/>
              <w:jc w:val="center"/>
              <w:rPr>
                <w:rFonts w:hint="default"/>
              </w:rPr>
            </w:pPr>
            <w:bookmarkStart w:id="171" w:name="OLE_LINK20"/>
            <w:bookmarkStart w:id="172" w:name="OLE_LINK19"/>
            <w:r w:rsidRPr="00775168">
              <w:lastRenderedPageBreak/>
              <w:t xml:space="preserve">Hypertension </w:t>
            </w:r>
          </w:p>
        </w:tc>
        <w:tc>
          <w:tcPr>
            <w:tcW w:w="5096" w:type="dxa"/>
            <w:tcBorders>
              <w:top w:val="single" w:sz="4" w:space="0" w:color="auto"/>
              <w:left w:val="single" w:sz="4" w:space="0" w:color="auto"/>
            </w:tcBorders>
          </w:tcPr>
          <w:p w:rsidR="00743320" w:rsidRPr="00775168" w:rsidRDefault="00DF7F26">
            <w:pPr>
              <w:pStyle w:val="P68B1DB1-a093"/>
              <w:tabs>
                <w:tab w:val="left" w:pos="6165"/>
              </w:tabs>
              <w:spacing w:line="720" w:lineRule="auto"/>
              <w:jc w:val="center"/>
              <w:rPr>
                <w:rFonts w:hint="default"/>
              </w:rPr>
            </w:pPr>
            <w:r w:rsidRPr="00775168">
              <w:t xml:space="preserve">Provisions for dose adjustment </w:t>
            </w:r>
          </w:p>
        </w:tc>
      </w:tr>
      <w:tr w:rsidR="00743320" w:rsidRPr="00775168">
        <w:trPr>
          <w:jc w:val="center"/>
        </w:trPr>
        <w:tc>
          <w:tcPr>
            <w:tcW w:w="3727" w:type="dxa"/>
            <w:tcBorders>
              <w:right w:val="single" w:sz="4" w:space="0" w:color="auto"/>
            </w:tcBorders>
          </w:tcPr>
          <w:p w:rsidR="00743320" w:rsidRPr="00775168" w:rsidRDefault="00DF7F26">
            <w:pPr>
              <w:pStyle w:val="P68B1DB1-a058"/>
              <w:tabs>
                <w:tab w:val="left" w:pos="6165"/>
              </w:tabs>
              <w:rPr>
                <w:rFonts w:hint="default"/>
              </w:rPr>
            </w:pPr>
            <w:r w:rsidRPr="00775168">
              <w:t xml:space="preserve">(A). 120-139 mmHg systolic or 80-89 mmHg diastolic </w:t>
            </w:r>
          </w:p>
        </w:tc>
        <w:tc>
          <w:tcPr>
            <w:tcW w:w="5096" w:type="dxa"/>
            <w:tcBorders>
              <w:left w:val="single" w:sz="4" w:space="0" w:color="auto"/>
            </w:tcBorders>
          </w:tcPr>
          <w:p w:rsidR="00743320" w:rsidRPr="00775168" w:rsidRDefault="00DF7F26">
            <w:pPr>
              <w:pStyle w:val="P68B1DB1-a08"/>
              <w:tabs>
                <w:tab w:val="left" w:pos="6165"/>
              </w:tabs>
              <w:rPr>
                <w:rFonts w:hint="default"/>
              </w:rPr>
            </w:pPr>
            <w:r w:rsidRPr="00775168">
              <w:t xml:space="preserve">Closely monitor and maintain the original dose level </w:t>
            </w:r>
          </w:p>
        </w:tc>
      </w:tr>
      <w:tr w:rsidR="00743320" w:rsidRPr="00775168">
        <w:trPr>
          <w:jc w:val="center"/>
        </w:trPr>
        <w:tc>
          <w:tcPr>
            <w:tcW w:w="3727" w:type="dxa"/>
            <w:tcBorders>
              <w:right w:val="single" w:sz="4" w:space="0" w:color="auto"/>
            </w:tcBorders>
          </w:tcPr>
          <w:p w:rsidR="00743320" w:rsidRPr="00775168" w:rsidRDefault="00DF7F26">
            <w:pPr>
              <w:tabs>
                <w:tab w:val="left" w:pos="6165"/>
              </w:tabs>
            </w:pPr>
            <w:r w:rsidRPr="00775168">
              <w:t xml:space="preserve">(B). </w:t>
            </w:r>
            <w:bookmarkStart w:id="173" w:name="OLE_LINK14"/>
            <w:bookmarkStart w:id="174" w:name="OLE_LINK13"/>
            <w:r w:rsidRPr="00775168">
              <w:rPr>
                <w:rFonts w:hint="eastAsia"/>
              </w:rPr>
              <w:t xml:space="preserve">Asymptomatic Grade II hypertension </w:t>
            </w:r>
            <w:bookmarkEnd w:id="173"/>
            <w:bookmarkEnd w:id="174"/>
            <w:r w:rsidRPr="00775168">
              <w:rPr>
                <w:rFonts w:hint="eastAsia"/>
              </w:rPr>
              <w:t>: persistent (</w:t>
            </w:r>
            <w:r w:rsidRPr="00775168">
              <w:rPr>
                <w:rFonts w:hint="eastAsia"/>
              </w:rPr>
              <w:t>≥</w:t>
            </w:r>
            <w:r w:rsidRPr="00775168">
              <w:rPr>
                <w:rFonts w:hint="eastAsia"/>
              </w:rPr>
              <w:t xml:space="preserve"> 24 h) or recurrent systolic BP to 140-159 mmHg or diastolic BP to 90-99 mmHg; increase in diastolic BP </w:t>
            </w:r>
            <w:r w:rsidRPr="00775168">
              <w:rPr>
                <w:rFonts w:hint="eastAsia"/>
              </w:rPr>
              <w:t>≥</w:t>
            </w:r>
            <w:r w:rsidRPr="00775168">
              <w:rPr>
                <w:rFonts w:hint="eastAsia"/>
              </w:rPr>
              <w:t xml:space="preserve"> 20 mmHg </w:t>
            </w:r>
          </w:p>
        </w:tc>
        <w:tc>
          <w:tcPr>
            <w:tcW w:w="5096" w:type="dxa"/>
            <w:tcBorders>
              <w:left w:val="single" w:sz="4" w:space="0" w:color="auto"/>
            </w:tcBorders>
          </w:tcPr>
          <w:p w:rsidR="00743320" w:rsidRPr="00775168" w:rsidRDefault="00DF7F26">
            <w:pPr>
              <w:pStyle w:val="P68B1DB1-a058"/>
              <w:tabs>
                <w:tab w:val="left" w:pos="6165"/>
              </w:tabs>
              <w:rPr>
                <w:rFonts w:hint="default"/>
              </w:rPr>
            </w:pPr>
            <w:r w:rsidRPr="00775168">
              <w:t xml:space="preserve">1). Maintain original dose level </w:t>
            </w:r>
          </w:p>
          <w:p w:rsidR="00743320" w:rsidRPr="00775168" w:rsidRDefault="00DF7F26">
            <w:pPr>
              <w:pStyle w:val="P68B1DB1-a058"/>
              <w:tabs>
                <w:tab w:val="left" w:pos="6165"/>
              </w:tabs>
              <w:rPr>
                <w:rFonts w:hint="default"/>
              </w:rPr>
            </w:pPr>
            <w:r w:rsidRPr="00775168">
              <w:t xml:space="preserve">2). Initiation of antihypertensive drugs, or adjustment of dose of existing antihypertensive drugs </w:t>
            </w:r>
          </w:p>
          <w:p w:rsidR="00743320" w:rsidRPr="00775168" w:rsidRDefault="00DF7F26">
            <w:pPr>
              <w:tabs>
                <w:tab w:val="left" w:pos="6165"/>
              </w:tabs>
            </w:pPr>
            <w:r w:rsidRPr="00775168">
              <w:rPr>
                <w:rFonts w:hint="eastAsia"/>
              </w:rPr>
              <w:t xml:space="preserve">3). If the blood pressure is effectively controlled by titration of antihypertensive drugs for two weeks 1, continue to maintain the medication at the original dose level; if it is not effectively controlled, refer to (C). Treatment specified in </w:t>
            </w:r>
          </w:p>
        </w:tc>
      </w:tr>
      <w:tr w:rsidR="00743320" w:rsidRPr="00775168">
        <w:trPr>
          <w:jc w:val="center"/>
        </w:trPr>
        <w:tc>
          <w:tcPr>
            <w:tcW w:w="3727" w:type="dxa"/>
            <w:tcBorders>
              <w:right w:val="single" w:sz="4" w:space="0" w:color="auto"/>
            </w:tcBorders>
          </w:tcPr>
          <w:p w:rsidR="00743320" w:rsidRPr="00775168" w:rsidRDefault="00DF7F26">
            <w:pPr>
              <w:pStyle w:val="P68B1DB1-a094"/>
              <w:tabs>
                <w:tab w:val="left" w:pos="6165"/>
              </w:tabs>
              <w:rPr>
                <w:rFonts w:hAnsi="Times New Roman" w:hint="default"/>
              </w:rPr>
            </w:pPr>
            <w:r w:rsidRPr="00775168">
              <w:rPr>
                <w:rFonts w:hAnsi="Times New Roman"/>
              </w:rPr>
              <w:t xml:space="preserve">(C). Symptomatic Grade II hypertension, or Grade III hypertension: systolic blood pressure </w:t>
            </w:r>
            <w:r w:rsidRPr="00775168">
              <w:rPr>
                <w:rFonts w:hAnsi="Times New Roman"/>
              </w:rPr>
              <w:t>≥</w:t>
            </w:r>
            <w:r w:rsidRPr="00775168">
              <w:rPr>
                <w:rFonts w:hAnsi="Times New Roman"/>
              </w:rPr>
              <w:t xml:space="preserve"> 160 mmHg or diastolic blood pressure </w:t>
            </w:r>
            <w:r w:rsidRPr="00775168">
              <w:rPr>
                <w:rFonts w:hAnsi="Times New Roman"/>
              </w:rPr>
              <w:t>≥</w:t>
            </w:r>
            <w:r w:rsidRPr="00775168">
              <w:rPr>
                <w:rFonts w:hAnsi="Times New Roman"/>
              </w:rPr>
              <w:t xml:space="preserve"> 100 mmHg; or Grade II hypertension that cannot be effectively controlled within two weeks </w:t>
            </w:r>
          </w:p>
        </w:tc>
        <w:tc>
          <w:tcPr>
            <w:tcW w:w="5096" w:type="dxa"/>
            <w:tcBorders>
              <w:left w:val="single" w:sz="4" w:space="0" w:color="auto"/>
            </w:tcBorders>
          </w:tcPr>
          <w:p w:rsidR="00743320" w:rsidRPr="00775168" w:rsidRDefault="00DF7F26">
            <w:pPr>
              <w:pStyle w:val="P68B1DB1-a058"/>
              <w:tabs>
                <w:tab w:val="left" w:pos="6165"/>
              </w:tabs>
              <w:rPr>
                <w:rFonts w:hint="default"/>
              </w:rPr>
            </w:pPr>
            <w:r w:rsidRPr="00775168">
              <w:t xml:space="preserve">1). Discontinued </w:t>
            </w:r>
          </w:p>
          <w:p w:rsidR="00743320" w:rsidRPr="00775168" w:rsidRDefault="00DF7F26">
            <w:pPr>
              <w:pStyle w:val="P68B1DB1-a058"/>
              <w:tabs>
                <w:tab w:val="left" w:pos="6165"/>
              </w:tabs>
              <w:rPr>
                <w:rFonts w:hint="default"/>
              </w:rPr>
            </w:pPr>
            <w:r w:rsidRPr="00775168">
              <w:t xml:space="preserve">2). Initiation of antihypertensive drugs, or adjustment of dose of existing antihypertensive drugs </w:t>
            </w:r>
          </w:p>
          <w:p w:rsidR="00743320" w:rsidRPr="00775168" w:rsidRDefault="00DF7F26">
            <w:pPr>
              <w:pStyle w:val="P68B1DB1-a058"/>
              <w:tabs>
                <w:tab w:val="left" w:pos="6165"/>
              </w:tabs>
              <w:rPr>
                <w:rFonts w:hint="default"/>
              </w:rPr>
            </w:pPr>
            <w:r w:rsidRPr="00775168">
              <w:t xml:space="preserve">3). Blood pressure was effectively controlled by titration of antihypertensive drugs, and medication was reduced by one dose level or maintained at the original dose level (based on the investigator's judgment) </w:t>
            </w:r>
          </w:p>
        </w:tc>
      </w:tr>
      <w:tr w:rsidR="00743320" w:rsidRPr="00775168">
        <w:trPr>
          <w:jc w:val="center"/>
        </w:trPr>
        <w:tc>
          <w:tcPr>
            <w:tcW w:w="3727" w:type="dxa"/>
            <w:tcBorders>
              <w:bottom w:val="single" w:sz="4" w:space="0" w:color="auto"/>
              <w:right w:val="single" w:sz="4" w:space="0" w:color="auto"/>
            </w:tcBorders>
          </w:tcPr>
          <w:p w:rsidR="00743320" w:rsidRPr="00775168" w:rsidRDefault="00DF7F26">
            <w:pPr>
              <w:pStyle w:val="P68B1DB1-a058"/>
              <w:tabs>
                <w:tab w:val="left" w:pos="6165"/>
              </w:tabs>
              <w:rPr>
                <w:rFonts w:hint="default"/>
              </w:rPr>
            </w:pPr>
            <w:r w:rsidRPr="00775168">
              <w:t xml:space="preserve">(D). Multiple (two or more) hypertensive symptoms or hypertensive crisis still occur after antihypertensive drug treatment and anlotinib dose adjustment </w:t>
            </w:r>
          </w:p>
        </w:tc>
        <w:tc>
          <w:tcPr>
            <w:tcW w:w="5096" w:type="dxa"/>
            <w:tcBorders>
              <w:left w:val="single" w:sz="4" w:space="0" w:color="auto"/>
              <w:bottom w:val="single" w:sz="4" w:space="0" w:color="auto"/>
            </w:tcBorders>
          </w:tcPr>
          <w:p w:rsidR="00743320" w:rsidRPr="00775168" w:rsidRDefault="00DF7F26">
            <w:pPr>
              <w:pStyle w:val="P68B1DB1-a08"/>
              <w:tabs>
                <w:tab w:val="left" w:pos="6165"/>
              </w:tabs>
              <w:rPr>
                <w:rFonts w:hint="default"/>
              </w:rPr>
            </w:pPr>
            <w:r w:rsidRPr="00775168">
              <w:t xml:space="preserve">Stop drug and withdraw from the trial </w:t>
            </w:r>
          </w:p>
        </w:tc>
      </w:tr>
    </w:tbl>
    <w:bookmarkEnd w:id="171"/>
    <w:bookmarkEnd w:id="172"/>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vertAlign w:val="superscript"/>
        </w:rPr>
        <w:t xml:space="preserve">1. Blood pressure was effectively controlled: systolic &lt; 140 mmHg, diastolic &lt; 90 mmHg. </w:t>
      </w:r>
    </w:p>
    <w:p w:rsidR="00743320" w:rsidRPr="00775168" w:rsidRDefault="00DF7F26">
      <w:pPr>
        <w:pStyle w:val="P68B1DB1-aff240"/>
        <w:ind w:firstLine="482"/>
        <w:rPr>
          <w:rFonts w:ascii="Times New Roman" w:hAnsi="Times New Roman" w:cs="Times New Roman" w:hint="default"/>
        </w:rPr>
      </w:pPr>
      <w:r w:rsidRPr="00775168">
        <w:rPr>
          <w:rFonts w:ascii="Times New Roman" w:hAnsi="Times New Roman"/>
        </w:rPr>
        <w:t xml:space="preserve">4) Bleeding </w:t>
      </w:r>
    </w:p>
    <w:p w:rsidR="00743320" w:rsidRPr="00775168" w:rsidRDefault="00DF7F26">
      <w:pPr>
        <w:pStyle w:val="P68B1DB1-a024"/>
        <w:spacing w:line="360" w:lineRule="auto"/>
        <w:ind w:firstLine="480"/>
        <w:rPr>
          <w:rFonts w:hint="default"/>
        </w:rPr>
      </w:pPr>
      <w:r w:rsidRPr="00775168">
        <w:t xml:space="preserve">Gastrointestinal bleeding, including fecal occult blood (+ +) and above, hematemesis or bloody stools, should be actively treated symptomatically. Patients with upper gastrointestinal bleeding should be fasted, given acid suppression, protection of gastric mucosa, hemostasis (hemostatic acid, reptilase, etc.), and octreotide can be used if necessary; patients with lower gastrointestinal bleeding should be given hemostasis, blood transfusion and supportive treatment; for patients with uncontrolled bleeding, surgical assistance should be immediately requested. </w:t>
      </w:r>
    </w:p>
    <w:p w:rsidR="00743320" w:rsidRPr="00775168" w:rsidRDefault="00DF7F26">
      <w:pPr>
        <w:pStyle w:val="P68B1DB1-a09"/>
        <w:spacing w:line="360" w:lineRule="auto"/>
        <w:ind w:firstLine="480"/>
        <w:rPr>
          <w:rFonts w:hint="default"/>
        </w:rPr>
      </w:pPr>
      <w:r w:rsidRPr="00775168">
        <w:t xml:space="preserve">Patients with hemoptysis and hemoptysis should be given hemostasis, blood transfusion and supportive treatment; those with uncontrolled bleeding should be treated with surgical assistance. </w:t>
      </w:r>
    </w:p>
    <w:p w:rsidR="00743320" w:rsidRPr="00775168" w:rsidRDefault="00DF7F26">
      <w:pPr>
        <w:pStyle w:val="P68B1DB1-a017"/>
        <w:spacing w:line="360" w:lineRule="auto"/>
        <w:rPr>
          <w:rFonts w:hAnsi="Times New Roman" w:hint="default"/>
        </w:rPr>
      </w:pPr>
      <w:r w:rsidRPr="00775168">
        <w:rPr>
          <w:rFonts w:hAnsi="Times New Roman"/>
        </w:rPr>
        <w:t xml:space="preserve">Note: For patients diagnosed with cerebral hemorrhage, pulmonary hemorrhage of grade II and above, and hemorrhage of grade III and above, the drug should be immediately discontinued, and the patient should receive symptomatic treatment and withdraw from the study. </w:t>
      </w:r>
    </w:p>
    <w:p w:rsidR="00743320" w:rsidRPr="00775168" w:rsidRDefault="00DF7F26">
      <w:pPr>
        <w:pStyle w:val="P68B1DB1-aff295"/>
        <w:ind w:firstLine="480"/>
        <w:rPr>
          <w:rFonts w:ascii="Times New Roman" w:hAnsi="Times New Roman" w:cs="Times New Roman" w:hint="default"/>
        </w:rPr>
      </w:pPr>
      <w:r w:rsidRPr="00775168">
        <w:rPr>
          <w:rFonts w:ascii="Times New Roman" w:hAnsi="Times New Roman"/>
        </w:rPr>
        <w:t xml:space="preserve">For bleeding and coagulation abnormalities (except cerebral hemorrhage, grade II pulmonary hemorrhage and above), dose adjustment should follow the following principles </w:t>
      </w:r>
    </w:p>
    <w:tbl>
      <w:tblPr>
        <w:tblW w:w="8823"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4A0" w:firstRow="1" w:lastRow="0" w:firstColumn="1" w:lastColumn="0" w:noHBand="0" w:noVBand="1"/>
      </w:tblPr>
      <w:tblGrid>
        <w:gridCol w:w="2593"/>
        <w:gridCol w:w="6230"/>
      </w:tblGrid>
      <w:tr w:rsidR="00743320" w:rsidRPr="00775168">
        <w:trPr>
          <w:trHeight w:val="764"/>
          <w:jc w:val="center"/>
        </w:trPr>
        <w:tc>
          <w:tcPr>
            <w:tcW w:w="2593" w:type="dxa"/>
            <w:tcBorders>
              <w:top w:val="single" w:sz="4" w:space="0" w:color="auto"/>
              <w:right w:val="single" w:sz="4" w:space="0" w:color="auto"/>
            </w:tcBorders>
          </w:tcPr>
          <w:p w:rsidR="00743320" w:rsidRPr="00775168" w:rsidRDefault="00DF7F26">
            <w:pPr>
              <w:pStyle w:val="P68B1DB1-a093"/>
              <w:tabs>
                <w:tab w:val="left" w:pos="6165"/>
              </w:tabs>
              <w:spacing w:line="720" w:lineRule="auto"/>
              <w:jc w:val="center"/>
              <w:rPr>
                <w:rFonts w:hint="default"/>
              </w:rPr>
            </w:pPr>
            <w:r w:rsidRPr="00775168">
              <w:t xml:space="preserve">Bleeding and coagulation abnormalities </w:t>
            </w:r>
          </w:p>
        </w:tc>
        <w:tc>
          <w:tcPr>
            <w:tcW w:w="6230" w:type="dxa"/>
            <w:tcBorders>
              <w:top w:val="single" w:sz="4" w:space="0" w:color="auto"/>
              <w:left w:val="single" w:sz="4" w:space="0" w:color="auto"/>
            </w:tcBorders>
          </w:tcPr>
          <w:p w:rsidR="00743320" w:rsidRPr="00775168" w:rsidRDefault="00DF7F26">
            <w:pPr>
              <w:pStyle w:val="P68B1DB1-a093"/>
              <w:tabs>
                <w:tab w:val="left" w:pos="6165"/>
              </w:tabs>
              <w:spacing w:line="720" w:lineRule="auto"/>
              <w:jc w:val="center"/>
              <w:rPr>
                <w:rFonts w:hint="default"/>
              </w:rPr>
            </w:pPr>
            <w:r w:rsidRPr="00775168">
              <w:t xml:space="preserve">Provisions for dose adjustment </w:t>
            </w:r>
          </w:p>
        </w:tc>
      </w:tr>
      <w:tr w:rsidR="00743320" w:rsidRPr="00775168">
        <w:trPr>
          <w:jc w:val="center"/>
        </w:trPr>
        <w:tc>
          <w:tcPr>
            <w:tcW w:w="2593" w:type="dxa"/>
            <w:tcBorders>
              <w:right w:val="single" w:sz="4" w:space="0" w:color="auto"/>
            </w:tcBorders>
            <w:vAlign w:val="center"/>
          </w:tcPr>
          <w:p w:rsidR="00743320" w:rsidRPr="00775168" w:rsidRDefault="00DF7F26">
            <w:pPr>
              <w:pStyle w:val="P68B1DB1-a096"/>
              <w:tabs>
                <w:tab w:val="left" w:pos="6165"/>
              </w:tabs>
              <w:rPr>
                <w:rFonts w:ascii="Times New Roman" w:hAnsi="Times New Roman" w:hint="default"/>
              </w:rPr>
            </w:pPr>
            <w:r w:rsidRPr="00775168">
              <w:rPr>
                <w:rFonts w:ascii="Times New Roman" w:hAnsi="Times New Roman"/>
              </w:rPr>
              <w:t xml:space="preserve">Grade I </w:t>
            </w:r>
          </w:p>
        </w:tc>
        <w:tc>
          <w:tcPr>
            <w:tcW w:w="6230" w:type="dxa"/>
            <w:tcBorders>
              <w:left w:val="single" w:sz="4" w:space="0" w:color="auto"/>
            </w:tcBorders>
          </w:tcPr>
          <w:p w:rsidR="00743320" w:rsidRPr="00775168" w:rsidRDefault="00DF7F26">
            <w:pPr>
              <w:pStyle w:val="P68B1DB1-a08"/>
              <w:tabs>
                <w:tab w:val="left" w:pos="6165"/>
              </w:tabs>
              <w:rPr>
                <w:rFonts w:hint="default"/>
              </w:rPr>
            </w:pPr>
            <w:r w:rsidRPr="00775168">
              <w:t xml:space="preserve">Closely monitor and maintain the original dose level of Anlotinib </w:t>
            </w:r>
          </w:p>
        </w:tc>
      </w:tr>
      <w:tr w:rsidR="00743320" w:rsidRPr="00775168">
        <w:trPr>
          <w:jc w:val="center"/>
        </w:trPr>
        <w:tc>
          <w:tcPr>
            <w:tcW w:w="2593" w:type="dxa"/>
            <w:tcBorders>
              <w:right w:val="single" w:sz="4" w:space="0" w:color="auto"/>
            </w:tcBorders>
            <w:vAlign w:val="center"/>
          </w:tcPr>
          <w:p w:rsidR="00743320" w:rsidRPr="00775168" w:rsidRDefault="00DF7F26">
            <w:pPr>
              <w:pStyle w:val="P68B1DB1-a097"/>
              <w:tabs>
                <w:tab w:val="left" w:pos="6165"/>
              </w:tabs>
              <w:rPr>
                <w:rFonts w:hAnsi="Times New Roman" w:hint="default"/>
              </w:rPr>
            </w:pPr>
            <w:r w:rsidRPr="00775168">
              <w:rPr>
                <w:rFonts w:hAnsi="Times New Roman"/>
              </w:rPr>
              <w:t xml:space="preserve">Grade II </w:t>
            </w:r>
          </w:p>
        </w:tc>
        <w:tc>
          <w:tcPr>
            <w:tcW w:w="6230" w:type="dxa"/>
            <w:tcBorders>
              <w:left w:val="single" w:sz="4" w:space="0" w:color="auto"/>
            </w:tcBorders>
          </w:tcPr>
          <w:p w:rsidR="00743320" w:rsidRPr="00775168" w:rsidRDefault="00DF7F26">
            <w:pPr>
              <w:pStyle w:val="P68B1DB1-a094"/>
              <w:tabs>
                <w:tab w:val="left" w:pos="6165"/>
              </w:tabs>
              <w:rPr>
                <w:rFonts w:hAnsi="Times New Roman" w:hint="default"/>
              </w:rPr>
            </w:pPr>
            <w:r w:rsidRPr="00775168">
              <w:rPr>
                <w:rFonts w:hAnsi="Times New Roman"/>
              </w:rPr>
              <w:t xml:space="preserve">Withhold the drug until the AE recovers to </w:t>
            </w:r>
            <w:r w:rsidRPr="00775168">
              <w:rPr>
                <w:rFonts w:hAnsi="Times New Roman"/>
              </w:rPr>
              <w:t>≤</w:t>
            </w:r>
            <w:r w:rsidRPr="00775168">
              <w:rPr>
                <w:rFonts w:hAnsi="Times New Roman"/>
              </w:rPr>
              <w:t xml:space="preserve"> Grade I, then resume the </w:t>
            </w:r>
            <w:r w:rsidRPr="00775168">
              <w:rPr>
                <w:rFonts w:hAnsi="Times New Roman"/>
              </w:rPr>
              <w:lastRenderedPageBreak/>
              <w:t xml:space="preserve">drug at a lower dose level, and closely monitor </w:t>
            </w:r>
          </w:p>
        </w:tc>
      </w:tr>
      <w:tr w:rsidR="00743320" w:rsidRPr="00775168">
        <w:trPr>
          <w:jc w:val="center"/>
        </w:trPr>
        <w:tc>
          <w:tcPr>
            <w:tcW w:w="2593" w:type="dxa"/>
            <w:tcBorders>
              <w:bottom w:val="single" w:sz="4" w:space="0" w:color="auto"/>
              <w:right w:val="single" w:sz="4" w:space="0" w:color="auto"/>
            </w:tcBorders>
            <w:vAlign w:val="center"/>
          </w:tcPr>
          <w:p w:rsidR="00743320" w:rsidRPr="00775168" w:rsidRDefault="00DF7F26">
            <w:pPr>
              <w:pStyle w:val="P68B1DB1-a094"/>
              <w:tabs>
                <w:tab w:val="left" w:pos="6165"/>
              </w:tabs>
              <w:rPr>
                <w:rFonts w:hAnsi="Times New Roman" w:hint="default"/>
              </w:rPr>
            </w:pPr>
            <w:r w:rsidRPr="00775168">
              <w:rPr>
                <w:rFonts w:hAnsi="Times New Roman"/>
              </w:rPr>
              <w:lastRenderedPageBreak/>
              <w:t xml:space="preserve">Recurrence of grade </w:t>
            </w:r>
            <w:r w:rsidRPr="00775168">
              <w:rPr>
                <w:rFonts w:hAnsi="Times New Roman"/>
              </w:rPr>
              <w:t>≥</w:t>
            </w:r>
            <w:r w:rsidRPr="00775168">
              <w:rPr>
                <w:rFonts w:hAnsi="Times New Roman"/>
              </w:rPr>
              <w:t xml:space="preserve"> III or </w:t>
            </w:r>
            <w:r w:rsidRPr="00775168">
              <w:rPr>
                <w:rFonts w:hAnsi="Times New Roman"/>
              </w:rPr>
              <w:t>≥</w:t>
            </w:r>
            <w:r w:rsidRPr="00775168">
              <w:rPr>
                <w:rFonts w:hAnsi="Times New Roman"/>
              </w:rPr>
              <w:t xml:space="preserve"> II (after drug withdrawal/dose adjustment) </w:t>
            </w:r>
          </w:p>
        </w:tc>
        <w:tc>
          <w:tcPr>
            <w:tcW w:w="6230" w:type="dxa"/>
            <w:tcBorders>
              <w:left w:val="single" w:sz="4" w:space="0" w:color="auto"/>
              <w:bottom w:val="single" w:sz="4" w:space="0" w:color="auto"/>
            </w:tcBorders>
          </w:tcPr>
          <w:p w:rsidR="00743320" w:rsidRPr="00775168" w:rsidRDefault="00DF7F26">
            <w:pPr>
              <w:pStyle w:val="P68B1DB1-a08"/>
              <w:tabs>
                <w:tab w:val="left" w:pos="6165"/>
              </w:tabs>
              <w:rPr>
                <w:rFonts w:hint="default"/>
              </w:rPr>
            </w:pPr>
            <w:r w:rsidRPr="00775168">
              <w:t xml:space="preserve">Withdrawal from the trial </w:t>
            </w:r>
          </w:p>
        </w:tc>
      </w:tr>
    </w:tbl>
    <w:p w:rsidR="00743320" w:rsidRPr="00775168" w:rsidRDefault="00743320">
      <w:pPr>
        <w:spacing w:line="360" w:lineRule="auto"/>
        <w:ind w:firstLine="480"/>
        <w:rPr>
          <w:sz w:val="24"/>
        </w:rPr>
      </w:pPr>
    </w:p>
    <w:p w:rsidR="00743320" w:rsidRPr="00775168" w:rsidRDefault="00DF7F26">
      <w:pPr>
        <w:pStyle w:val="P68B1DB1-aff240"/>
        <w:ind w:firstLine="482"/>
        <w:rPr>
          <w:rFonts w:ascii="Times New Roman" w:hAnsi="Times New Roman" w:cs="Times New Roman" w:hint="default"/>
        </w:rPr>
      </w:pPr>
      <w:r w:rsidRPr="00775168">
        <w:rPr>
          <w:rFonts w:ascii="Times New Roman" w:hAnsi="Times New Roman"/>
        </w:rPr>
        <w:t xml:space="preserve">5) Proteinuria </w:t>
      </w:r>
    </w:p>
    <w:p w:rsidR="00743320" w:rsidRPr="00775168" w:rsidRDefault="00DF7F26">
      <w:pPr>
        <w:pStyle w:val="P68B1DB1-a024"/>
        <w:spacing w:line="360" w:lineRule="auto"/>
        <w:ind w:firstLineChars="200" w:firstLine="480"/>
        <w:rPr>
          <w:rFonts w:hint="default"/>
        </w:rPr>
      </w:pPr>
      <w:r w:rsidRPr="00775168">
        <w:t xml:space="preserve">Proteinuria was closely monitored in all patients throughout the treatment period and enhanced in those with a history of hypertension; 24-hour urinary protein measurements were required for two consecutive urinary protein </w:t>
      </w:r>
      <w:r w:rsidRPr="00775168">
        <w:t>≥</w:t>
      </w:r>
      <w:r w:rsidRPr="00775168">
        <w:t xml:space="preserve"> + +. </w:t>
      </w:r>
    </w:p>
    <w:p w:rsidR="00743320" w:rsidRPr="00775168" w:rsidRDefault="00DF7F26">
      <w:pPr>
        <w:pStyle w:val="P68B1DB1-a08"/>
        <w:spacing w:line="360" w:lineRule="auto"/>
        <w:rPr>
          <w:rFonts w:hint="default"/>
          <w:sz w:val="24"/>
        </w:rPr>
      </w:pPr>
      <w:r w:rsidRPr="00775168">
        <w:rPr>
          <w:sz w:val="24"/>
        </w:rPr>
        <w:t xml:space="preserve">Note: If nephrotic syndrome occurs, discontinue the drug permanently and withdraw from the clinical study.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Following proteinuria, dose modification should follow the following principles: </w:t>
      </w:r>
    </w:p>
    <w:tbl>
      <w:tblPr>
        <w:tblW w:w="8823"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4A0" w:firstRow="1" w:lastRow="0" w:firstColumn="1" w:lastColumn="0" w:noHBand="0" w:noVBand="1"/>
      </w:tblPr>
      <w:tblGrid>
        <w:gridCol w:w="2093"/>
        <w:gridCol w:w="1559"/>
        <w:gridCol w:w="5171"/>
      </w:tblGrid>
      <w:tr w:rsidR="00743320" w:rsidRPr="00775168">
        <w:trPr>
          <w:jc w:val="center"/>
        </w:trPr>
        <w:tc>
          <w:tcPr>
            <w:tcW w:w="2093" w:type="dxa"/>
            <w:tcBorders>
              <w:top w:val="single" w:sz="4" w:space="0" w:color="auto"/>
            </w:tcBorders>
          </w:tcPr>
          <w:p w:rsidR="00743320" w:rsidRPr="00775168" w:rsidRDefault="00DF7F26">
            <w:pPr>
              <w:pStyle w:val="P68B1DB1-a093"/>
              <w:tabs>
                <w:tab w:val="left" w:pos="6165"/>
              </w:tabs>
              <w:spacing w:line="720" w:lineRule="auto"/>
              <w:jc w:val="center"/>
              <w:rPr>
                <w:rFonts w:hint="default"/>
              </w:rPr>
            </w:pPr>
            <w:r w:rsidRPr="00775168">
              <w:t xml:space="preserve">Proteinuria </w:t>
            </w:r>
          </w:p>
        </w:tc>
        <w:tc>
          <w:tcPr>
            <w:tcW w:w="1559" w:type="dxa"/>
            <w:tcBorders>
              <w:top w:val="single" w:sz="4" w:space="0" w:color="auto"/>
              <w:right w:val="single" w:sz="4" w:space="0" w:color="auto"/>
            </w:tcBorders>
          </w:tcPr>
          <w:p w:rsidR="00743320" w:rsidRPr="00775168" w:rsidRDefault="00DF7F26">
            <w:pPr>
              <w:pStyle w:val="P68B1DB1-a098"/>
              <w:tabs>
                <w:tab w:val="left" w:pos="6165"/>
              </w:tabs>
              <w:spacing w:line="720" w:lineRule="auto"/>
              <w:jc w:val="center"/>
              <w:rPr>
                <w:rFonts w:hint="default"/>
              </w:rPr>
            </w:pPr>
            <w:r w:rsidRPr="00775168">
              <w:t xml:space="preserve">CTC AE Grade </w:t>
            </w:r>
          </w:p>
        </w:tc>
        <w:tc>
          <w:tcPr>
            <w:tcW w:w="5171" w:type="dxa"/>
            <w:tcBorders>
              <w:top w:val="single" w:sz="4" w:space="0" w:color="auto"/>
              <w:left w:val="single" w:sz="4" w:space="0" w:color="auto"/>
            </w:tcBorders>
          </w:tcPr>
          <w:p w:rsidR="00743320" w:rsidRPr="00775168" w:rsidRDefault="00DF7F26">
            <w:pPr>
              <w:pStyle w:val="P68B1DB1-a093"/>
              <w:tabs>
                <w:tab w:val="left" w:pos="6165"/>
              </w:tabs>
              <w:spacing w:line="720" w:lineRule="auto"/>
              <w:jc w:val="center"/>
              <w:rPr>
                <w:rFonts w:hint="default"/>
              </w:rPr>
            </w:pPr>
            <w:r w:rsidRPr="00775168">
              <w:t xml:space="preserve">Provisions for dose adjustment </w:t>
            </w:r>
          </w:p>
        </w:tc>
      </w:tr>
      <w:tr w:rsidR="00743320" w:rsidRPr="00775168">
        <w:trPr>
          <w:jc w:val="center"/>
        </w:trPr>
        <w:tc>
          <w:tcPr>
            <w:tcW w:w="2093" w:type="dxa"/>
          </w:tcPr>
          <w:p w:rsidR="00743320" w:rsidRPr="00775168" w:rsidRDefault="00DF7F26">
            <w:pPr>
              <w:pStyle w:val="P68B1DB1-a058"/>
              <w:tabs>
                <w:tab w:val="left" w:pos="6165"/>
              </w:tabs>
              <w:rPr>
                <w:rFonts w:hint="default"/>
              </w:rPr>
            </w:pPr>
            <w:r w:rsidRPr="00775168">
              <w:t xml:space="preserve">Urine protein + or 24 hour urine protein less than 1.0 g </w:t>
            </w:r>
          </w:p>
        </w:tc>
        <w:tc>
          <w:tcPr>
            <w:tcW w:w="1559" w:type="dxa"/>
            <w:tcBorders>
              <w:right w:val="single" w:sz="4" w:space="0" w:color="auto"/>
            </w:tcBorders>
          </w:tcPr>
          <w:p w:rsidR="00743320" w:rsidRPr="00775168" w:rsidRDefault="00DF7F26">
            <w:pPr>
              <w:pStyle w:val="P68B1DB1-a058"/>
              <w:tabs>
                <w:tab w:val="left" w:pos="6165"/>
              </w:tabs>
              <w:rPr>
                <w:rFonts w:hint="default"/>
              </w:rPr>
            </w:pPr>
            <w:r w:rsidRPr="00775168">
              <w:t xml:space="preserve">Level 1 </w:t>
            </w:r>
          </w:p>
        </w:tc>
        <w:tc>
          <w:tcPr>
            <w:tcW w:w="5171" w:type="dxa"/>
            <w:tcBorders>
              <w:left w:val="single" w:sz="4" w:space="0" w:color="auto"/>
            </w:tcBorders>
          </w:tcPr>
          <w:p w:rsidR="00743320" w:rsidRPr="00775168" w:rsidRDefault="00DF7F26">
            <w:pPr>
              <w:pStyle w:val="P68B1DB1-a08"/>
              <w:tabs>
                <w:tab w:val="left" w:pos="6165"/>
              </w:tabs>
              <w:rPr>
                <w:rFonts w:hint="default"/>
              </w:rPr>
            </w:pPr>
            <w:r w:rsidRPr="00775168">
              <w:t xml:space="preserve">Anlotinib maintenance dose level </w:t>
            </w:r>
          </w:p>
        </w:tc>
      </w:tr>
      <w:tr w:rsidR="00743320" w:rsidRPr="00775168">
        <w:trPr>
          <w:jc w:val="center"/>
        </w:trPr>
        <w:tc>
          <w:tcPr>
            <w:tcW w:w="2093" w:type="dxa"/>
          </w:tcPr>
          <w:p w:rsidR="00743320" w:rsidRPr="00775168" w:rsidRDefault="00DF7F26">
            <w:pPr>
              <w:pStyle w:val="P68B1DB1-a058"/>
              <w:tabs>
                <w:tab w:val="left" w:pos="6165"/>
              </w:tabs>
              <w:rPr>
                <w:rFonts w:hint="default"/>
              </w:rPr>
            </w:pPr>
            <w:r w:rsidRPr="00775168">
              <w:t xml:space="preserve">Urine protein + + ~ + + or 24 hour urine protein 1.0-3.4g </w:t>
            </w:r>
          </w:p>
        </w:tc>
        <w:tc>
          <w:tcPr>
            <w:tcW w:w="1559" w:type="dxa"/>
            <w:tcBorders>
              <w:right w:val="single" w:sz="4" w:space="0" w:color="auto"/>
            </w:tcBorders>
          </w:tcPr>
          <w:p w:rsidR="00743320" w:rsidRPr="00775168" w:rsidRDefault="00DF7F26">
            <w:pPr>
              <w:pStyle w:val="P68B1DB1-a058"/>
              <w:tabs>
                <w:tab w:val="left" w:pos="6165"/>
              </w:tabs>
              <w:rPr>
                <w:rFonts w:hint="default"/>
              </w:rPr>
            </w:pPr>
            <w:r w:rsidRPr="00775168">
              <w:t xml:space="preserve">Grade 2 </w:t>
            </w:r>
          </w:p>
        </w:tc>
        <w:tc>
          <w:tcPr>
            <w:tcW w:w="5171" w:type="dxa"/>
            <w:tcBorders>
              <w:left w:val="single" w:sz="4" w:space="0" w:color="auto"/>
            </w:tcBorders>
          </w:tcPr>
          <w:p w:rsidR="00743320" w:rsidRPr="00775168" w:rsidRDefault="00DF7F26">
            <w:pPr>
              <w:pStyle w:val="P68B1DB1-a058"/>
              <w:tabs>
                <w:tab w:val="left" w:pos="6165"/>
              </w:tabs>
              <w:rPr>
                <w:rFonts w:hint="default"/>
              </w:rPr>
            </w:pPr>
            <w:r w:rsidRPr="00775168">
              <w:t xml:space="preserve">For symptomatic treatment, maintain the original dose level of Anlotinib, and continue medication if proteinuria recovers to </w:t>
            </w:r>
            <w:r w:rsidRPr="00775168">
              <w:t>≤</w:t>
            </w:r>
            <w:r w:rsidRPr="00775168">
              <w:t xml:space="preserve"> Grade 1 after one week; suspend Anlotinib if proteinuria does not improve or worsen, and continue to take Anlotinib at the original dose until proteinuria recovers to </w:t>
            </w:r>
            <w:r w:rsidRPr="00775168">
              <w:t>≤</w:t>
            </w:r>
            <w:r w:rsidRPr="00775168">
              <w:t xml:space="preserve"> Grade 1 </w:t>
            </w:r>
          </w:p>
        </w:tc>
      </w:tr>
      <w:tr w:rsidR="00743320" w:rsidRPr="00775168">
        <w:trPr>
          <w:jc w:val="center"/>
        </w:trPr>
        <w:tc>
          <w:tcPr>
            <w:tcW w:w="2093" w:type="dxa"/>
            <w:tcBorders>
              <w:bottom w:val="single" w:sz="4" w:space="0" w:color="auto"/>
            </w:tcBorders>
          </w:tcPr>
          <w:p w:rsidR="00743320" w:rsidRPr="00775168" w:rsidRDefault="00DF7F26">
            <w:pPr>
              <w:pStyle w:val="P68B1DB1-a058"/>
              <w:tabs>
                <w:tab w:val="left" w:pos="6165"/>
              </w:tabs>
              <w:rPr>
                <w:rFonts w:hint="default"/>
              </w:rPr>
            </w:pPr>
            <w:r w:rsidRPr="00775168">
              <w:t xml:space="preserve">Urine protein + + + + or 24 hour urine protein greater than 3.5g </w:t>
            </w:r>
          </w:p>
        </w:tc>
        <w:tc>
          <w:tcPr>
            <w:tcW w:w="1559" w:type="dxa"/>
            <w:tcBorders>
              <w:bottom w:val="single" w:sz="4" w:space="0" w:color="auto"/>
              <w:right w:val="single" w:sz="4" w:space="0" w:color="auto"/>
            </w:tcBorders>
          </w:tcPr>
          <w:p w:rsidR="00743320" w:rsidRPr="00775168" w:rsidRDefault="00DF7F26">
            <w:pPr>
              <w:pStyle w:val="P68B1DB1-a058"/>
              <w:tabs>
                <w:tab w:val="left" w:pos="6165"/>
              </w:tabs>
              <w:rPr>
                <w:rFonts w:hint="default"/>
              </w:rPr>
            </w:pPr>
            <w:r w:rsidRPr="00775168">
              <w:t xml:space="preserve">Grade 3 </w:t>
            </w:r>
          </w:p>
        </w:tc>
        <w:tc>
          <w:tcPr>
            <w:tcW w:w="5171" w:type="dxa"/>
            <w:tcBorders>
              <w:left w:val="single" w:sz="4" w:space="0" w:color="auto"/>
              <w:bottom w:val="single" w:sz="4" w:space="0" w:color="auto"/>
            </w:tcBorders>
          </w:tcPr>
          <w:p w:rsidR="00743320" w:rsidRPr="00775168" w:rsidRDefault="00DF7F26">
            <w:pPr>
              <w:tabs>
                <w:tab w:val="left" w:pos="6165"/>
              </w:tabs>
            </w:pPr>
            <w:r w:rsidRPr="00775168">
              <w:rPr>
                <w:rFonts w:hint="eastAsia"/>
              </w:rPr>
              <w:t xml:space="preserve">Withhold and treat symptomatically until proteinuria recovers to </w:t>
            </w:r>
            <w:r w:rsidRPr="00775168">
              <w:rPr>
                <w:rFonts w:hint="eastAsia"/>
              </w:rPr>
              <w:t>≤</w:t>
            </w:r>
            <w:r w:rsidRPr="00775168">
              <w:rPr>
                <w:rFonts w:hint="eastAsia"/>
              </w:rPr>
              <w:t xml:space="preserve"> Grade 1, then resume at the next lower dose level </w:t>
            </w:r>
          </w:p>
        </w:tc>
      </w:tr>
    </w:tbl>
    <w:p w:rsidR="00743320" w:rsidRPr="00775168" w:rsidRDefault="00743320">
      <w:pPr>
        <w:pStyle w:val="af7"/>
        <w:ind w:firstLine="480"/>
        <w:rPr>
          <w:rFonts w:ascii="Times New Roman" w:hAnsi="Times New Roman" w:cs="Times New Roman"/>
        </w:rPr>
      </w:pPr>
    </w:p>
    <w:p w:rsidR="00743320" w:rsidRPr="00775168" w:rsidRDefault="00DF7F26">
      <w:pPr>
        <w:pStyle w:val="P68B1DB1-aff240"/>
        <w:ind w:firstLine="482"/>
        <w:rPr>
          <w:rFonts w:ascii="Times New Roman" w:hAnsi="Times New Roman" w:cs="Times New Roman" w:hint="default"/>
        </w:rPr>
      </w:pPr>
      <w:r w:rsidRPr="00775168">
        <w:rPr>
          <w:rFonts w:ascii="Times New Roman" w:hAnsi="Times New Roman"/>
        </w:rPr>
        <w:t xml:space="preserve">6) Thrombus </w:t>
      </w:r>
    </w:p>
    <w:p w:rsidR="00743320" w:rsidRPr="00775168" w:rsidRDefault="00DF7F26">
      <w:pPr>
        <w:pStyle w:val="P68B1DB1-aff295"/>
        <w:ind w:firstLine="480"/>
        <w:rPr>
          <w:rFonts w:ascii="Times New Roman" w:hAnsi="Times New Roman" w:cs="Times New Roman" w:hint="default"/>
        </w:rPr>
      </w:pPr>
      <w:r w:rsidRPr="00775168">
        <w:rPr>
          <w:rFonts w:ascii="Times New Roman" w:hAnsi="Times New Roman"/>
        </w:rPr>
        <w:t xml:space="preserve">In case of any arterial thrombosis (such as cerebral ischemia, stroke, angina pectoris, myocardial infarction, etc.), the administration should be immediately stopped and the patient should be withdrawn from the study. If symptomatic venous thrombosis IV occurs, treatment should be discontinued and the patient withdrawn from the study.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Thrombotic symptoms should be treated immediately with symptomatic treatment, surgery, or anticoagulant medication.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In case of venous thrombosis, dose adjustment should follow the following principles: </w:t>
      </w:r>
    </w:p>
    <w:tbl>
      <w:tblPr>
        <w:tblW w:w="8823"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4A0" w:firstRow="1" w:lastRow="0" w:firstColumn="1" w:lastColumn="0" w:noHBand="0" w:noVBand="1"/>
      </w:tblPr>
      <w:tblGrid>
        <w:gridCol w:w="3727"/>
        <w:gridCol w:w="5096"/>
      </w:tblGrid>
      <w:tr w:rsidR="00743320" w:rsidRPr="00775168">
        <w:trPr>
          <w:jc w:val="center"/>
        </w:trPr>
        <w:tc>
          <w:tcPr>
            <w:tcW w:w="3727" w:type="dxa"/>
            <w:tcBorders>
              <w:top w:val="single" w:sz="4" w:space="0" w:color="auto"/>
              <w:right w:val="single" w:sz="4" w:space="0" w:color="auto"/>
            </w:tcBorders>
          </w:tcPr>
          <w:p w:rsidR="00743320" w:rsidRPr="00775168" w:rsidRDefault="00DF7F26">
            <w:pPr>
              <w:pStyle w:val="P68B1DB1-a093"/>
              <w:tabs>
                <w:tab w:val="left" w:pos="6165"/>
              </w:tabs>
              <w:spacing w:line="720" w:lineRule="auto"/>
              <w:jc w:val="center"/>
              <w:rPr>
                <w:rFonts w:hint="default"/>
              </w:rPr>
            </w:pPr>
            <w:r w:rsidRPr="00775168">
              <w:t xml:space="preserve">Venous thrombosis </w:t>
            </w:r>
          </w:p>
        </w:tc>
        <w:tc>
          <w:tcPr>
            <w:tcW w:w="5096" w:type="dxa"/>
            <w:tcBorders>
              <w:top w:val="single" w:sz="4" w:space="0" w:color="auto"/>
              <w:left w:val="single" w:sz="4" w:space="0" w:color="auto"/>
            </w:tcBorders>
          </w:tcPr>
          <w:p w:rsidR="00743320" w:rsidRPr="00775168" w:rsidRDefault="00DF7F26">
            <w:pPr>
              <w:pStyle w:val="P68B1DB1-a093"/>
              <w:tabs>
                <w:tab w:val="left" w:pos="6165"/>
              </w:tabs>
              <w:spacing w:line="720" w:lineRule="auto"/>
              <w:jc w:val="center"/>
              <w:rPr>
                <w:rFonts w:hint="default"/>
              </w:rPr>
            </w:pPr>
            <w:r w:rsidRPr="00775168">
              <w:t xml:space="preserve">Provisions for dose adjustment </w:t>
            </w:r>
          </w:p>
        </w:tc>
      </w:tr>
      <w:tr w:rsidR="00743320" w:rsidRPr="00775168">
        <w:trPr>
          <w:trHeight w:val="453"/>
          <w:jc w:val="center"/>
        </w:trPr>
        <w:tc>
          <w:tcPr>
            <w:tcW w:w="3727" w:type="dxa"/>
            <w:tcBorders>
              <w:right w:val="single" w:sz="4" w:space="0" w:color="auto"/>
            </w:tcBorders>
            <w:vAlign w:val="center"/>
          </w:tcPr>
          <w:p w:rsidR="00743320" w:rsidRPr="00775168" w:rsidRDefault="00DF7F26">
            <w:pPr>
              <w:pStyle w:val="P68B1DB1-a097"/>
              <w:tabs>
                <w:tab w:val="left" w:pos="6165"/>
              </w:tabs>
              <w:rPr>
                <w:rFonts w:hAnsi="Times New Roman" w:hint="default"/>
              </w:rPr>
            </w:pPr>
            <w:r w:rsidRPr="00775168">
              <w:rPr>
                <w:rFonts w:hAnsi="Times New Roman"/>
              </w:rPr>
              <w:lastRenderedPageBreak/>
              <w:t xml:space="preserve">Grade II </w:t>
            </w:r>
          </w:p>
        </w:tc>
        <w:tc>
          <w:tcPr>
            <w:tcW w:w="5096" w:type="dxa"/>
            <w:tcBorders>
              <w:left w:val="single" w:sz="4" w:space="0" w:color="auto"/>
            </w:tcBorders>
          </w:tcPr>
          <w:p w:rsidR="00743320" w:rsidRPr="00775168" w:rsidRDefault="00DF7F26">
            <w:pPr>
              <w:pStyle w:val="P68B1DB1-a08"/>
              <w:tabs>
                <w:tab w:val="left" w:pos="6165"/>
              </w:tabs>
              <w:rPr>
                <w:rFonts w:hint="default"/>
              </w:rPr>
            </w:pPr>
            <w:r w:rsidRPr="00775168">
              <w:t xml:space="preserve">Maintain the original dose level of Anlotinib and monitor closely </w:t>
            </w:r>
          </w:p>
        </w:tc>
      </w:tr>
      <w:tr w:rsidR="00743320" w:rsidRPr="00775168">
        <w:trPr>
          <w:jc w:val="center"/>
        </w:trPr>
        <w:tc>
          <w:tcPr>
            <w:tcW w:w="3727" w:type="dxa"/>
            <w:tcBorders>
              <w:bottom w:val="single" w:sz="4" w:space="0" w:color="auto"/>
              <w:right w:val="single" w:sz="4" w:space="0" w:color="auto"/>
            </w:tcBorders>
            <w:vAlign w:val="center"/>
          </w:tcPr>
          <w:p w:rsidR="00743320" w:rsidRPr="00775168" w:rsidRDefault="00DF7F26">
            <w:pPr>
              <w:pStyle w:val="P68B1DB1-a097"/>
              <w:tabs>
                <w:tab w:val="left" w:pos="6165"/>
              </w:tabs>
              <w:rPr>
                <w:rFonts w:hAnsi="Times New Roman" w:hint="default"/>
              </w:rPr>
            </w:pPr>
            <w:r w:rsidRPr="00775168">
              <w:rPr>
                <w:rFonts w:hAnsi="Times New Roman"/>
              </w:rPr>
              <w:t xml:space="preserve">Grade III or asymptomatic grade IV </w:t>
            </w:r>
          </w:p>
        </w:tc>
        <w:tc>
          <w:tcPr>
            <w:tcW w:w="5096" w:type="dxa"/>
            <w:tcBorders>
              <w:left w:val="single" w:sz="4" w:space="0" w:color="auto"/>
              <w:bottom w:val="single" w:sz="4" w:space="0" w:color="auto"/>
            </w:tcBorders>
          </w:tcPr>
          <w:p w:rsidR="00743320" w:rsidRPr="00775168" w:rsidRDefault="00DF7F26">
            <w:pPr>
              <w:pStyle w:val="P68B1DB1-a058"/>
              <w:tabs>
                <w:tab w:val="left" w:pos="6165"/>
              </w:tabs>
              <w:rPr>
                <w:rFonts w:hint="default"/>
              </w:rPr>
            </w:pPr>
            <w:r w:rsidRPr="00775168">
              <w:t xml:space="preserve">1). Anlotinib Discontinuation </w:t>
            </w:r>
          </w:p>
          <w:p w:rsidR="00743320" w:rsidRPr="00775168" w:rsidRDefault="00DF7F26">
            <w:pPr>
              <w:pStyle w:val="P68B1DB1-a058"/>
              <w:tabs>
                <w:tab w:val="left" w:pos="6165"/>
              </w:tabs>
              <w:rPr>
                <w:rFonts w:hint="default"/>
              </w:rPr>
            </w:pPr>
            <w:r w:rsidRPr="00775168">
              <w:t xml:space="preserve">2). Patient was on symptomatic anticoagulation (small molecular weight heparin) </w:t>
            </w:r>
          </w:p>
          <w:p w:rsidR="00743320" w:rsidRPr="00775168" w:rsidRDefault="00DF7F26">
            <w:pPr>
              <w:tabs>
                <w:tab w:val="left" w:pos="6165"/>
              </w:tabs>
            </w:pPr>
            <w:r w:rsidRPr="00775168">
              <w:rPr>
                <w:rFonts w:hint="eastAsia"/>
              </w:rPr>
              <w:t xml:space="preserve">3). Patients who have been taking anticoagulants for at least one week and have not had severe (grade III and IV) bleeding after the thrombosis symptoms are improved may continue the medication at a lower dose level according to the investigator's judgment </w:t>
            </w:r>
          </w:p>
        </w:tc>
      </w:tr>
    </w:tbl>
    <w:p w:rsidR="00743320" w:rsidRPr="00775168" w:rsidRDefault="00743320">
      <w:pPr>
        <w:pStyle w:val="af7"/>
        <w:ind w:firstLine="480"/>
        <w:rPr>
          <w:rFonts w:ascii="Times New Roman" w:hAnsi="Times New Roman" w:cs="Times New Roman"/>
        </w:rPr>
      </w:pPr>
    </w:p>
    <w:p w:rsidR="00743320" w:rsidRPr="00775168" w:rsidRDefault="00DF7F26">
      <w:pPr>
        <w:pStyle w:val="P68B1DB1-aff240"/>
        <w:ind w:firstLine="482"/>
        <w:rPr>
          <w:rFonts w:ascii="Times New Roman" w:hAnsi="Times New Roman" w:cs="Times New Roman" w:hint="default"/>
        </w:rPr>
      </w:pPr>
      <w:r w:rsidRPr="00775168">
        <w:rPr>
          <w:rFonts w:ascii="Times New Roman" w:hAnsi="Times New Roman"/>
        </w:rPr>
        <w:t xml:space="preserve">7) Reversible Posterior Leukoencephalopathy Syndrome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Reversible posterior leukoencephalopathy syndrome has not been reported in completed clinical trials of anlotinib, but is seen in the clinical use of marketed anti-neovascular macromolecular antibodies as well as small molecule inhibitors.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Clinical manifestations of reversible posterior leukoencephalopathy syndrome are: headache, altered/unclear consciousness, visual abnormalities/blindness, convulsions, and often hypertension. The etiology of reversible posterior leukoencephalopathy syndrome is currently unknown. In case of any suspected symptom, the investigational drug should be immediately discontinued, and blood pressure should be strictly controlled through symptomatic treatment. Once the imaging diagnosis is confirmed, the subject should be withdrawn from the clinical trial. </w:t>
      </w:r>
    </w:p>
    <w:p w:rsidR="00743320" w:rsidRPr="00775168" w:rsidRDefault="00DF7F26">
      <w:pPr>
        <w:pStyle w:val="P68B1DB1-aff240"/>
        <w:ind w:firstLine="482"/>
        <w:rPr>
          <w:rFonts w:ascii="Times New Roman" w:hAnsi="Times New Roman" w:cs="Times New Roman" w:hint="default"/>
        </w:rPr>
      </w:pPr>
      <w:r w:rsidRPr="00775168">
        <w:rPr>
          <w:rFonts w:ascii="Times New Roman" w:hAnsi="Times New Roman"/>
        </w:rPr>
        <w:t xml:space="preserve">8) Fatigue, weakness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Fatigue and weakness are common tumor-related clinical symptoms, and electrolyte imbalance, abnormal liver function, and abnormal cardiac function may lead to fatigue and weakness. At the same time, fatigue and weakness are also common clinical adverse reactions of neovascular targeted drugs such as sunitinib, pazopanib, and sorafenib. Clinical reports have shown that neovascular targeted drugs may increase the incidence of fatigue and weakness by causing hypothyroidism. </w:t>
      </w:r>
    </w:p>
    <w:p w:rsidR="00743320" w:rsidRPr="00775168" w:rsidRDefault="00DF7F26">
      <w:pPr>
        <w:pStyle w:val="P68B1DB1-aff268"/>
        <w:ind w:firstLine="480"/>
        <w:rPr>
          <w:rFonts w:ascii="Times New Roman" w:hAnsi="Times New Roman" w:hint="default"/>
        </w:rPr>
      </w:pPr>
      <w:r w:rsidRPr="00775168">
        <w:rPr>
          <w:rFonts w:ascii="Times New Roman" w:hAnsi="Times New Roman"/>
        </w:rPr>
        <w:t xml:space="preserve">In previously completed clinical trials of anlotinib, the incidence of fatigue and weakness in patients treated with anlotinib was higher than that in patients treated with the control group, while the specific mechanism by which anlotinib causes an increased incidence of fatigue and weakness is not clear. </w:t>
      </w:r>
    </w:p>
    <w:p w:rsidR="00743320" w:rsidRPr="00775168" w:rsidRDefault="00DF7F26">
      <w:pPr>
        <w:pStyle w:val="P68B1DB1-aff295"/>
        <w:ind w:firstLine="480"/>
        <w:rPr>
          <w:rFonts w:ascii="Times New Roman" w:hAnsi="Times New Roman" w:cs="Times New Roman" w:hint="default"/>
        </w:rPr>
      </w:pPr>
      <w:r w:rsidRPr="00775168">
        <w:rPr>
          <w:rFonts w:ascii="Times New Roman" w:hAnsi="Times New Roman"/>
        </w:rPr>
        <w:t xml:space="preserve">Therefore, attention should be paid when patients develop and report grade II and above fatigue and weakness; when grade III and above fatigue and weakness occur, patients should be immediately admitted for examination, electrolyte imbalance, abnormal liver function, cardiac dysfunction (ECG, cardiac ultrasound), abnormal hormone levels (adrenal hormone, thyroid hormone) and other possible causes should be examined one by one, symptomatic treatment should be given, and corresponding dose suspension or adjustment of the test drug should be performed according to the principle of dose adjustment. </w:t>
      </w:r>
    </w:p>
    <w:p w:rsidR="00743320" w:rsidRPr="00775168" w:rsidRDefault="00DF7F26">
      <w:pPr>
        <w:pStyle w:val="P68B1DB1-aff240"/>
        <w:ind w:firstLine="482"/>
        <w:rPr>
          <w:rFonts w:ascii="Times New Roman" w:hAnsi="Times New Roman" w:cs="Times New Roman" w:hint="default"/>
        </w:rPr>
      </w:pPr>
      <w:r w:rsidRPr="00775168">
        <w:rPr>
          <w:rFonts w:ascii="Times New Roman" w:hAnsi="Times New Roman"/>
        </w:rPr>
        <w:t xml:space="preserve">9) Abdominal pain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lastRenderedPageBreak/>
        <w:t xml:space="preserve">Abdominal pain is not rare in the treatment of lung cancer with anlotinib, and tumor symptoms. At the same time, gastrointestinal perforation has occurred occasionally in clinical trials of anlotinib as well as other types of anti-neovascular drugs. For patients with abdominal pain symptoms, investigators should be alert to the possibility of gastrointestinal perforation. Once gastrointestinal perforation is found, the drug should be immediately withdrawn, the patient should withdraw from the trial, and active symptomatic treatment should be taken. </w:t>
      </w:r>
    </w:p>
    <w:p w:rsidR="00743320" w:rsidRPr="00775168" w:rsidRDefault="00DF7F26">
      <w:pPr>
        <w:pStyle w:val="P68B1DB1-aff240"/>
        <w:ind w:firstLine="482"/>
        <w:rPr>
          <w:rFonts w:ascii="Times New Roman" w:hAnsi="Times New Roman" w:cs="Times New Roman" w:hint="default"/>
        </w:rPr>
      </w:pPr>
      <w:r w:rsidRPr="00775168">
        <w:rPr>
          <w:rFonts w:ascii="Times New Roman" w:hAnsi="Times New Roman"/>
        </w:rPr>
        <w:t xml:space="preserve">10) Pulmonary interstitial fibrosis </w:t>
      </w:r>
    </w:p>
    <w:p w:rsidR="00743320" w:rsidRPr="00775168" w:rsidRDefault="00DF7F26">
      <w:pPr>
        <w:pStyle w:val="P68B1DB1-a024"/>
        <w:spacing w:line="360" w:lineRule="auto"/>
        <w:ind w:firstLineChars="200" w:firstLine="480"/>
        <w:rPr>
          <w:rFonts w:hint="default"/>
        </w:rPr>
      </w:pPr>
      <w:r w:rsidRPr="00775168">
        <w:t xml:space="preserve">Clinicians should be fully aware of the patient's disease and familiar with drugs that may cause pulmonary toxicity. The clinical symptoms and chest X-ray or CT changes of the patients were closely observed. Once the patient has unexplained cough, chest tightness, suffocation, dyspnea and hemoptysis and other symptoms, the cause should be timely identified, and the drug should be withdrawn as early as possible after other causes (such as infection and heart failure, etc.) are excluded. Alveolar lavage examination and surgical lung biopsy are important means of diagnosing interstitial lung disease. At present, there is no satisfactory treatment for pulmonary fibrosis. It is recommended to refer to the guidelines for the diagnosis and treatment of idiopathic pulmonary fibrosis issued by Chinese Society of Respiratory Disease to correct hypoxemia and timely use glucocorticoids and other drugs. </w:t>
      </w:r>
    </w:p>
    <w:p w:rsidR="00743320" w:rsidRPr="00775168" w:rsidRDefault="00DF7F26">
      <w:pPr>
        <w:pStyle w:val="P68B1DB1-aff241"/>
        <w:ind w:firstLine="480"/>
        <w:rPr>
          <w:rFonts w:ascii="Times New Roman" w:hAnsi="Times New Roman" w:cs="Times New Roman" w:hint="default"/>
        </w:rPr>
      </w:pPr>
      <w:r w:rsidRPr="00775168">
        <w:rPr>
          <w:rFonts w:ascii="Times New Roman" w:hAnsi="Times New Roman"/>
        </w:rPr>
        <w:t xml:space="preserve">Note: Consult a specialist if necessary to assist in diagnosis and treatment. </w:t>
      </w:r>
    </w:p>
    <w:p w:rsidR="00743320" w:rsidRPr="00775168" w:rsidRDefault="00DF7F26">
      <w:pPr>
        <w:pStyle w:val="P68B1DB1-265"/>
        <w:rPr>
          <w:rFonts w:ascii="Times New Roman" w:eastAsia="宋体" w:hAnsi="Times New Roman" w:cs="Times New Roman"/>
        </w:rPr>
      </w:pPr>
      <w:bookmarkStart w:id="175" w:name="_Toc178589683"/>
      <w:bookmarkStart w:id="176" w:name="_Toc512940952"/>
      <w:bookmarkStart w:id="177" w:name="_Toc512941706"/>
      <w:r w:rsidRPr="00775168">
        <w:rPr>
          <w:rFonts w:ascii="Times New Roman" w:eastAsia="宋体" w:hAnsi="Times New Roman" w:cs="宋体"/>
        </w:rPr>
        <w:t>5.5 Medication Compliance</w:t>
      </w:r>
      <w:bookmarkEnd w:id="175"/>
      <w:r w:rsidRPr="00775168">
        <w:rPr>
          <w:rFonts w:ascii="Times New Roman" w:eastAsia="宋体" w:hAnsi="Times New Roman" w:cs="宋体"/>
        </w:rPr>
        <w:t xml:space="preserve"> </w:t>
      </w:r>
      <w:bookmarkEnd w:id="176"/>
      <w:bookmarkEnd w:id="177"/>
    </w:p>
    <w:p w:rsidR="00743320" w:rsidRPr="00775168" w:rsidRDefault="00DF7F26">
      <w:pPr>
        <w:pStyle w:val="P68B1DB1-11079"/>
        <w:snapToGrid w:val="0"/>
        <w:spacing w:line="360" w:lineRule="auto"/>
        <w:ind w:firstLineChars="175"/>
        <w:rPr>
          <w:rFonts w:cs="Times New Roman" w:hint="default"/>
        </w:rPr>
      </w:pPr>
      <w:r w:rsidRPr="00775168">
        <w:t xml:space="preserve">The sponsor will provide a drug dispensing log, which must be updated by the investigator in a timely manner to fill out the following information: </w:t>
      </w:r>
    </w:p>
    <w:p w:rsidR="00743320" w:rsidRPr="00775168" w:rsidRDefault="00DF7F26">
      <w:pPr>
        <w:pStyle w:val="P68B1DB1-11078"/>
        <w:snapToGrid w:val="0"/>
        <w:spacing w:line="360" w:lineRule="auto"/>
        <w:ind w:firstLine="480"/>
        <w:rPr>
          <w:rFonts w:cs="Times New Roman" w:hint="default"/>
        </w:rPr>
      </w:pPr>
      <w:r w:rsidRPr="00775168">
        <w:t xml:space="preserve">- Identification of the patient receiving the drug, </w:t>
      </w:r>
    </w:p>
    <w:p w:rsidR="00743320" w:rsidRPr="00775168" w:rsidRDefault="00DF7F26">
      <w:pPr>
        <w:pStyle w:val="P68B1DB1-11078"/>
        <w:snapToGrid w:val="0"/>
        <w:spacing w:line="360" w:lineRule="auto"/>
        <w:ind w:firstLine="480"/>
        <w:rPr>
          <w:rFonts w:cs="Times New Roman" w:hint="default"/>
        </w:rPr>
      </w:pPr>
      <w:r w:rsidRPr="00775168">
        <w:t xml:space="preserve">- The date and quantity of the medicinal product dispensed, </w:t>
      </w:r>
    </w:p>
    <w:p w:rsidR="00743320" w:rsidRPr="00775168" w:rsidRDefault="00DF7F26">
      <w:pPr>
        <w:pStyle w:val="P68B1DB1-11078"/>
        <w:snapToGrid w:val="0"/>
        <w:spacing w:line="360" w:lineRule="auto"/>
        <w:ind w:firstLine="480"/>
        <w:rPr>
          <w:rFonts w:cs="Times New Roman" w:hint="default"/>
        </w:rPr>
      </w:pPr>
      <w:r w:rsidRPr="00775168">
        <w:t xml:space="preserve">- The date and quantity of the drug returned by the patient, </w:t>
      </w:r>
    </w:p>
    <w:p w:rsidR="00743320" w:rsidRPr="00775168" w:rsidRDefault="00DF7F26">
      <w:pPr>
        <w:pStyle w:val="P68B1DB1-11078"/>
        <w:snapToGrid w:val="0"/>
        <w:spacing w:line="360" w:lineRule="auto"/>
        <w:ind w:firstLine="480"/>
        <w:rPr>
          <w:rFonts w:cs="Times New Roman" w:hint="default"/>
        </w:rPr>
      </w:pPr>
      <w:r w:rsidRPr="00775168">
        <w:t xml:space="preserve">Inventory must be available for inspection by the Clinical Monitor. The empty boxes of all unused Anlotinib capsules/EGFR-TKIs must be returned to the investigator by the patient at the beginning of the next visit and to the sponsor by the investigator at the end of the study. </w:t>
      </w:r>
    </w:p>
    <w:p w:rsidR="00743320" w:rsidRPr="00775168" w:rsidRDefault="00DF7F26">
      <w:pPr>
        <w:pStyle w:val="P68B1DB1-11078"/>
        <w:snapToGrid w:val="0"/>
        <w:spacing w:line="360" w:lineRule="auto"/>
        <w:ind w:firstLine="480"/>
        <w:rPr>
          <w:rFonts w:cs="Times New Roman" w:hint="default"/>
        </w:rPr>
      </w:pPr>
      <w:r w:rsidRPr="00775168">
        <w:t xml:space="preserve">Check the supply of Anlotinib capsules/EGFR-TKIs tablets (empty boxes and partially used and unused drug) for each monitoring visit. </w:t>
      </w:r>
    </w:p>
    <w:p w:rsidR="00743320" w:rsidRPr="00775168" w:rsidRDefault="00DF7F26">
      <w:pPr>
        <w:pStyle w:val="P68B1DB1-11078"/>
        <w:snapToGrid w:val="0"/>
        <w:spacing w:line="360" w:lineRule="auto"/>
        <w:ind w:firstLine="480"/>
        <w:rPr>
          <w:rFonts w:cs="Times New Roman" w:hint="default"/>
        </w:rPr>
      </w:pPr>
      <w:r w:rsidRPr="00775168">
        <w:t xml:space="preserve">The investigator should check the recovered (if any) drugs, calculate the compliance, and encourage the patients to use appropriate dose of Anlotinib Capsules/EGFR-TKIs according to the treatment plan. Therefore, the investigator should encourage the patient to return all unused medication, including all dispensed kits (empty unused kits), for drug counting. </w:t>
      </w:r>
    </w:p>
    <w:p w:rsidR="00743320" w:rsidRPr="00775168" w:rsidRDefault="00DF7F26">
      <w:pPr>
        <w:pStyle w:val="P68B1DB1-265"/>
        <w:rPr>
          <w:rFonts w:ascii="Times New Roman" w:eastAsia="宋体" w:hAnsi="Times New Roman" w:cs="Times New Roman"/>
        </w:rPr>
      </w:pPr>
      <w:bookmarkStart w:id="178" w:name="_Toc178589684"/>
      <w:bookmarkStart w:id="179" w:name="_Toc512940953"/>
      <w:bookmarkStart w:id="180" w:name="_Toc512941707"/>
      <w:r w:rsidRPr="00775168">
        <w:rPr>
          <w:rFonts w:ascii="Times New Roman" w:eastAsia="宋体" w:hAnsi="Times New Roman" w:cs="宋体"/>
        </w:rPr>
        <w:lastRenderedPageBreak/>
        <w:t>5.6 Management, Dispensing and Recovery of Drugs</w:t>
      </w:r>
      <w:bookmarkEnd w:id="178"/>
      <w:r w:rsidRPr="00775168">
        <w:rPr>
          <w:rFonts w:ascii="Times New Roman" w:eastAsia="宋体" w:hAnsi="Times New Roman" w:cs="宋体"/>
        </w:rPr>
        <w:t xml:space="preserve"> </w:t>
      </w:r>
      <w:bookmarkEnd w:id="179"/>
      <w:bookmarkEnd w:id="180"/>
    </w:p>
    <w:p w:rsidR="00743320" w:rsidRPr="00775168" w:rsidRDefault="00DF7F26">
      <w:pPr>
        <w:pStyle w:val="P68B1DB1-377"/>
        <w:rPr>
          <w:rFonts w:ascii="Times New Roman" w:hAnsi="Times New Roman" w:hint="default"/>
        </w:rPr>
      </w:pPr>
      <w:r w:rsidRPr="00775168">
        <w:rPr>
          <w:rFonts w:ascii="Times New Roman" w:hAnsi="Times New Roman"/>
        </w:rPr>
        <w:t xml:space="preserve">5.6.1 Drug </w:t>
      </w:r>
      <w:r w:rsidR="00775168" w:rsidRPr="00775168">
        <w:rPr>
          <w:rFonts w:ascii="Times New Roman" w:hAnsi="Times New Roman" w:hint="default"/>
        </w:rPr>
        <w:t>D</w:t>
      </w:r>
      <w:r w:rsidRPr="00775168">
        <w:rPr>
          <w:rFonts w:ascii="Times New Roman" w:hAnsi="Times New Roman"/>
        </w:rPr>
        <w:t xml:space="preserve">istribution </w:t>
      </w:r>
    </w:p>
    <w:p w:rsidR="00743320" w:rsidRPr="00775168" w:rsidRDefault="00DF7F26">
      <w:pPr>
        <w:pStyle w:val="P68B1DB1-11079"/>
        <w:snapToGrid w:val="0"/>
        <w:spacing w:line="360" w:lineRule="auto"/>
        <w:ind w:firstLine="480"/>
        <w:rPr>
          <w:rFonts w:cs="Times New Roman" w:hint="default"/>
        </w:rPr>
      </w:pPr>
      <w:r w:rsidRPr="00775168">
        <w:t xml:space="preserve">Drug distribution should be strictly managed. The site should have a designated person responsible for dispensing and keeping the drugs. The investigator should fill in the records of drug receipt and use in detail during each visit. </w:t>
      </w:r>
    </w:p>
    <w:p w:rsidR="00743320" w:rsidRPr="00775168" w:rsidRDefault="00DF7F26">
      <w:pPr>
        <w:pStyle w:val="P68B1DB1-11078"/>
        <w:snapToGrid w:val="0"/>
        <w:spacing w:line="360" w:lineRule="auto"/>
        <w:ind w:firstLineChars="225" w:firstLine="540"/>
        <w:rPr>
          <w:rFonts w:cs="Times New Roman" w:hint="default"/>
        </w:rPr>
      </w:pPr>
      <w:r w:rsidRPr="00775168">
        <w:t xml:space="preserve">According to the requirements of GCP, the study drug (Anlotinib) will be uniformly stored, distributed and returned by the study site. </w:t>
      </w:r>
    </w:p>
    <w:p w:rsidR="00743320" w:rsidRPr="00775168" w:rsidRDefault="00DF7F26">
      <w:pPr>
        <w:pStyle w:val="P68B1DB1-a09"/>
        <w:spacing w:line="360" w:lineRule="auto"/>
        <w:ind w:firstLineChars="200" w:firstLine="480"/>
        <w:rPr>
          <w:rFonts w:hint="default"/>
        </w:rPr>
      </w:pPr>
      <w:r w:rsidRPr="00775168">
        <w:t xml:space="preserve">Beginning on the first day of the first cycle of treatment with the donor and dispensing on the first day of each subsequent cycle, the investigator should: </w:t>
      </w:r>
    </w:p>
    <w:p w:rsidR="00743320" w:rsidRPr="00775168" w:rsidRDefault="00DF7F26">
      <w:pPr>
        <w:pStyle w:val="P68B1DB1-a09"/>
        <w:numPr>
          <w:ilvl w:val="0"/>
          <w:numId w:val="18"/>
        </w:numPr>
        <w:tabs>
          <w:tab w:val="left" w:pos="2410"/>
        </w:tabs>
        <w:spacing w:line="360" w:lineRule="auto"/>
        <w:rPr>
          <w:rFonts w:hint="default"/>
        </w:rPr>
      </w:pPr>
      <w:r w:rsidRPr="00775168">
        <w:t xml:space="preserve">Indicate the number of capsules of different doses of Anlotinib dispensed to the patient for the next treatment cycle, </w:t>
      </w:r>
    </w:p>
    <w:p w:rsidR="00743320" w:rsidRPr="00775168" w:rsidRDefault="00DF7F26">
      <w:pPr>
        <w:pStyle w:val="P68B1DB1-a024"/>
        <w:numPr>
          <w:ilvl w:val="0"/>
          <w:numId w:val="18"/>
        </w:numPr>
        <w:spacing w:line="360" w:lineRule="auto"/>
        <w:rPr>
          <w:rFonts w:hint="default"/>
        </w:rPr>
      </w:pPr>
      <w:r w:rsidRPr="00775168">
        <w:t xml:space="preserve">This information (i.e., the number of capsules of each dose dispensed) was recorded on the study medication CRF page and recorded on the Drug Dispensing Log, </w:t>
      </w:r>
    </w:p>
    <w:p w:rsidR="00743320" w:rsidRPr="00775168" w:rsidRDefault="00DF7F26">
      <w:pPr>
        <w:pStyle w:val="P68B1DB1-TextDash99"/>
        <w:widowControl/>
        <w:numPr>
          <w:ilvl w:val="0"/>
          <w:numId w:val="19"/>
        </w:numPr>
        <w:tabs>
          <w:tab w:val="clear" w:pos="360"/>
        </w:tabs>
        <w:spacing w:line="360" w:lineRule="auto"/>
        <w:rPr>
          <w:rFonts w:ascii="Times New Roman" w:hAnsi="Times New Roman" w:cs="Times New Roman" w:hint="default"/>
        </w:rPr>
      </w:pPr>
      <w:r w:rsidRPr="00775168">
        <w:rPr>
          <w:rFonts w:ascii="Times New Roman" w:hAnsi="Times New Roman"/>
        </w:rPr>
        <w:t xml:space="preserve">Instruct patient to follow treatment regimen and return all unused capsules and all medication boxes, including empty boxes, at each visit </w:t>
      </w:r>
      <w:bookmarkStart w:id="181" w:name="_Toc87158351"/>
      <w:bookmarkStart w:id="182" w:name="_Toc5777793"/>
      <w:bookmarkStart w:id="183" w:name="_Toc5777579"/>
      <w:bookmarkStart w:id="184" w:name="_Toc24970942"/>
      <w:r w:rsidRPr="00775168">
        <w:rPr>
          <w:rFonts w:ascii="Times New Roman" w:hAnsi="Times New Roman"/>
        </w:rPr>
        <w:t xml:space="preserve">And a pill box of capsules. </w:t>
      </w:r>
    </w:p>
    <w:bookmarkEnd w:id="181"/>
    <w:bookmarkEnd w:id="182"/>
    <w:bookmarkEnd w:id="183"/>
    <w:bookmarkEnd w:id="184"/>
    <w:p w:rsidR="00743320" w:rsidRPr="00775168" w:rsidRDefault="00DF7F26">
      <w:pPr>
        <w:pStyle w:val="P68B1DB1-377"/>
        <w:rPr>
          <w:rFonts w:ascii="Times New Roman" w:hAnsi="Times New Roman" w:hint="default"/>
        </w:rPr>
      </w:pPr>
      <w:r w:rsidRPr="00775168">
        <w:rPr>
          <w:rFonts w:ascii="Times New Roman" w:hAnsi="Times New Roman"/>
        </w:rPr>
        <w:t xml:space="preserve">5.6.2 Drug Accountability </w:t>
      </w:r>
    </w:p>
    <w:p w:rsidR="00743320" w:rsidRPr="00775168" w:rsidRDefault="00DF7F26">
      <w:pPr>
        <w:pStyle w:val="P68B1DB1-a09"/>
        <w:spacing w:line="360" w:lineRule="auto"/>
        <w:ind w:firstLineChars="200" w:firstLine="480"/>
        <w:rPr>
          <w:rFonts w:hint="default"/>
        </w:rPr>
      </w:pPr>
      <w:bookmarkStart w:id="185" w:name="_Toc413970571"/>
      <w:r w:rsidRPr="00775168">
        <w:t xml:space="preserve">The investigator or study nurse should verify compliance at each visit. From Day 1 of Cycle 2, Day 1 of each cycle must be: </w:t>
      </w:r>
    </w:p>
    <w:p w:rsidR="00743320" w:rsidRPr="00775168" w:rsidRDefault="00DF7F26">
      <w:pPr>
        <w:pStyle w:val="P68B1DB1-a024"/>
        <w:numPr>
          <w:ilvl w:val="0"/>
          <w:numId w:val="20"/>
        </w:numPr>
        <w:spacing w:line="360" w:lineRule="auto"/>
        <w:rPr>
          <w:rFonts w:hint="default"/>
        </w:rPr>
      </w:pPr>
      <w:r w:rsidRPr="00775168">
        <w:t xml:space="preserve">Ask the patient the number of EGFR-TKIs/Anlotinib capsules taken each day in the previous cycle, </w:t>
      </w:r>
    </w:p>
    <w:p w:rsidR="00743320" w:rsidRPr="00775168" w:rsidRDefault="00DF7F26">
      <w:pPr>
        <w:pStyle w:val="P68B1DB1-a024"/>
        <w:numPr>
          <w:ilvl w:val="0"/>
          <w:numId w:val="20"/>
        </w:numPr>
        <w:spacing w:line="360" w:lineRule="auto"/>
        <w:rPr>
          <w:rFonts w:hint="default"/>
        </w:rPr>
      </w:pPr>
      <w:r w:rsidRPr="00775168">
        <w:t xml:space="preserve">Record this information on the treatment page of the CRF, </w:t>
      </w:r>
    </w:p>
    <w:p w:rsidR="00743320" w:rsidRPr="00775168" w:rsidRDefault="00DF7F26">
      <w:pPr>
        <w:pStyle w:val="P68B1DB1-a09"/>
        <w:numPr>
          <w:ilvl w:val="0"/>
          <w:numId w:val="20"/>
        </w:numPr>
        <w:spacing w:line="360" w:lineRule="auto"/>
        <w:rPr>
          <w:rFonts w:hint="default"/>
        </w:rPr>
      </w:pPr>
      <w:r w:rsidRPr="00775168">
        <w:t xml:space="preserve">Calculate the number of Anlotinib capsules returned by the patient, </w:t>
      </w:r>
    </w:p>
    <w:p w:rsidR="00743320" w:rsidRPr="00775168" w:rsidRDefault="00DF7F26">
      <w:pPr>
        <w:pStyle w:val="P68B1DB1-a024"/>
        <w:numPr>
          <w:ilvl w:val="0"/>
          <w:numId w:val="20"/>
        </w:numPr>
        <w:spacing w:line="360" w:lineRule="auto"/>
        <w:rPr>
          <w:rFonts w:hint="default"/>
        </w:rPr>
      </w:pPr>
      <w:r w:rsidRPr="00775168">
        <w:t xml:space="preserve">Record the number of Anlotinib capsules dispensed and returned in the appropriate section of the CRF, </w:t>
      </w:r>
    </w:p>
    <w:p w:rsidR="00743320" w:rsidRPr="00775168" w:rsidRDefault="00DF7F26">
      <w:pPr>
        <w:pStyle w:val="P68B1DB1-a09"/>
        <w:numPr>
          <w:ilvl w:val="0"/>
          <w:numId w:val="20"/>
        </w:numPr>
        <w:spacing w:line="360" w:lineRule="auto"/>
        <w:rPr>
          <w:rFonts w:hint="default"/>
        </w:rPr>
      </w:pPr>
      <w:r w:rsidRPr="00775168">
        <w:t xml:space="preserve">Determine whether the patient used all drugs according to the study plan in the previous cycle, </w:t>
      </w:r>
    </w:p>
    <w:p w:rsidR="00743320" w:rsidRPr="00775168" w:rsidRDefault="00DF7F26">
      <w:pPr>
        <w:pStyle w:val="P68B1DB1-11078"/>
        <w:snapToGrid w:val="0"/>
        <w:spacing w:line="360" w:lineRule="auto"/>
        <w:ind w:firstLine="480"/>
        <w:rPr>
          <w:rFonts w:cs="Times New Roman" w:hint="default"/>
        </w:rPr>
      </w:pPr>
      <w:r w:rsidRPr="00775168">
        <w:t xml:space="preserve">At each visit to the patient, record the number of EGFR-TKIs returned by the patient on the recovery page of number of EGFR-TKIs/number of Anlotinib capsules in the CRF, record the gap between the two (with explanations), and whether the treatment record needs to be adjusted according to the actual drug dosage. </w:t>
      </w:r>
    </w:p>
    <w:p w:rsidR="00743320" w:rsidRPr="00775168" w:rsidRDefault="00DF7F26">
      <w:pPr>
        <w:pStyle w:val="P68B1DB1-377"/>
        <w:rPr>
          <w:rFonts w:ascii="Times New Roman" w:hAnsi="Times New Roman" w:hint="default"/>
        </w:rPr>
      </w:pPr>
      <w:r w:rsidRPr="00775168">
        <w:rPr>
          <w:rFonts w:ascii="Times New Roman" w:hAnsi="Times New Roman"/>
        </w:rPr>
        <w:t xml:space="preserve">5.6.3 Drug </w:t>
      </w:r>
      <w:r w:rsidR="00775168" w:rsidRPr="00775168">
        <w:rPr>
          <w:rFonts w:ascii="Times New Roman" w:hAnsi="Times New Roman"/>
        </w:rPr>
        <w:t>Recovery</w:t>
      </w:r>
      <w:r w:rsidRPr="00775168">
        <w:rPr>
          <w:rFonts w:ascii="Times New Roman" w:hAnsi="Times New Roman"/>
        </w:rPr>
        <w:t xml:space="preserve"> </w:t>
      </w:r>
    </w:p>
    <w:p w:rsidR="00743320" w:rsidRPr="00775168" w:rsidRDefault="00DF7F26">
      <w:pPr>
        <w:pStyle w:val="P68B1DB1-11078"/>
        <w:snapToGrid w:val="0"/>
        <w:spacing w:line="360" w:lineRule="auto"/>
        <w:ind w:firstLine="480"/>
        <w:rPr>
          <w:rFonts w:cs="Times New Roman" w:hint="default"/>
        </w:rPr>
      </w:pPr>
      <w:r w:rsidRPr="00775168">
        <w:t xml:space="preserve">The total amount of investigational drug is 120% of the designed dose, and the remaining </w:t>
      </w:r>
      <w:r w:rsidRPr="00775168">
        <w:lastRenderedPageBreak/>
        <w:t xml:space="preserve">investigational drug should be returned to the co-organizer Chia Tai Tianqing Group Co., Ltd. after the end of the trial, and the remaining drug should be recovered by the monitor. </w:t>
      </w:r>
    </w:p>
    <w:p w:rsidR="00743320" w:rsidRPr="00775168" w:rsidRDefault="00DF7F26">
      <w:pPr>
        <w:pStyle w:val="P68B1DB1-11079"/>
        <w:snapToGrid w:val="0"/>
        <w:spacing w:line="360" w:lineRule="auto"/>
        <w:ind w:firstLineChars="0"/>
        <w:rPr>
          <w:rFonts w:cs="Times New Roman" w:hint="default"/>
        </w:rPr>
      </w:pPr>
      <w:r w:rsidRPr="00775168">
        <w:t xml:space="preserve">After written notification to the sponsor, the investigator may destroy used drugs (non-state-controlled chemicals) and empty boxes without jeopardizing the health of the population. The investigator should maintain records of all investigational product disposition. </w:t>
      </w:r>
    </w:p>
    <w:p w:rsidR="00743320" w:rsidRPr="00775168" w:rsidRDefault="00DF7F26">
      <w:pPr>
        <w:pStyle w:val="110"/>
        <w:snapToGrid w:val="0"/>
        <w:spacing w:line="360" w:lineRule="auto"/>
        <w:ind w:firstLineChars="0"/>
        <w:rPr>
          <w:rFonts w:ascii="Times New Roman" w:hAnsi="Times New Roman" w:cs="Times New Roman"/>
        </w:rPr>
      </w:pPr>
      <w:r w:rsidRPr="00775168">
        <w:rPr>
          <w:rFonts w:ascii="Times New Roman" w:hAnsi="Times New Roman" w:cs="宋体" w:hint="eastAsia"/>
          <w:sz w:val="24"/>
        </w:rPr>
        <w:t xml:space="preserve">These records must show the certification and quantity of each batch of destroyed drug, as well as the method of disposal (in accordance with local laws), and the person who disposed of the drug. </w:t>
      </w:r>
      <w:bookmarkStart w:id="186" w:name="_Toc292713372"/>
      <w:bookmarkStart w:id="187" w:name="_Toc461205262"/>
      <w:bookmarkStart w:id="188" w:name="_Toc430282301"/>
      <w:bookmarkStart w:id="189" w:name="_Toc190163372"/>
      <w:bookmarkStart w:id="190" w:name="_Toc292713376"/>
      <w:bookmarkStart w:id="191" w:name="_Toc430282309"/>
      <w:bookmarkEnd w:id="185"/>
    </w:p>
    <w:p w:rsidR="00743320" w:rsidRPr="00775168" w:rsidRDefault="00DF7F26">
      <w:pPr>
        <w:pStyle w:val="P68B1DB1-265"/>
        <w:rPr>
          <w:rFonts w:ascii="Times New Roman" w:eastAsia="宋体" w:hAnsi="Times New Roman" w:cs="Times New Roman"/>
        </w:rPr>
      </w:pPr>
      <w:bookmarkStart w:id="192" w:name="_Toc178589685"/>
      <w:bookmarkStart w:id="193" w:name="_Toc512941708"/>
      <w:bookmarkStart w:id="194" w:name="_Toc512940954"/>
      <w:r w:rsidRPr="00775168">
        <w:rPr>
          <w:rFonts w:ascii="Times New Roman" w:eastAsia="宋体" w:hAnsi="Times New Roman" w:cs="宋体"/>
        </w:rPr>
        <w:t>5.7. Concomitant Medications</w:t>
      </w:r>
      <w:bookmarkEnd w:id="192"/>
      <w:r w:rsidRPr="00775168">
        <w:rPr>
          <w:rFonts w:ascii="Times New Roman" w:eastAsia="宋体" w:hAnsi="Times New Roman" w:cs="宋体"/>
        </w:rPr>
        <w:t xml:space="preserve"> </w:t>
      </w:r>
      <w:bookmarkEnd w:id="186"/>
      <w:bookmarkEnd w:id="187"/>
      <w:bookmarkEnd w:id="188"/>
      <w:bookmarkEnd w:id="189"/>
      <w:bookmarkEnd w:id="193"/>
      <w:bookmarkEnd w:id="194"/>
    </w:p>
    <w:p w:rsidR="00743320" w:rsidRPr="00775168" w:rsidRDefault="00DF7F26">
      <w:pPr>
        <w:pStyle w:val="P68B1DB1-377"/>
        <w:rPr>
          <w:rFonts w:ascii="Times New Roman" w:hAnsi="Times New Roman" w:hint="default"/>
        </w:rPr>
      </w:pPr>
      <w:bookmarkStart w:id="195" w:name="_Toc430282302"/>
      <w:bookmarkStart w:id="196" w:name="_Toc292713373"/>
      <w:bookmarkStart w:id="197" w:name="_Toc190163373"/>
      <w:bookmarkStart w:id="198" w:name="_Toc461205263"/>
      <w:r w:rsidRPr="00775168">
        <w:rPr>
          <w:rFonts w:ascii="Times New Roman" w:hAnsi="Times New Roman"/>
        </w:rPr>
        <w:t xml:space="preserve">5.7.1 Prohibited or Cautious Medications During the Study </w:t>
      </w:r>
      <w:bookmarkEnd w:id="195"/>
      <w:bookmarkEnd w:id="196"/>
      <w:bookmarkEnd w:id="197"/>
      <w:bookmarkEnd w:id="198"/>
    </w:p>
    <w:p w:rsidR="00743320" w:rsidRPr="00775168" w:rsidRDefault="00DF7F26">
      <w:pPr>
        <w:pStyle w:val="P68B1DB1-4100"/>
        <w:rPr>
          <w:rFonts w:ascii="Times New Roman" w:eastAsia="宋体" w:hAnsi="Times New Roman" w:cs="Times New Roman"/>
        </w:rPr>
      </w:pPr>
      <w:r w:rsidRPr="00775168">
        <w:rPr>
          <w:rFonts w:ascii="Times New Roman" w:eastAsia="宋体" w:hAnsi="Times New Roman" w:cs="宋体"/>
        </w:rPr>
        <w:t xml:space="preserve">5.7.1.1 Drugs that Interfere with Hepatic P450 Enzymes </w:t>
      </w:r>
    </w:p>
    <w:p w:rsidR="00743320" w:rsidRPr="00775168" w:rsidRDefault="00DF7F26">
      <w:pPr>
        <w:pStyle w:val="P68B1DB1-a033"/>
        <w:tabs>
          <w:tab w:val="left" w:pos="540"/>
        </w:tabs>
        <w:adjustRightInd w:val="0"/>
        <w:snapToGrid w:val="0"/>
        <w:spacing w:before="156" w:line="360" w:lineRule="auto"/>
        <w:ind w:firstLine="539"/>
      </w:pPr>
      <w:r w:rsidRPr="00775168">
        <w:rPr>
          <w:rFonts w:hint="eastAsia"/>
        </w:rPr>
        <w:t xml:space="preserve">Anlotinib has a strong inhibitory effect on CYP3A4, YP2C9 and CYP2C19 (IC50 &lt; 0.5 µM). Inducers (dexamethasone, catamizine, rifampicin and phenobarbital) and inhibitors (ketoconazole, itraconazole, erythromycin and clarithromycin) of CYP3A4 should be used with caution during treatment, CYP3A4 substrates (simvastatin, cyclosporine and pimozide) should be used with caution, and other drugs metabolized by CYP3A4 (such as benzodiazepines, dihydropyridines, calcium antagonists and HMG-COA reductase inhibitors) should be used with caution. Use substrates of CYP2C9 and CYP2C19 with caution, as detailed in the table below. </w:t>
      </w:r>
    </w:p>
    <w:tbl>
      <w:tblPr>
        <w:tblW w:w="8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5"/>
        <w:gridCol w:w="7332"/>
      </w:tblGrid>
      <w:tr w:rsidR="00743320" w:rsidRPr="00775168">
        <w:trPr>
          <w:trHeight w:val="417"/>
          <w:jc w:val="center"/>
        </w:trPr>
        <w:tc>
          <w:tcPr>
            <w:tcW w:w="1205" w:type="dxa"/>
            <w:vAlign w:val="center"/>
          </w:tcPr>
          <w:p w:rsidR="00743320" w:rsidRPr="00775168" w:rsidRDefault="00DF7F26">
            <w:pPr>
              <w:pStyle w:val="P68B1DB1-a024"/>
              <w:tabs>
                <w:tab w:val="left" w:pos="540"/>
              </w:tabs>
              <w:adjustRightInd w:val="0"/>
              <w:snapToGrid w:val="0"/>
              <w:spacing w:line="360" w:lineRule="auto"/>
              <w:jc w:val="center"/>
              <w:rPr>
                <w:rFonts w:hint="default"/>
              </w:rPr>
            </w:pPr>
            <w:r w:rsidRPr="00775168">
              <w:t xml:space="preserve">P450 enzyme </w:t>
            </w:r>
          </w:p>
        </w:tc>
        <w:tc>
          <w:tcPr>
            <w:tcW w:w="7332" w:type="dxa"/>
            <w:vAlign w:val="center"/>
          </w:tcPr>
          <w:p w:rsidR="00743320" w:rsidRPr="00775168" w:rsidRDefault="00DF7F26">
            <w:pPr>
              <w:pStyle w:val="P68B1DB1-a017"/>
              <w:tabs>
                <w:tab w:val="left" w:pos="540"/>
              </w:tabs>
              <w:adjustRightInd w:val="0"/>
              <w:snapToGrid w:val="0"/>
              <w:spacing w:line="360" w:lineRule="auto"/>
              <w:jc w:val="center"/>
              <w:rPr>
                <w:rFonts w:hAnsi="Times New Roman" w:hint="default"/>
              </w:rPr>
            </w:pPr>
            <w:r w:rsidRPr="00775168">
              <w:rPr>
                <w:rFonts w:hAnsi="Times New Roman"/>
              </w:rPr>
              <w:t xml:space="preserve">Substrate </w:t>
            </w:r>
          </w:p>
        </w:tc>
      </w:tr>
      <w:tr w:rsidR="00743320" w:rsidRPr="00775168">
        <w:trPr>
          <w:trHeight w:val="429"/>
          <w:jc w:val="center"/>
        </w:trPr>
        <w:tc>
          <w:tcPr>
            <w:tcW w:w="1205" w:type="dxa"/>
            <w:vAlign w:val="center"/>
          </w:tcPr>
          <w:p w:rsidR="00743320" w:rsidRPr="00775168" w:rsidRDefault="00DF7F26">
            <w:pPr>
              <w:pStyle w:val="P68B1DB1-a01"/>
              <w:tabs>
                <w:tab w:val="left" w:pos="540"/>
              </w:tabs>
              <w:adjustRightInd w:val="0"/>
              <w:snapToGrid w:val="0"/>
              <w:spacing w:line="360" w:lineRule="auto"/>
              <w:jc w:val="center"/>
            </w:pPr>
            <w:r w:rsidRPr="00775168">
              <w:t xml:space="preserve">CYP2C9 </w:t>
            </w:r>
          </w:p>
        </w:tc>
        <w:tc>
          <w:tcPr>
            <w:tcW w:w="7332" w:type="dxa"/>
          </w:tcPr>
          <w:p w:rsidR="00743320" w:rsidRPr="00775168" w:rsidRDefault="00DF7F26">
            <w:pPr>
              <w:pStyle w:val="P68B1DB1-a024"/>
              <w:tabs>
                <w:tab w:val="left" w:pos="540"/>
              </w:tabs>
              <w:adjustRightInd w:val="0"/>
              <w:snapToGrid w:val="0"/>
              <w:spacing w:line="360" w:lineRule="auto"/>
              <w:rPr>
                <w:rFonts w:hint="default"/>
              </w:rPr>
            </w:pPr>
            <w:r w:rsidRPr="00775168">
              <w:t xml:space="preserve">Diclofenac, phenytoin, pyroxicam, S-warfarin, tolbutamide </w:t>
            </w:r>
          </w:p>
        </w:tc>
      </w:tr>
      <w:tr w:rsidR="00743320" w:rsidRPr="00775168">
        <w:trPr>
          <w:trHeight w:val="261"/>
          <w:jc w:val="center"/>
        </w:trPr>
        <w:tc>
          <w:tcPr>
            <w:tcW w:w="1205" w:type="dxa"/>
            <w:vAlign w:val="center"/>
          </w:tcPr>
          <w:p w:rsidR="00743320" w:rsidRPr="00775168" w:rsidRDefault="00DF7F26">
            <w:pPr>
              <w:pStyle w:val="P68B1DB1-a01"/>
              <w:tabs>
                <w:tab w:val="left" w:pos="540"/>
              </w:tabs>
              <w:adjustRightInd w:val="0"/>
              <w:snapToGrid w:val="0"/>
              <w:spacing w:line="360" w:lineRule="auto"/>
              <w:jc w:val="center"/>
            </w:pPr>
            <w:r w:rsidRPr="00775168">
              <w:t xml:space="preserve">CYP2C19 </w:t>
            </w:r>
          </w:p>
        </w:tc>
        <w:tc>
          <w:tcPr>
            <w:tcW w:w="7332" w:type="dxa"/>
          </w:tcPr>
          <w:p w:rsidR="00743320" w:rsidRPr="00775168" w:rsidRDefault="00DF7F26">
            <w:pPr>
              <w:pStyle w:val="P68B1DB1-a024"/>
              <w:tabs>
                <w:tab w:val="left" w:pos="540"/>
              </w:tabs>
              <w:adjustRightInd w:val="0"/>
              <w:snapToGrid w:val="0"/>
              <w:spacing w:line="360" w:lineRule="auto"/>
              <w:rPr>
                <w:rFonts w:hint="default"/>
              </w:rPr>
            </w:pPr>
            <w:r w:rsidRPr="00775168">
              <w:t xml:space="preserve">Diazepam, promazine, lansoprazole, S-mephenytoin </w:t>
            </w:r>
          </w:p>
        </w:tc>
      </w:tr>
    </w:tbl>
    <w:p w:rsidR="00743320" w:rsidRPr="00775168" w:rsidRDefault="00743320">
      <w:pPr>
        <w:spacing w:line="360" w:lineRule="auto"/>
        <w:rPr>
          <w:b/>
          <w:sz w:val="24"/>
        </w:rPr>
      </w:pPr>
    </w:p>
    <w:p w:rsidR="00743320" w:rsidRPr="00775168" w:rsidRDefault="00DF7F26">
      <w:pPr>
        <w:pStyle w:val="P68B1DB1-4100"/>
        <w:rPr>
          <w:rFonts w:ascii="Times New Roman" w:eastAsia="宋体" w:hAnsi="Times New Roman" w:cs="Times New Roman"/>
        </w:rPr>
      </w:pPr>
      <w:r w:rsidRPr="00775168">
        <w:rPr>
          <w:rFonts w:ascii="Times New Roman" w:eastAsia="宋体" w:hAnsi="Times New Roman" w:cs="宋体"/>
        </w:rPr>
        <w:t xml:space="preserve">5.7.1.2 Drugs That Cause Cardiac QT Prolongation </w:t>
      </w:r>
    </w:p>
    <w:p w:rsidR="00743320" w:rsidRPr="00775168" w:rsidRDefault="00DF7F26">
      <w:pPr>
        <w:pStyle w:val="P68B1DB1-a024"/>
        <w:spacing w:line="360" w:lineRule="auto"/>
        <w:ind w:firstLineChars="200" w:firstLine="480"/>
        <w:rPr>
          <w:rFonts w:hint="default"/>
        </w:rPr>
      </w:pPr>
      <w:r w:rsidRPr="00775168">
        <w:t xml:space="preserve">Due to the toxic side effects of anlotinib drugs in prolonging QT interval in clinical practice, it is required to use drugs that prolong QT interval with caution during the study. It mainly includes but is not limited to the following types of drugs: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Antibacterials (clarithromycin, streptomycin, erythromycin, roxithromycin, metronidazole, moxifloxacin);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Antiarrhythmics (quinidine, sotalol, amiodarone, propylamine, procainamide); </w:t>
      </w:r>
    </w:p>
    <w:p w:rsidR="00743320" w:rsidRPr="00775168" w:rsidRDefault="00DF7F26">
      <w:pPr>
        <w:pStyle w:val="P68B1DB1-a017"/>
        <w:spacing w:line="360" w:lineRule="auto"/>
        <w:ind w:leftChars="229" w:left="1700" w:hangingChars="508" w:hanging="1219"/>
        <w:rPr>
          <w:rFonts w:hAnsi="Times New Roman" w:hint="default"/>
        </w:rPr>
      </w:pPr>
      <w:r w:rsidRPr="00775168">
        <w:rPr>
          <w:rFonts w:hAnsi="Times New Roman"/>
        </w:rPr>
        <w:t xml:space="preserve">Antipsychotics (rifampin, fluphenazine, droperidol, haloperidol, thioridazine, pimozide, olanzapine, </w:t>
      </w:r>
      <w:r w:rsidRPr="00775168">
        <w:rPr>
          <w:rFonts w:hAnsi="Times New Roman"/>
        </w:rPr>
        <w:lastRenderedPageBreak/>
        <w:t xml:space="preserve">chlorzapine);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Antifungals (fluconazole, ketoconazole);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Antimalarials (mefloquine, chloroquine);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Antidepressants (amitriptyline, promizine, clomipramine, dosulepin, doxepin). </w:t>
      </w:r>
    </w:p>
    <w:p w:rsidR="00743320" w:rsidRPr="00775168" w:rsidRDefault="00743320">
      <w:pPr>
        <w:spacing w:line="360" w:lineRule="auto"/>
        <w:ind w:firstLineChars="200" w:firstLine="480"/>
        <w:rPr>
          <w:sz w:val="24"/>
        </w:rPr>
      </w:pPr>
    </w:p>
    <w:p w:rsidR="00743320" w:rsidRPr="00775168" w:rsidRDefault="00DF7F26">
      <w:pPr>
        <w:pStyle w:val="P68B1DB1-4100"/>
        <w:rPr>
          <w:rFonts w:ascii="Times New Roman" w:eastAsia="宋体" w:hAnsi="Times New Roman" w:cs="宋体"/>
        </w:rPr>
      </w:pPr>
      <w:r w:rsidRPr="00775168">
        <w:rPr>
          <w:rFonts w:ascii="Times New Roman" w:eastAsia="宋体" w:hAnsi="Times New Roman" w:cs="宋体"/>
        </w:rPr>
        <w:t xml:space="preserve">5.7.1.3 Traditional Chinese Medicine and Immunological Preparations with Anticancer Effects </w:t>
      </w:r>
    </w:p>
    <w:p w:rsidR="00743320" w:rsidRPr="00775168" w:rsidRDefault="00DF7F26">
      <w:pPr>
        <w:pStyle w:val="P68B1DB1-a023"/>
        <w:snapToGrid w:val="0"/>
        <w:spacing w:afterLines="50" w:after="120" w:line="360" w:lineRule="auto"/>
        <w:ind w:firstLine="482"/>
        <w:rPr>
          <w:rFonts w:hAnsi="Times New Roman" w:hint="default"/>
        </w:rPr>
      </w:pPr>
      <w:r w:rsidRPr="00775168">
        <w:rPr>
          <w:rFonts w:hAnsi="Times New Roman"/>
        </w:rPr>
        <w:t xml:space="preserve">This protocol prohibits the use of modern traditional Chinese medicine preparations and immunomodulators (such as thymosin, interferon, interleukin-2, Zilongjin and lentinan, etc.) approved by CFDA for the treatment of lung cancer. </w:t>
      </w:r>
    </w:p>
    <w:p w:rsidR="00743320" w:rsidRPr="00775168" w:rsidRDefault="00DF7F26">
      <w:pPr>
        <w:pStyle w:val="P68B1DB1-377"/>
        <w:rPr>
          <w:rFonts w:ascii="Times New Roman" w:hAnsi="Times New Roman" w:hint="default"/>
        </w:rPr>
      </w:pPr>
      <w:bookmarkStart w:id="199" w:name="_Toc292713374"/>
      <w:bookmarkStart w:id="200" w:name="_Toc461205264"/>
      <w:bookmarkStart w:id="201" w:name="_Toc430282303"/>
      <w:r w:rsidRPr="00775168">
        <w:rPr>
          <w:rFonts w:ascii="Times New Roman" w:hAnsi="Times New Roman"/>
        </w:rPr>
        <w:t xml:space="preserve">5.7.2 Drugs and therapies that can be used concomitantly in the study </w:t>
      </w:r>
      <w:bookmarkEnd w:id="199"/>
      <w:bookmarkEnd w:id="200"/>
      <w:bookmarkEnd w:id="201"/>
    </w:p>
    <w:p w:rsidR="00743320" w:rsidRPr="00775168" w:rsidRDefault="00DF7F26">
      <w:pPr>
        <w:pStyle w:val="P68B1DB1-a033"/>
        <w:snapToGrid w:val="0"/>
        <w:spacing w:before="240" w:line="360" w:lineRule="auto"/>
        <w:ind w:firstLineChars="200" w:firstLine="480"/>
      </w:pPr>
      <w:r w:rsidRPr="00775168">
        <w:rPr>
          <w:rFonts w:hint="eastAsia"/>
        </w:rPr>
        <w:t xml:space="preserve">Patients may receive other symptomatic and supportive treatment while on study drug. Non-conventional therapies (eg, herbal remedies or acupuncture) and vitamins/minerals may be used if there is no effect on the endpoints of the study in the opinion of the investigator. Patients may receive bisphosphonates for treatment of bone metastases during treatment. If the painful bone metastases cannot be effectively controlled by systemic therapy or local analgesia, palliative radiotherapy is allowed to irradiate small areas (the irradiated area must be &lt; 5% of the bone marrow area, see Annex 9 for the percentage of bone marrow content in human bones). The clinical concomitant diseases and various AEs should be actively treated. All concomitant medications should be recorded in the case report form (CRF) in strict accordance with GCP regulations. </w:t>
      </w:r>
    </w:p>
    <w:p w:rsidR="00743320" w:rsidRPr="00775168" w:rsidRDefault="00743320">
      <w:pPr>
        <w:snapToGrid w:val="0"/>
        <w:spacing w:before="240" w:line="360" w:lineRule="auto"/>
        <w:jc w:val="center"/>
        <w:rPr>
          <w:b/>
          <w:sz w:val="24"/>
        </w:rPr>
      </w:pPr>
    </w:p>
    <w:p w:rsidR="00743320" w:rsidRPr="00775168" w:rsidRDefault="00743320">
      <w:pPr>
        <w:snapToGrid w:val="0"/>
        <w:spacing w:before="240" w:line="360" w:lineRule="auto"/>
        <w:jc w:val="center"/>
        <w:rPr>
          <w:b/>
          <w:sz w:val="24"/>
        </w:rPr>
      </w:pPr>
    </w:p>
    <w:p w:rsidR="00743320" w:rsidRPr="00775168" w:rsidRDefault="00DF7F26">
      <w:pPr>
        <w:pStyle w:val="P68B1DB1-116"/>
        <w:ind w:firstLine="0"/>
        <w:rPr>
          <w:rFonts w:ascii="Times New Roman" w:hAnsi="Times New Roman" w:cs="Times New Roman" w:hint="default"/>
        </w:rPr>
      </w:pPr>
      <w:bookmarkStart w:id="202" w:name="_Toc178589686"/>
      <w:bookmarkStart w:id="203" w:name="_Toc512940955"/>
      <w:bookmarkStart w:id="204" w:name="_Toc512941709"/>
      <w:r w:rsidRPr="00775168">
        <w:rPr>
          <w:rFonts w:ascii="Times New Roman" w:hAnsi="Times New Roman"/>
        </w:rPr>
        <w:t xml:space="preserve">6. </w:t>
      </w:r>
      <w:r w:rsidR="00775168" w:rsidRPr="00775168">
        <w:rPr>
          <w:rFonts w:ascii="Times New Roman" w:hAnsi="Times New Roman" w:hint="default"/>
        </w:rPr>
        <w:t>S</w:t>
      </w:r>
      <w:r w:rsidRPr="00775168">
        <w:rPr>
          <w:rFonts w:ascii="Times New Roman" w:hAnsi="Times New Roman"/>
        </w:rPr>
        <w:t xml:space="preserve">tudy </w:t>
      </w:r>
      <w:r w:rsidR="00775168" w:rsidRPr="00775168">
        <w:rPr>
          <w:rFonts w:ascii="Times New Roman" w:hAnsi="Times New Roman" w:hint="default"/>
        </w:rPr>
        <w:t>P</w:t>
      </w:r>
      <w:r w:rsidRPr="00775168">
        <w:rPr>
          <w:rFonts w:ascii="Times New Roman" w:hAnsi="Times New Roman"/>
        </w:rPr>
        <w:t>rocedures</w:t>
      </w:r>
      <w:bookmarkEnd w:id="202"/>
      <w:r w:rsidRPr="00775168">
        <w:rPr>
          <w:rFonts w:ascii="Times New Roman" w:hAnsi="Times New Roman"/>
        </w:rPr>
        <w:t xml:space="preserve"> </w:t>
      </w:r>
      <w:bookmarkEnd w:id="203"/>
      <w:bookmarkEnd w:id="204"/>
    </w:p>
    <w:bookmarkEnd w:id="190"/>
    <w:bookmarkEnd w:id="191"/>
    <w:p w:rsidR="00743320" w:rsidRPr="00775168" w:rsidRDefault="00DF7F26">
      <w:pPr>
        <w:pStyle w:val="P68B1DB1-a024"/>
        <w:autoSpaceDE w:val="0"/>
        <w:autoSpaceDN w:val="0"/>
        <w:adjustRightInd w:val="0"/>
        <w:spacing w:line="360" w:lineRule="auto"/>
        <w:ind w:firstLineChars="200" w:firstLine="480"/>
        <w:jc w:val="left"/>
        <w:rPr>
          <w:rFonts w:hint="default"/>
        </w:rPr>
      </w:pPr>
      <w:r w:rsidRPr="00775168">
        <w:t xml:space="preserve">The patient must read and sign the current Ethics Committee (EC) approved informed consent form before starting the study. All examinations and test procedures will be performed according to the schedule of study procedures, and the effect of the duration of drug withdrawal will not be accepted. However, it is allowed to change within the window period of various inspection items due to festival, holiday or other administrative reasons. </w:t>
      </w:r>
    </w:p>
    <w:p w:rsidR="00743320" w:rsidRPr="00775168" w:rsidRDefault="00DF7F26">
      <w:pPr>
        <w:pStyle w:val="P68B1DB1-265"/>
        <w:rPr>
          <w:rFonts w:ascii="Times New Roman" w:eastAsia="宋体" w:hAnsi="Times New Roman" w:cs="Times New Roman"/>
        </w:rPr>
      </w:pPr>
      <w:bookmarkStart w:id="205" w:name="_Toc178589687"/>
      <w:bookmarkStart w:id="206" w:name="_Toc512941710"/>
      <w:bookmarkStart w:id="207" w:name="_Toc512940956"/>
      <w:r w:rsidRPr="00775168">
        <w:rPr>
          <w:rFonts w:ascii="Times New Roman" w:eastAsia="宋体" w:hAnsi="Times New Roman" w:cs="宋体"/>
        </w:rPr>
        <w:lastRenderedPageBreak/>
        <w:t>6.1 Screening Visit</w:t>
      </w:r>
      <w:bookmarkEnd w:id="205"/>
      <w:r w:rsidRPr="00775168">
        <w:rPr>
          <w:rFonts w:ascii="Times New Roman" w:eastAsia="宋体" w:hAnsi="Times New Roman" w:cs="宋体"/>
        </w:rPr>
        <w:t xml:space="preserve"> </w:t>
      </w:r>
      <w:bookmarkEnd w:id="206"/>
      <w:bookmarkEnd w:id="207"/>
    </w:p>
    <w:p w:rsidR="00743320" w:rsidRPr="00775168" w:rsidRDefault="00DF7F26">
      <w:pPr>
        <w:pStyle w:val="P68B1DB1-a7101"/>
        <w:spacing w:line="360" w:lineRule="auto"/>
        <w:ind w:firstLineChars="350" w:firstLine="840"/>
        <w:rPr>
          <w:rFonts w:ascii="Times New Roman" w:hAnsi="Times New Roman" w:cs="Times New Roman" w:hint="default"/>
        </w:rPr>
      </w:pPr>
      <w:r w:rsidRPr="00775168">
        <w:rPr>
          <w:rFonts w:ascii="Times New Roman" w:hAnsi="Times New Roman"/>
        </w:rPr>
        <w:t xml:space="preserve">Unless otherwise specified, the following screening procedures must be completed 4 weeks before initiation of study drug: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Signed informed consent.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Demographic data were collected: gender, date of birth, ethnicity, height, and weight.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Smoking history: time of smoking, amount of smoking (mild: </w:t>
      </w:r>
      <w:r w:rsidRPr="00775168">
        <w:t>≤</w:t>
      </w:r>
      <w:r w:rsidRPr="00775168">
        <w:t xml:space="preserve"> 15 cigarettes/day; moderate: &gt; 15 cigarettes, &lt; 25 cigarettes/day; severe: </w:t>
      </w:r>
      <w:r w:rsidRPr="00775168">
        <w:t>≥</w:t>
      </w:r>
      <w:r w:rsidRPr="00775168">
        <w:t xml:space="preserve"> 25 cigarettes/day).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Tumor diagnosis: date of diagnosis, histological type (large cell, adenocarcinoma), lesion part (primary tumor or metastasis), pathological stage TNM and clinical stage.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Gene mutation (if the patient has been examined for gene mutation, the test results must be provided) </w:t>
      </w:r>
    </w:p>
    <w:p w:rsidR="00743320" w:rsidRPr="00775168" w:rsidRDefault="00DF7F26">
      <w:pPr>
        <w:pStyle w:val="P68B1DB1-15103"/>
        <w:numPr>
          <w:ilvl w:val="2"/>
          <w:numId w:val="22"/>
        </w:numPr>
        <w:autoSpaceDE w:val="0"/>
        <w:autoSpaceDN w:val="0"/>
        <w:spacing w:line="468" w:lineRule="exact"/>
        <w:ind w:firstLineChars="0"/>
        <w:jc w:val="left"/>
        <w:rPr>
          <w:rFonts w:hint="default"/>
        </w:rPr>
      </w:pPr>
      <w:r w:rsidRPr="00775168">
        <w:t xml:space="preserve">EGFR mutation </w:t>
      </w:r>
    </w:p>
    <w:p w:rsidR="00743320" w:rsidRPr="00775168" w:rsidRDefault="00DF7F26">
      <w:pPr>
        <w:pStyle w:val="P68B1DB1-15102"/>
        <w:numPr>
          <w:ilvl w:val="2"/>
          <w:numId w:val="22"/>
        </w:numPr>
        <w:autoSpaceDE w:val="0"/>
        <w:autoSpaceDN w:val="0"/>
        <w:spacing w:line="468" w:lineRule="exact"/>
        <w:ind w:firstLineChars="0"/>
        <w:jc w:val="left"/>
        <w:rPr>
          <w:rFonts w:hint="default"/>
        </w:rPr>
      </w:pPr>
      <w:r w:rsidRPr="00775168">
        <w:t xml:space="preserve">Other gene mutations (if any)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Patients were encouraged to provide tumor samples (wax blocks, slides, or biopsies) whenever possible for subsequent testing.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Tumor treatment history: </w:t>
      </w:r>
    </w:p>
    <w:p w:rsidR="00743320" w:rsidRPr="00775168" w:rsidRDefault="00DF7F26">
      <w:pPr>
        <w:pStyle w:val="P68B1DB1-15102"/>
        <w:numPr>
          <w:ilvl w:val="2"/>
          <w:numId w:val="23"/>
        </w:numPr>
        <w:autoSpaceDE w:val="0"/>
        <w:autoSpaceDN w:val="0"/>
        <w:spacing w:line="468" w:lineRule="exact"/>
        <w:ind w:firstLineChars="0"/>
        <w:jc w:val="left"/>
        <w:rPr>
          <w:rFonts w:hint="default"/>
        </w:rPr>
      </w:pPr>
      <w:r w:rsidRPr="00775168">
        <w:t xml:space="preserve">Tumor surgery: date of surgery, name of surgery; </w:t>
      </w:r>
    </w:p>
    <w:p w:rsidR="00743320" w:rsidRPr="00775168" w:rsidRDefault="00DF7F26">
      <w:pPr>
        <w:pStyle w:val="P68B1DB1-15102"/>
        <w:numPr>
          <w:ilvl w:val="2"/>
          <w:numId w:val="23"/>
        </w:numPr>
        <w:autoSpaceDE w:val="0"/>
        <w:autoSpaceDN w:val="0"/>
        <w:spacing w:line="468" w:lineRule="exact"/>
        <w:ind w:firstLineChars="0"/>
        <w:jc w:val="left"/>
        <w:rPr>
          <w:rFonts w:hint="default"/>
        </w:rPr>
      </w:pPr>
      <w:r w:rsidRPr="00775168">
        <w:t xml:space="preserve">History of chemotherapy (including neoadjuvant therapy and adjuvant therapy), history of targeted therapy: the name, dose, cycle, start and end time of medication, reason for dressing change (if dressing change is due to disease progression, imaging basis should be recorded; if treatment regimen is changed due to intolerance, adverse reactions and severity should be recorded), efficacy results; </w:t>
      </w:r>
    </w:p>
    <w:p w:rsidR="00743320" w:rsidRPr="00775168" w:rsidRDefault="00DF7F26">
      <w:pPr>
        <w:pStyle w:val="P68B1DB1-15102"/>
        <w:numPr>
          <w:ilvl w:val="2"/>
          <w:numId w:val="23"/>
        </w:numPr>
        <w:autoSpaceDE w:val="0"/>
        <w:autoSpaceDN w:val="0"/>
        <w:spacing w:line="468" w:lineRule="exact"/>
        <w:ind w:firstLineChars="0"/>
        <w:jc w:val="left"/>
        <w:rPr>
          <w:rFonts w:hint="default"/>
        </w:rPr>
      </w:pPr>
      <w:r w:rsidRPr="00775168">
        <w:t xml:space="preserve">History of radiotherapy: radiotherapy time, amount of radiotherapy received.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Date of </w:t>
      </w:r>
      <w:r w:rsidR="003A58EF" w:rsidRPr="00775168">
        <w:rPr>
          <w:rFonts w:hint="default"/>
        </w:rPr>
        <w:t>gradual</w:t>
      </w:r>
      <w:r w:rsidRPr="00775168">
        <w:t xml:space="preserve"> Progression or </w:t>
      </w:r>
      <w:r w:rsidR="003A58EF" w:rsidRPr="00775168">
        <w:rPr>
          <w:rFonts w:hint="default"/>
        </w:rPr>
        <w:t>oligo</w:t>
      </w:r>
      <w:r w:rsidRPr="00775168">
        <w:t xml:space="preserve"> Progression or Risk of Progression since last therapy.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Treatment history of concomitant diseases, such as diabetes, hypertension or chronic obstructive pulmonary disease.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Blood pressure monitoring: During the screening period, the investigators measured the blood pressure of the subjects. During each blood pressure measurement, the subjects are </w:t>
      </w:r>
      <w:r w:rsidRPr="00775168">
        <w:lastRenderedPageBreak/>
        <w:t xml:space="preserve">prohibited from smoking and drinking coffee within 30 minutes before the measurement and have a quiet rest for at least 10 minutes. During the measurement, the subjects are seated and their elbows are placed at the same level as the heart. The blood pressure measurement is performed on the same side for each blood pressure measurement.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Imaging examination: CT or MRI of the chest, abdomen and brain. Bone scan should be performed when there is clinical suspicion of bone metastasis; patients with stable brain metastasis should be confirmed to have no symptoms of cerebral hemorrhage within 14 days before randomization. ( Written informed consent must be obtained before any trial-specific medical procedure is performed, but the results of the CT/MRI scans obtained before signing the informed consent to participate in this trial must be performed within 28 days prior to the randomization date as long as they are acceptable for the screening tumor assessment). </w:t>
      </w:r>
    </w:p>
    <w:p w:rsidR="00743320" w:rsidRPr="00775168" w:rsidRDefault="00DF7F26">
      <w:pPr>
        <w:pStyle w:val="P68B1DB1-a033"/>
        <w:autoSpaceDE w:val="0"/>
        <w:autoSpaceDN w:val="0"/>
        <w:adjustRightInd w:val="0"/>
        <w:spacing w:line="360" w:lineRule="auto"/>
        <w:ind w:firstLineChars="200" w:firstLine="482"/>
        <w:jc w:val="left"/>
      </w:pPr>
      <w:r w:rsidRPr="00775168">
        <w:rPr>
          <w:rFonts w:cs="宋体" w:hint="eastAsia"/>
          <w:b/>
        </w:rPr>
        <w:t xml:space="preserve">Note: According to RECIST 1.1, more than one measurable lesion should be recorded and measured at baseline. The total number of lesions should not exceed 5 (no more than 2 lesions per organ). For example, for patients with only one or two organ sites involved, at most 2 or 4 target lesions should be selected as baseline lesions. </w:t>
      </w:r>
    </w:p>
    <w:p w:rsidR="00743320" w:rsidRPr="00775168" w:rsidRDefault="00DF7F26">
      <w:pPr>
        <w:pStyle w:val="P68B1DB1-a09"/>
        <w:autoSpaceDE w:val="0"/>
        <w:autoSpaceDN w:val="0"/>
        <w:adjustRightInd w:val="0"/>
        <w:spacing w:line="360" w:lineRule="auto"/>
        <w:ind w:firstLineChars="200" w:firstLine="480"/>
        <w:jc w:val="left"/>
        <w:rPr>
          <w:rFonts w:hint="default"/>
        </w:rPr>
      </w:pPr>
      <w:r w:rsidRPr="00775168">
        <w:t xml:space="preserve">Target lesions must be selected on the basis of their size (longest diameter), be representative of all involved organs, and be measured with good reproducibility. When the largest lesion cannot be measured repeatedly, a new largest lesion which can be measured repeatedly can be selected. </w:t>
      </w:r>
    </w:p>
    <w:p w:rsidR="00743320" w:rsidRPr="00775168" w:rsidRDefault="00DF7F26">
      <w:pPr>
        <w:pStyle w:val="P68B1DB1-a024"/>
        <w:autoSpaceDE w:val="0"/>
        <w:autoSpaceDN w:val="0"/>
        <w:adjustRightInd w:val="0"/>
        <w:spacing w:line="360" w:lineRule="auto"/>
        <w:ind w:firstLineChars="200" w:firstLine="480"/>
        <w:jc w:val="left"/>
        <w:rPr>
          <w:rFonts w:hint="default"/>
        </w:rPr>
      </w:pPr>
      <w:r w:rsidRPr="00775168">
        <w:t xml:space="preserve">Measurable lymph nodes must meet the following criteria: short diameter </w:t>
      </w:r>
      <w:r w:rsidRPr="00775168">
        <w:t>≥</w:t>
      </w:r>
      <w:r w:rsidRPr="00775168">
        <w:t xml:space="preserve"> 15 mm by CT. Only the short diameter is required to be measured at baseline. The short diameter is usually used to judge whether the nodule has tumor metastasis. The size of a nodule is generally expressed by the two-dimensional data detected by the image (for CT, the axial plane is used; for MRI, a plane is selected from the axial plane, sagittal plane or coronal plane), and the smallest value is taken as the short diameter. For example, an abdominal node which is reported as being 20 mm </w:t>
      </w:r>
      <w:r w:rsidRPr="00775168">
        <w:t>×</w:t>
      </w:r>
      <w:r w:rsidRPr="00775168">
        <w:t xml:space="preserve"> 30 mm has a short axis of 20 mm and qualifies as a malignant, measurable node. In this example, 20 mm is the measurement of the node. Nodules </w:t>
      </w:r>
      <w:r w:rsidRPr="00775168">
        <w:t>≥</w:t>
      </w:r>
      <w:r w:rsidRPr="00775168">
        <w:t xml:space="preserve"> 10 mm but &lt; 15 mm in diameter are not considered target lesions; while nodules &lt; 10 mm are not considered pathological and should not be recorded or followed. </w:t>
      </w:r>
    </w:p>
    <w:p w:rsidR="00743320" w:rsidRPr="00775168" w:rsidRDefault="00DF7F26">
      <w:pPr>
        <w:pStyle w:val="P68B1DB1-a09"/>
        <w:autoSpaceDE w:val="0"/>
        <w:autoSpaceDN w:val="0"/>
        <w:adjustRightInd w:val="0"/>
        <w:spacing w:line="360" w:lineRule="auto"/>
        <w:ind w:firstLineChars="200" w:firstLine="480"/>
        <w:jc w:val="left"/>
        <w:rPr>
          <w:rFonts w:hint="default"/>
        </w:rPr>
      </w:pPr>
      <w:r w:rsidRPr="00775168">
        <w:t xml:space="preserve">A sum of the diameters (longest for non-nodal lesions, short axis for nodal lesions) for all target lesions will be calculated and reported as the baseline sum diameters. If lymph nodes are to be included in the sum, only the short axis will be included as noted above. The baseline sum diameters will be used as reference for baseline disease. </w:t>
      </w:r>
    </w:p>
    <w:p w:rsidR="00743320" w:rsidRPr="00775168" w:rsidRDefault="00DF7F26">
      <w:pPr>
        <w:pStyle w:val="P68B1DB1-a09"/>
        <w:autoSpaceDE w:val="0"/>
        <w:autoSpaceDN w:val="0"/>
        <w:adjustRightInd w:val="0"/>
        <w:spacing w:line="360" w:lineRule="auto"/>
        <w:ind w:firstLineChars="200" w:firstLine="480"/>
        <w:jc w:val="left"/>
        <w:rPr>
          <w:rFonts w:hint="default"/>
          <w:kern w:val="0"/>
        </w:rPr>
      </w:pPr>
      <w:r w:rsidRPr="00775168">
        <w:lastRenderedPageBreak/>
        <w:t xml:space="preserve">All remaining lesions including pathological lymph nodes should be identified as non-target lesions and should not be measured but should be recorded at baseline assessment and as "present", "absent" or in rare cases "unequivocal progression". Widespread presence of target lesions can be recorded together with target organs (e.g. extensive liver metastases).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Hepatitis B and C tests: two and a half pairs of hepatitis B tests, if the test results are abnormal, virus replication (HBV DNA) test should be performed; hepatitis C virus antibody (anti-HCV).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Concomitant medication: concomitant medication within 28 days prior to randomization should be recorded. </w:t>
      </w:r>
    </w:p>
    <w:p w:rsidR="00743320" w:rsidRPr="00775168" w:rsidRDefault="00743320">
      <w:pPr>
        <w:pStyle w:val="14"/>
        <w:tabs>
          <w:tab w:val="left" w:pos="1381"/>
        </w:tabs>
        <w:autoSpaceDE w:val="0"/>
        <w:autoSpaceDN w:val="0"/>
        <w:spacing w:line="468" w:lineRule="exact"/>
        <w:ind w:left="967" w:firstLineChars="0" w:firstLine="0"/>
        <w:jc w:val="left"/>
        <w:rPr>
          <w:rFonts w:cs="宋体"/>
          <w:sz w:val="24"/>
        </w:rPr>
      </w:pPr>
    </w:p>
    <w:p w:rsidR="00743320" w:rsidRPr="00775168" w:rsidRDefault="00DF7F26">
      <w:pPr>
        <w:pStyle w:val="P68B1DB1-15104"/>
        <w:tabs>
          <w:tab w:val="left" w:pos="1381"/>
        </w:tabs>
        <w:autoSpaceDE w:val="0"/>
        <w:autoSpaceDN w:val="0"/>
        <w:spacing w:line="468" w:lineRule="exact"/>
        <w:ind w:left="967" w:firstLineChars="0" w:firstLine="0"/>
        <w:jc w:val="left"/>
      </w:pPr>
      <w:r w:rsidRPr="00775168">
        <w:rPr>
          <w:rFonts w:hint="eastAsia"/>
        </w:rPr>
        <w:t xml:space="preserve">The following screening procedures must be completed within 14 days prior to initiation of study drug: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ECOG score. </w:t>
      </w:r>
    </w:p>
    <w:p w:rsidR="00775168" w:rsidRDefault="00DF7F26" w:rsidP="00775168">
      <w:pPr>
        <w:pStyle w:val="P68B1DB1-15102"/>
        <w:numPr>
          <w:ilvl w:val="2"/>
          <w:numId w:val="21"/>
        </w:numPr>
        <w:autoSpaceDE w:val="0"/>
        <w:autoSpaceDN w:val="0"/>
        <w:spacing w:line="468" w:lineRule="exact"/>
        <w:ind w:left="1392" w:firstLineChars="0" w:hanging="425"/>
        <w:jc w:val="left"/>
        <w:rPr>
          <w:rFonts w:hint="default"/>
        </w:rPr>
      </w:pPr>
      <w:r w:rsidRPr="00775168">
        <w:t xml:space="preserve">Vital signs: pulse rate, respiratory rate, body temperature, blood pressure. </w:t>
      </w:r>
    </w:p>
    <w:p w:rsidR="00743320" w:rsidRPr="00775168" w:rsidRDefault="00DF7F26" w:rsidP="00775168">
      <w:pPr>
        <w:pStyle w:val="P68B1DB1-15102"/>
        <w:numPr>
          <w:ilvl w:val="2"/>
          <w:numId w:val="21"/>
        </w:numPr>
        <w:autoSpaceDE w:val="0"/>
        <w:autoSpaceDN w:val="0"/>
        <w:spacing w:line="468" w:lineRule="exact"/>
        <w:ind w:left="1392" w:firstLineChars="0" w:hanging="425"/>
        <w:jc w:val="left"/>
        <w:rPr>
          <w:rFonts w:hint="default"/>
        </w:rPr>
      </w:pPr>
      <w:r w:rsidRPr="00775168">
        <w:t xml:space="preserve">Physical examination: examination of major body systems (dermatologic system, head and face, eyes, ears, nose and throat, oral cavity, neck, chest, abdomen, spine/extremities, other).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Hematology: hemoglobin, red blood cell, white blood cell, neutrophil count, lymphocyte count and platelet count.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Urinalysis: urine protein, urine glucose, urine occult blood (urine red blood cells, white blood cells), urine pH and urine ketone body; if semi-quantitative method shows protein </w:t>
      </w:r>
      <w:r w:rsidRPr="00775168">
        <w:t>≥</w:t>
      </w:r>
      <w:r w:rsidRPr="00775168">
        <w:t xml:space="preserve"> 2 + (such as urine test strip), 24-hour urine protein quantitative examination is performed. The 24-hour urine protein quantitative examination must be &lt; 1g. </w:t>
      </w:r>
    </w:p>
    <w:p w:rsidR="00743320" w:rsidRPr="00775168" w:rsidRDefault="00DF7F26">
      <w:pPr>
        <w:pStyle w:val="P68B1DB1-15104"/>
        <w:numPr>
          <w:ilvl w:val="2"/>
          <w:numId w:val="21"/>
        </w:numPr>
        <w:autoSpaceDE w:val="0"/>
        <w:autoSpaceDN w:val="0"/>
        <w:spacing w:line="468" w:lineRule="exact"/>
        <w:ind w:left="1392" w:firstLineChars="0" w:hanging="425"/>
        <w:jc w:val="left"/>
      </w:pPr>
      <w:r w:rsidRPr="00775168">
        <w:rPr>
          <w:rFonts w:hint="eastAsia"/>
        </w:rPr>
        <w:t xml:space="preserve">Stool routine: occult blood. If stool + is reexamined, gastroscopy is required.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Blood biochemistry: total bilirubin, conjugated bilirubin, ALT, AST, AKP, r-GT, total protein, albumin, urea nitrogen, creatinine, uric acid, blood glucose, triglyceride, cholesterol, potassium, sodium, chloride, calcium and phosphorus.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Coagulation test: PT, APTT, TT, Fbg, INR.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Biomarker Blood Sampling: </w:t>
      </w:r>
    </w:p>
    <w:p w:rsidR="00743320" w:rsidRPr="00775168" w:rsidRDefault="00DF7F26">
      <w:pPr>
        <w:pStyle w:val="P68B1DB1-15102"/>
        <w:numPr>
          <w:ilvl w:val="2"/>
          <w:numId w:val="24"/>
        </w:numPr>
        <w:autoSpaceDE w:val="0"/>
        <w:autoSpaceDN w:val="0"/>
        <w:spacing w:line="468" w:lineRule="exact"/>
        <w:ind w:firstLineChars="0"/>
        <w:jc w:val="left"/>
        <w:rPr>
          <w:rFonts w:hint="default"/>
        </w:rPr>
      </w:pPr>
      <w:r w:rsidRPr="00775168">
        <w:t xml:space="preserve">Tumor marker detection (collected before administration): To detect the expression of related cytokines in the blood, 8 ml of blood was collected in EDTA tubes, and the upper </w:t>
      </w:r>
      <w:r w:rsidRPr="00775168">
        <w:lastRenderedPageBreak/>
        <w:t>serum was collected according to the SOP for centrifugation in the respective hospitals, completely recorded, and stored in a -70</w:t>
      </w:r>
      <w:r w:rsidRPr="00775168">
        <w:t>℃</w:t>
      </w:r>
      <w:r w:rsidRPr="00775168">
        <w:t xml:space="preserve"> cryogenic refrigerator; </w:t>
      </w:r>
    </w:p>
    <w:p w:rsidR="00743320" w:rsidRPr="00775168" w:rsidRDefault="00DF7F26">
      <w:pPr>
        <w:pStyle w:val="P68B1DB1-15102"/>
        <w:numPr>
          <w:ilvl w:val="2"/>
          <w:numId w:val="24"/>
        </w:numPr>
        <w:autoSpaceDE w:val="0"/>
        <w:autoSpaceDN w:val="0"/>
        <w:spacing w:line="468" w:lineRule="exact"/>
        <w:ind w:firstLineChars="0"/>
        <w:jc w:val="left"/>
        <w:rPr>
          <w:rFonts w:hint="default"/>
        </w:rPr>
      </w:pPr>
      <w:r w:rsidRPr="00775168">
        <w:t xml:space="preserve">CEA test: To test serum CEA level, perform before the first dose (14 days before enrollment), on Day 21 of Cycle 1, and on Day 21 at the end of every other week period thereafter, and at the presence of disease progression (within 3 days after imaging assessment). </w:t>
      </w:r>
    </w:p>
    <w:p w:rsidR="00743320" w:rsidRPr="00775168" w:rsidRDefault="00DF7F26">
      <w:pPr>
        <w:pStyle w:val="P68B1DB1-15102"/>
        <w:numPr>
          <w:ilvl w:val="2"/>
          <w:numId w:val="24"/>
        </w:numPr>
        <w:autoSpaceDE w:val="0"/>
        <w:autoSpaceDN w:val="0"/>
        <w:spacing w:line="468" w:lineRule="exact"/>
        <w:ind w:firstLineChars="0"/>
        <w:jc w:val="left"/>
        <w:rPr>
          <w:rFonts w:hint="default"/>
        </w:rPr>
      </w:pPr>
      <w:r w:rsidRPr="00775168">
        <w:t xml:space="preserve">Plasma EGFR-T790M detection (not mandatory, according to the patient's wishes, the patient may not undergo this examination): In order to extract free tumor DNA in plasma and detect gene mutation status, blood samples were collected within 14 days before enrollment and sent to the clinical laboratory. EGFR mutation detection was performed according to the sop of blood centrifugation and detection in each hospital, and the presence or absence of T790M mutation was recorded.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ECG: 12 ECG examinations. </w:t>
      </w:r>
    </w:p>
    <w:p w:rsidR="00743320" w:rsidRPr="00775168" w:rsidRDefault="00DF7F26">
      <w:pPr>
        <w:pStyle w:val="P68B1DB1-15105"/>
        <w:numPr>
          <w:ilvl w:val="2"/>
          <w:numId w:val="21"/>
        </w:numPr>
        <w:autoSpaceDE w:val="0"/>
        <w:autoSpaceDN w:val="0"/>
        <w:spacing w:line="468" w:lineRule="exact"/>
        <w:ind w:left="1392" w:firstLineChars="0" w:hanging="425"/>
        <w:jc w:val="left"/>
        <w:rPr>
          <w:rFonts w:hint="default"/>
        </w:rPr>
      </w:pPr>
      <w:r w:rsidRPr="00775168">
        <w:t xml:space="preserve">Myocardial enzyme spectrum examination: Only one examination was performed 14 times before enrollment, and no examination was required in the future. This examination was supplemented only when the ECG was abnormal.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Echocardiography. </w:t>
      </w:r>
    </w:p>
    <w:p w:rsidR="00743320" w:rsidRPr="00775168" w:rsidRDefault="00DF7F26">
      <w:pPr>
        <w:pStyle w:val="P68B1DB1-15102"/>
        <w:numPr>
          <w:ilvl w:val="2"/>
          <w:numId w:val="21"/>
        </w:numPr>
        <w:autoSpaceDE w:val="0"/>
        <w:autoSpaceDN w:val="0"/>
        <w:spacing w:line="468" w:lineRule="exact"/>
        <w:ind w:left="1392" w:firstLineChars="0" w:hanging="425"/>
        <w:jc w:val="left"/>
        <w:rPr>
          <w:rFonts w:hint="default"/>
        </w:rPr>
      </w:pPr>
      <w:r w:rsidRPr="00775168">
        <w:t xml:space="preserve">Pregnancy test (for women of childbearing age).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Quality of life score: The questionnaire was completed by the subjects themselves. However, if the subject is unable to read or write by himself, it may be performed by an authorized staff member or guardian. </w:t>
      </w:r>
    </w:p>
    <w:p w:rsidR="00743320" w:rsidRPr="00775168" w:rsidRDefault="00DF7F26">
      <w:pPr>
        <w:pStyle w:val="P68B1DB1-15102"/>
        <w:tabs>
          <w:tab w:val="left" w:pos="1381"/>
        </w:tabs>
        <w:autoSpaceDE w:val="0"/>
        <w:autoSpaceDN w:val="0"/>
        <w:spacing w:line="468" w:lineRule="exact"/>
        <w:ind w:left="1392" w:firstLineChars="0" w:firstLine="0"/>
        <w:jc w:val="left"/>
        <w:rPr>
          <w:rFonts w:hint="default"/>
        </w:rPr>
      </w:pPr>
      <w:r w:rsidRPr="00775168">
        <w:t xml:space="preserve">The following study procedures must be performed in patients who are screened, meet the inclusion criteria and do not meet the exclusion criteria: </w:t>
      </w:r>
    </w:p>
    <w:p w:rsidR="00743320" w:rsidRPr="00775168" w:rsidRDefault="00DF7F26">
      <w:pPr>
        <w:pStyle w:val="P68B1DB1-15103"/>
        <w:numPr>
          <w:ilvl w:val="2"/>
          <w:numId w:val="21"/>
        </w:numPr>
        <w:autoSpaceDE w:val="0"/>
        <w:autoSpaceDN w:val="0"/>
        <w:spacing w:line="468" w:lineRule="exact"/>
        <w:ind w:left="1392" w:firstLineChars="0" w:hanging="425"/>
        <w:jc w:val="left"/>
        <w:rPr>
          <w:rFonts w:hint="default"/>
        </w:rPr>
      </w:pPr>
      <w:r w:rsidRPr="00775168">
        <w:t xml:space="preserve">Dispensing/administration of trial medication. </w:t>
      </w:r>
    </w:p>
    <w:p w:rsidR="00743320" w:rsidRPr="00775168" w:rsidRDefault="00DF7F26">
      <w:pPr>
        <w:pStyle w:val="P68B1DB1-265"/>
        <w:rPr>
          <w:rFonts w:ascii="Times New Roman" w:eastAsia="宋体" w:hAnsi="Times New Roman" w:cs="Times New Roman"/>
        </w:rPr>
      </w:pPr>
      <w:bookmarkStart w:id="208" w:name="_Toc178589688"/>
      <w:bookmarkStart w:id="209" w:name="_Toc512941711"/>
      <w:bookmarkStart w:id="210" w:name="_Toc512940957"/>
      <w:r w:rsidRPr="00775168">
        <w:rPr>
          <w:rFonts w:ascii="Times New Roman" w:eastAsia="宋体" w:hAnsi="Times New Roman" w:cs="宋体"/>
        </w:rPr>
        <w:t xml:space="preserve">6.2 </w:t>
      </w:r>
      <w:r w:rsidR="00775168" w:rsidRPr="00775168">
        <w:rPr>
          <w:rFonts w:ascii="Times New Roman" w:eastAsia="宋体" w:hAnsi="Times New Roman" w:cs="宋体"/>
        </w:rPr>
        <w:t>Treatment Period Visits</w:t>
      </w:r>
      <w:bookmarkEnd w:id="208"/>
      <w:r w:rsidRPr="00775168">
        <w:rPr>
          <w:rFonts w:ascii="Times New Roman" w:eastAsia="宋体" w:hAnsi="Times New Roman" w:cs="宋体"/>
        </w:rPr>
        <w:t xml:space="preserve"> </w:t>
      </w:r>
      <w:bookmarkEnd w:id="209"/>
      <w:bookmarkEnd w:id="210"/>
    </w:p>
    <w:p w:rsidR="00743320" w:rsidRPr="00775168" w:rsidRDefault="00DF7F26">
      <w:pPr>
        <w:pStyle w:val="P68B1DB1-a7106"/>
        <w:spacing w:line="488" w:lineRule="exact"/>
        <w:ind w:left="840"/>
        <w:rPr>
          <w:rFonts w:ascii="Times New Roman" w:hAnsi="Times New Roman" w:cs="Times New Roman"/>
        </w:rPr>
      </w:pPr>
      <w:r w:rsidRPr="00775168">
        <w:rPr>
          <w:rFonts w:ascii="Times New Roman" w:hAnsi="Times New Roman" w:hint="eastAsia"/>
        </w:rPr>
        <w:t xml:space="preserve">Follow-up will be performed on Days 7 and 21 in Cycle 1, and at the end of every 2 cycles after Cycle 1.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Vital signs: pulse rate, respiratory rate, body temperature, blood pressure. On Day 7 and Day 21 of Cycle 1, and at the end of every other cycle. </w:t>
      </w:r>
    </w:p>
    <w:p w:rsidR="00743320" w:rsidRPr="00775168" w:rsidRDefault="00DF7F26">
      <w:pPr>
        <w:pStyle w:val="P68B1DB1-15104"/>
        <w:numPr>
          <w:ilvl w:val="2"/>
          <w:numId w:val="21"/>
        </w:numPr>
        <w:tabs>
          <w:tab w:val="left" w:pos="1381"/>
        </w:tabs>
        <w:autoSpaceDE w:val="0"/>
        <w:autoSpaceDN w:val="0"/>
        <w:spacing w:line="468" w:lineRule="exact"/>
        <w:ind w:left="1392" w:firstLineChars="0" w:hanging="425"/>
        <w:jc w:val="left"/>
      </w:pPr>
      <w:r w:rsidRPr="00775168">
        <w:rPr>
          <w:rFonts w:cs="宋体" w:hint="eastAsia"/>
        </w:rPr>
        <w:lastRenderedPageBreak/>
        <w:t xml:space="preserve">Physical examination: dermatologic system, head and face, eyes, ears, nose and throat, oral cavity, neck, chest, abdomen, spine/extremities, other. On Day 7 and Day 21 of Cycle 1, and at the end of every other cycle.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Blood pressure monitoring: blood pressure should be measured at least 3 times a week in the first 2 cycles. If blood pressure is abnormal, daily follow-up measurement should be performed; if blood pressure is normal, blood pressure should be measured twice a week after 2 cycles. Blood pressure monitoring was completed by the patient himself/herself and recorded in the patient diary card. Blood pressure will be measured again by the investigator at each follow-up visit. During each blood pressure measurement, smoking and coffee drinking are prohibited within 30 minutes before measurement, and the patient rests quietly for at least 10 minutes. During measurement, the patient is placed in a sitting position with the elbow placed at the same level as the heart. The same side is used for each blood pressure measurement. On Day 7 and Day 21 of Cycle 1, and at the end of every other cycle.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Hematology: hemoglobin, red blood cell, white blood cell, neutrophil count, lymphocyte count and platelet count. On Day 7 and Day 21 of Cycle 1, and at the end of every other cycle.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Urinalysis: urine protein, urine glucose, urine occult blood (urine red blood cells, white blood cells), urine pH and urine ketone body; if semi-quantitative methods show protein </w:t>
      </w:r>
      <w:r w:rsidRPr="00775168">
        <w:t>≥</w:t>
      </w:r>
      <w:r w:rsidRPr="00775168">
        <w:t xml:space="preserve"> 2 + (e.g., urine dipstick), 24-hour urine protein quantitative examination will be performed. On Day 7 and Day 21 of Cycle 1, and at the end of every other cycle.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Blood biochemistry: total bilirubin, conjugated bilirubin, ALT, AST, AKP, r-GT, total protein, albumin, urea nitrogen, creatinine, uric acid, blood glucose, triglyceride, cholesterol, potassium, sodium, chloride, calcium and phosphorus. On Day 7 and Day 21 of Cycle 1, and at the end of every other cycle.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Stool routine: occult blood. Day 21 of Cycle 1, and then the last time of every 2 cycles. Get medical advice/attention if abnormal.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Coagulation function: PT, APTT, TT, Fbg, INR. Day 21 of Cycle 1, and then the last time of every 2 cycles.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ECG: 12 ECG examinations. </w:t>
      </w:r>
    </w:p>
    <w:p w:rsidR="00743320" w:rsidRPr="00775168" w:rsidRDefault="00DF7F26">
      <w:pPr>
        <w:pStyle w:val="P68B1DB1-15103"/>
        <w:tabs>
          <w:tab w:val="left" w:pos="1381"/>
        </w:tabs>
        <w:autoSpaceDE w:val="0"/>
        <w:autoSpaceDN w:val="0"/>
        <w:spacing w:line="468" w:lineRule="exact"/>
        <w:ind w:left="1392" w:right="480" w:firstLineChars="0" w:firstLine="0"/>
        <w:rPr>
          <w:rFonts w:hint="default"/>
        </w:rPr>
      </w:pPr>
      <w:r w:rsidRPr="00775168">
        <w:lastRenderedPageBreak/>
        <w:t xml:space="preserve">21 days in the first cycle, and the last time in every other cycle. If symptoms such as precordial pain and palpitation occur, ECG should be examined immediately, and myocardial enzyme spectrum should be additionally performed; for ECG abnormalities with significant clinical significance, cardiac color ultrasound (LVEF) should be supplemented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Imaging: The same assessment method and technique (slice thickness, use of contrast medium, etc.) should be used to characterize and assess the lesion at baseline. </w:t>
      </w:r>
    </w:p>
    <w:p w:rsidR="00743320" w:rsidRPr="00775168" w:rsidRDefault="00DF7F26">
      <w:pPr>
        <w:pStyle w:val="P68B1DB1-15103"/>
        <w:numPr>
          <w:ilvl w:val="2"/>
          <w:numId w:val="25"/>
        </w:numPr>
        <w:tabs>
          <w:tab w:val="left" w:pos="1381"/>
        </w:tabs>
        <w:autoSpaceDE w:val="0"/>
        <w:autoSpaceDN w:val="0"/>
        <w:spacing w:line="468" w:lineRule="exact"/>
        <w:ind w:firstLineChars="0"/>
        <w:jc w:val="left"/>
        <w:rPr>
          <w:rFonts w:hint="default"/>
        </w:rPr>
      </w:pPr>
      <w:r w:rsidRPr="00775168">
        <w:t xml:space="preserve">CT or MRI should be performed on Day 21 of Cycle 1, and at the end of every 2 cycles thereafter for thoracic and abdominal lesions and other lesions found at baseline for tumor evaluation. The allowable window period of imaging examination schedule is </w:t>
      </w:r>
      <w:r w:rsidRPr="00775168">
        <w:t>±</w:t>
      </w:r>
      <w:r w:rsidRPr="00775168">
        <w:t xml:space="preserve"> 7 days. If new lesions are suspected, timely examination can be performed. </w:t>
      </w:r>
    </w:p>
    <w:p w:rsidR="00743320" w:rsidRPr="00775168" w:rsidRDefault="00DF7F26">
      <w:pPr>
        <w:pStyle w:val="P68B1DB1-15102"/>
        <w:numPr>
          <w:ilvl w:val="2"/>
          <w:numId w:val="25"/>
        </w:numPr>
        <w:tabs>
          <w:tab w:val="left" w:pos="1381"/>
        </w:tabs>
        <w:autoSpaceDE w:val="0"/>
        <w:autoSpaceDN w:val="0"/>
        <w:spacing w:line="468" w:lineRule="exact"/>
        <w:ind w:firstLineChars="0"/>
        <w:jc w:val="left"/>
        <w:rPr>
          <w:rFonts w:hint="default"/>
        </w:rPr>
      </w:pPr>
      <w:r w:rsidRPr="00775168">
        <w:t xml:space="preserve">Unscheduled imaging may be performed when disease progression is suspected (e.g., symptomatic deterioration).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Quality of life score: The questionnaire was completed by the subjects themselves. However, if the subject is unable to read or write by himself, it may be performed by an authorized staff member or guardian.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ECOG score: Day 21 of the first cycle, the last time every 2 cycles.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Adverse events: Adverse events were recorded from the time of the first dose of study drug until at least 21 days after administration and were followed up until resolution or stabilization.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Concomitant medications: concomitant medications and treatments during the study. Once a subject has discontinued trial treatment, only concomitant medications and treatments used for new or unresolved AEs related to trial treatment should be recorded.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Study drug: Dispense/return trial drug. On Day 7 of Cycle 1 and at the end of every 2 cycles.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Study drug compliance: On the first day of each visit cycle, the drug dosage, count, and compliance of the previous visit cycle were calculated and recorded in the eCRF. </w:t>
      </w:r>
    </w:p>
    <w:p w:rsidR="00743320" w:rsidRPr="00775168" w:rsidRDefault="00DF7F26">
      <w:pPr>
        <w:pStyle w:val="P68B1DB1-265"/>
        <w:rPr>
          <w:rFonts w:ascii="Times New Roman" w:eastAsia="宋体" w:hAnsi="Times New Roman" w:cs="Times New Roman"/>
        </w:rPr>
      </w:pPr>
      <w:bookmarkStart w:id="211" w:name="_Toc178589689"/>
      <w:bookmarkStart w:id="212" w:name="_Toc512940958"/>
      <w:bookmarkStart w:id="213" w:name="_Toc512941712"/>
      <w:r w:rsidRPr="00775168">
        <w:rPr>
          <w:rFonts w:ascii="Times New Roman" w:eastAsia="宋体" w:hAnsi="Times New Roman" w:cs="宋体"/>
        </w:rPr>
        <w:t>6.3 End of Study Treatment/Withdrawal Visit</w:t>
      </w:r>
      <w:bookmarkEnd w:id="211"/>
      <w:r w:rsidRPr="00775168">
        <w:rPr>
          <w:rFonts w:ascii="Times New Roman" w:eastAsia="宋体" w:hAnsi="Times New Roman" w:cs="宋体"/>
        </w:rPr>
        <w:t xml:space="preserve"> </w:t>
      </w:r>
      <w:bookmarkEnd w:id="212"/>
      <w:bookmarkEnd w:id="213"/>
    </w:p>
    <w:p w:rsidR="00743320" w:rsidRPr="00775168" w:rsidRDefault="00DF7F26">
      <w:pPr>
        <w:pStyle w:val="P68B1DB1-a024"/>
        <w:tabs>
          <w:tab w:val="left" w:pos="1381"/>
        </w:tabs>
        <w:autoSpaceDE w:val="0"/>
        <w:autoSpaceDN w:val="0"/>
        <w:spacing w:line="468" w:lineRule="exact"/>
        <w:ind w:firstLineChars="300" w:firstLine="720"/>
        <w:jc w:val="left"/>
        <w:rPr>
          <w:rFonts w:hint="default"/>
        </w:rPr>
      </w:pPr>
      <w:r w:rsidRPr="00775168">
        <w:t xml:space="preserve">At the end of study treatment or withdrawal from the study, if the patient is not examined 7 times </w:t>
      </w:r>
      <w:r w:rsidRPr="00775168">
        <w:lastRenderedPageBreak/>
        <w:t xml:space="preserve">before the end of the study, the following examinations should be performed: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ECOG score.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Vital signs: pulse rate, respiratory rate, body temperature, blood pressure.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Physical examination: dermatologic system, head and face, eyes, ears, nose and throat, oral cavity, neck, chest, abdomen, spine/extremities, other.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Blood pressure test: Blood pressure was measured by the investigator during this blood pressure test. Before each BP measurement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Smoking and coffee are prohibited within 30 minutes, and the patient rested quietly for at least 10 minutes. During the measurement, the patient was placed in a sitting position with the elbow at the same level as the heart. The same side was used for each blood pressure measurement.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Hematology: hemoglobin, red blood cell, white blood cell, neutrophil count, lymphocyte count and platelet count.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Urine routine: urine protein, urine glucose and urine occult blood; if semi-quantitative method shows protein </w:t>
      </w:r>
      <w:r w:rsidRPr="00775168">
        <w:t>≥</w:t>
      </w:r>
      <w:r w:rsidRPr="00775168">
        <w:t xml:space="preserve"> 2 + (e.g., urine dipstick), quantitative 24-hour urine protein test will be performed. </w:t>
      </w:r>
    </w:p>
    <w:p w:rsidR="00743320" w:rsidRPr="00775168" w:rsidRDefault="00DF7F26">
      <w:pPr>
        <w:pStyle w:val="P68B1DB1-15104"/>
        <w:numPr>
          <w:ilvl w:val="2"/>
          <w:numId w:val="21"/>
        </w:numPr>
        <w:tabs>
          <w:tab w:val="left" w:pos="1381"/>
        </w:tabs>
        <w:autoSpaceDE w:val="0"/>
        <w:autoSpaceDN w:val="0"/>
        <w:spacing w:line="220" w:lineRule="auto"/>
        <w:ind w:left="1440" w:right="356" w:firstLineChars="0"/>
        <w:jc w:val="left"/>
      </w:pPr>
      <w:r w:rsidRPr="00775168">
        <w:rPr>
          <w:rFonts w:hint="eastAsia"/>
        </w:rPr>
        <w:t xml:space="preserve">Blood biochemistry: total bilirubin, conjugated bilirubin, ALT, AST, AKP, </w:t>
      </w:r>
      <w:r w:rsidRPr="00775168">
        <w:rPr>
          <w:rFonts w:hint="eastAsia"/>
        </w:rPr>
        <w:t>γ</w:t>
      </w:r>
      <w:r w:rsidRPr="00775168">
        <w:rPr>
          <w:rFonts w:hint="eastAsia"/>
        </w:rPr>
        <w:t xml:space="preserve">-GT, total protein, albumin, urea nitrogen, creatinine, uric acid, blood glucose, triglyceride, cholesterol, potassium, sodium, chloride, calcium and phosphorus. </w:t>
      </w:r>
    </w:p>
    <w:p w:rsidR="00743320" w:rsidRPr="00775168" w:rsidRDefault="00DF7F26">
      <w:pPr>
        <w:pStyle w:val="P68B1DB1-15102"/>
        <w:numPr>
          <w:ilvl w:val="2"/>
          <w:numId w:val="21"/>
        </w:numPr>
        <w:tabs>
          <w:tab w:val="left" w:pos="1381"/>
        </w:tabs>
        <w:autoSpaceDE w:val="0"/>
        <w:autoSpaceDN w:val="0"/>
        <w:spacing w:line="457" w:lineRule="exact"/>
        <w:ind w:left="1440" w:firstLineChars="0"/>
        <w:jc w:val="left"/>
        <w:rPr>
          <w:rFonts w:hint="default"/>
        </w:rPr>
      </w:pPr>
      <w:r w:rsidRPr="00775168">
        <w:t xml:space="preserve">Fecal routine: occult blood. </w:t>
      </w:r>
    </w:p>
    <w:p w:rsidR="00743320" w:rsidRPr="00775168" w:rsidRDefault="00DF7F26">
      <w:pPr>
        <w:pStyle w:val="P68B1DB1-15105"/>
        <w:numPr>
          <w:ilvl w:val="2"/>
          <w:numId w:val="21"/>
        </w:numPr>
        <w:tabs>
          <w:tab w:val="left" w:pos="1381"/>
        </w:tabs>
        <w:autoSpaceDE w:val="0"/>
        <w:autoSpaceDN w:val="0"/>
        <w:spacing w:line="467" w:lineRule="exact"/>
        <w:ind w:left="1440" w:firstLineChars="0"/>
        <w:jc w:val="left"/>
        <w:rPr>
          <w:rFonts w:hint="default"/>
        </w:rPr>
      </w:pPr>
      <w:r w:rsidRPr="00775168">
        <w:t xml:space="preserve">Coagulation test: PT, APTT, TT, Fbg, INR. </w:t>
      </w:r>
    </w:p>
    <w:p w:rsidR="00743320" w:rsidRPr="00775168" w:rsidRDefault="00DF7F26">
      <w:pPr>
        <w:pStyle w:val="P68B1DB1-15105"/>
        <w:numPr>
          <w:ilvl w:val="2"/>
          <w:numId w:val="21"/>
        </w:numPr>
        <w:tabs>
          <w:tab w:val="left" w:pos="1381"/>
        </w:tabs>
        <w:autoSpaceDE w:val="0"/>
        <w:autoSpaceDN w:val="0"/>
        <w:spacing w:line="467" w:lineRule="exact"/>
        <w:ind w:left="1440" w:firstLineChars="0"/>
        <w:jc w:val="left"/>
        <w:rPr>
          <w:rFonts w:hint="default"/>
        </w:rPr>
      </w:pPr>
      <w:r w:rsidRPr="00775168">
        <w:t xml:space="preserve">ECG: 12 ECG examinations. </w:t>
      </w:r>
    </w:p>
    <w:p w:rsidR="00743320" w:rsidRPr="00775168" w:rsidRDefault="00DF7F26">
      <w:pPr>
        <w:pStyle w:val="P68B1DB1-15102"/>
        <w:numPr>
          <w:ilvl w:val="2"/>
          <w:numId w:val="21"/>
        </w:numPr>
        <w:tabs>
          <w:tab w:val="left" w:pos="1381"/>
        </w:tabs>
        <w:autoSpaceDE w:val="0"/>
        <w:autoSpaceDN w:val="0"/>
        <w:spacing w:line="467" w:lineRule="exact"/>
        <w:ind w:left="1440" w:firstLineChars="0"/>
        <w:jc w:val="left"/>
        <w:rPr>
          <w:rFonts w:hint="default"/>
        </w:rPr>
      </w:pPr>
      <w:r w:rsidRPr="00775168">
        <w:t xml:space="preserve">Echocardiography. </w:t>
      </w:r>
    </w:p>
    <w:p w:rsidR="00743320" w:rsidRPr="00775168" w:rsidRDefault="00DF7F26">
      <w:pPr>
        <w:pStyle w:val="P68B1DB1-15102"/>
        <w:numPr>
          <w:ilvl w:val="2"/>
          <w:numId w:val="21"/>
        </w:numPr>
        <w:tabs>
          <w:tab w:val="left" w:pos="1381"/>
        </w:tabs>
        <w:autoSpaceDE w:val="0"/>
        <w:autoSpaceDN w:val="0"/>
        <w:spacing w:line="487" w:lineRule="exact"/>
        <w:ind w:left="1440" w:firstLineChars="0"/>
        <w:jc w:val="left"/>
        <w:rPr>
          <w:rFonts w:hint="default"/>
        </w:rPr>
      </w:pPr>
      <w:r w:rsidRPr="00775168">
        <w:t xml:space="preserve">Pregnancy test for women of childbearing age. </w:t>
      </w:r>
    </w:p>
    <w:p w:rsidR="00743320" w:rsidRPr="00775168" w:rsidRDefault="00DF7F26">
      <w:pPr>
        <w:pStyle w:val="P68B1DB1-15102"/>
        <w:numPr>
          <w:ilvl w:val="2"/>
          <w:numId w:val="21"/>
        </w:numPr>
        <w:tabs>
          <w:tab w:val="left" w:pos="1381"/>
        </w:tabs>
        <w:autoSpaceDE w:val="0"/>
        <w:autoSpaceDN w:val="0"/>
        <w:spacing w:before="29" w:line="488" w:lineRule="exact"/>
        <w:ind w:left="1440" w:firstLineChars="0"/>
        <w:jc w:val="left"/>
        <w:rPr>
          <w:rFonts w:hint="default"/>
        </w:rPr>
      </w:pPr>
      <w:r w:rsidRPr="00775168">
        <w:t xml:space="preserve">Quality of life score. </w:t>
      </w:r>
    </w:p>
    <w:p w:rsidR="00743320" w:rsidRPr="00775168" w:rsidRDefault="00DF7F26">
      <w:pPr>
        <w:pStyle w:val="P68B1DB1-15102"/>
        <w:numPr>
          <w:ilvl w:val="2"/>
          <w:numId w:val="21"/>
        </w:numPr>
        <w:tabs>
          <w:tab w:val="left" w:pos="1381"/>
        </w:tabs>
        <w:autoSpaceDE w:val="0"/>
        <w:autoSpaceDN w:val="0"/>
        <w:spacing w:line="468" w:lineRule="exact"/>
        <w:ind w:left="1440" w:firstLineChars="0"/>
        <w:jc w:val="left"/>
        <w:rPr>
          <w:rFonts w:hint="default"/>
        </w:rPr>
      </w:pPr>
      <w:r w:rsidRPr="00775168">
        <w:t xml:space="preserve">Assessment of adverse events. </w:t>
      </w:r>
    </w:p>
    <w:p w:rsidR="00743320" w:rsidRPr="00775168" w:rsidRDefault="00DF7F26">
      <w:pPr>
        <w:pStyle w:val="P68B1DB1-15102"/>
        <w:numPr>
          <w:ilvl w:val="2"/>
          <w:numId w:val="21"/>
        </w:numPr>
        <w:tabs>
          <w:tab w:val="left" w:pos="1381"/>
        </w:tabs>
        <w:autoSpaceDE w:val="0"/>
        <w:autoSpaceDN w:val="0"/>
        <w:spacing w:line="468" w:lineRule="exact"/>
        <w:ind w:left="1440" w:firstLineChars="0"/>
        <w:jc w:val="left"/>
        <w:rPr>
          <w:rFonts w:hint="default"/>
        </w:rPr>
      </w:pPr>
      <w:r w:rsidRPr="00775168">
        <w:t xml:space="preserve">Retrieve trial drug. </w:t>
      </w:r>
    </w:p>
    <w:p w:rsidR="00743320" w:rsidRPr="00775168" w:rsidRDefault="00DF7F26">
      <w:pPr>
        <w:pStyle w:val="P68B1DB1-15102"/>
        <w:numPr>
          <w:ilvl w:val="2"/>
          <w:numId w:val="21"/>
        </w:numPr>
        <w:tabs>
          <w:tab w:val="left" w:pos="1381"/>
        </w:tabs>
        <w:autoSpaceDE w:val="0"/>
        <w:autoSpaceDN w:val="0"/>
        <w:spacing w:line="468" w:lineRule="exact"/>
        <w:ind w:left="1440" w:firstLineChars="0"/>
        <w:jc w:val="left"/>
        <w:rPr>
          <w:rFonts w:hint="default"/>
        </w:rPr>
      </w:pPr>
      <w:r w:rsidRPr="00775168">
        <w:t xml:space="preserve">Assess patient compliance. </w:t>
      </w:r>
    </w:p>
    <w:p w:rsidR="00743320" w:rsidRPr="00775168" w:rsidRDefault="00DF7F26">
      <w:pPr>
        <w:pStyle w:val="P68B1DB1-15103"/>
        <w:numPr>
          <w:ilvl w:val="2"/>
          <w:numId w:val="21"/>
        </w:numPr>
        <w:tabs>
          <w:tab w:val="left" w:pos="1381"/>
        </w:tabs>
        <w:autoSpaceDE w:val="0"/>
        <w:autoSpaceDN w:val="0"/>
        <w:spacing w:line="468" w:lineRule="exact"/>
        <w:ind w:left="1440" w:firstLineChars="0"/>
        <w:jc w:val="left"/>
        <w:rPr>
          <w:rFonts w:hint="default"/>
        </w:rPr>
      </w:pPr>
      <w:r w:rsidRPr="00775168">
        <w:t xml:space="preserve">Imaging examination: If no imaging is performed before 3 days after the end of treatment, an imaging examination should be performed at the end of study treatment or withdrawal from the study. For patients with non-radiographic evidence of progression (intolerable, </w:t>
      </w:r>
      <w:r w:rsidRPr="00775168">
        <w:lastRenderedPageBreak/>
        <w:t xml:space="preserve">otherwise), tumor assessments will be performed every 8 weeks until disease progression, death, or initiation of other tumor therapy. </w:t>
      </w:r>
    </w:p>
    <w:p w:rsidR="00743320" w:rsidRPr="00775168" w:rsidRDefault="00DF7F26">
      <w:pPr>
        <w:pStyle w:val="P68B1DB1-265"/>
        <w:rPr>
          <w:rFonts w:ascii="Times New Roman" w:eastAsia="宋体" w:hAnsi="Times New Roman" w:cs="Times New Roman"/>
        </w:rPr>
      </w:pPr>
      <w:bookmarkStart w:id="214" w:name="_Toc178589690"/>
      <w:bookmarkStart w:id="215" w:name="_Toc512940959"/>
      <w:bookmarkStart w:id="216" w:name="_Toc512941713"/>
      <w:r w:rsidRPr="00775168">
        <w:rPr>
          <w:rFonts w:ascii="Times New Roman" w:eastAsia="宋体" w:hAnsi="Times New Roman" w:cs="宋体"/>
        </w:rPr>
        <w:t>6.4 21-Day Post-Withdrawal Visit</w:t>
      </w:r>
      <w:bookmarkEnd w:id="214"/>
      <w:r w:rsidRPr="00775168">
        <w:rPr>
          <w:rFonts w:ascii="Times New Roman" w:eastAsia="宋体" w:hAnsi="Times New Roman" w:cs="宋体"/>
        </w:rPr>
        <w:t xml:space="preserve"> </w:t>
      </w:r>
      <w:bookmarkEnd w:id="215"/>
      <w:bookmarkEnd w:id="216"/>
    </w:p>
    <w:p w:rsidR="00743320" w:rsidRPr="00775168" w:rsidRDefault="00DF7F26">
      <w:pPr>
        <w:pStyle w:val="P68B1DB1-a7106"/>
        <w:spacing w:line="467" w:lineRule="exact"/>
        <w:ind w:firstLineChars="400" w:firstLine="960"/>
        <w:jc w:val="left"/>
        <w:rPr>
          <w:rFonts w:ascii="Times New Roman" w:hAnsi="Times New Roman" w:cs="Times New Roman"/>
        </w:rPr>
      </w:pPr>
      <w:r w:rsidRPr="00775168">
        <w:rPr>
          <w:rFonts w:ascii="Times New Roman" w:hAnsi="Times New Roman" w:hint="eastAsia"/>
        </w:rPr>
        <w:t xml:space="preserve">All subjects should continue to receive safety assessment and follow-up of adverse events 21 days after the last dose, and the concomitant treatment of patients should be recorded. The following items should be examined at the follow-up visit on Day 21 after the end of treatment.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ECOG score.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Hematology: hemoglobin, red blood cell, white blood cell, neutrophil count, lymphocyte count and platelet count.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Urine routine: urine protein, urine glucose and urine occult blood; if semi-quantitative method shows protein </w:t>
      </w:r>
      <w:r w:rsidRPr="00775168">
        <w:t>≥</w:t>
      </w:r>
      <w:r w:rsidRPr="00775168">
        <w:t xml:space="preserve"> 2 + (e.g., urine dipstick), quantitative 24-hour urine protein test will be performed. </w:t>
      </w:r>
    </w:p>
    <w:p w:rsidR="00743320" w:rsidRPr="00775168" w:rsidRDefault="00DF7F26">
      <w:pPr>
        <w:pStyle w:val="P68B1DB1-15103"/>
        <w:numPr>
          <w:ilvl w:val="2"/>
          <w:numId w:val="21"/>
        </w:numPr>
        <w:tabs>
          <w:tab w:val="left" w:pos="1381"/>
        </w:tabs>
        <w:autoSpaceDE w:val="0"/>
        <w:autoSpaceDN w:val="0"/>
        <w:spacing w:line="468" w:lineRule="exact"/>
        <w:ind w:left="1392" w:firstLineChars="0" w:hanging="425"/>
        <w:jc w:val="left"/>
        <w:rPr>
          <w:rFonts w:hint="default"/>
        </w:rPr>
      </w:pPr>
      <w:r w:rsidRPr="00775168">
        <w:t xml:space="preserve">Blood biochemistry: total bilirubin, conjugated bilirubin, ALT, AST, AKP, r-GT, total protein, albumin, urea nitrogen, creatinine, uric acid, blood glucose, triglyceride, cholesterol, potassium, sodium, chloride, calcium and phosphorus.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Assessment of adverse events. </w:t>
      </w:r>
    </w:p>
    <w:p w:rsidR="00743320" w:rsidRPr="00775168" w:rsidRDefault="00DF7F26">
      <w:pPr>
        <w:pStyle w:val="P68B1DB1-15102"/>
        <w:numPr>
          <w:ilvl w:val="2"/>
          <w:numId w:val="21"/>
        </w:numPr>
        <w:tabs>
          <w:tab w:val="left" w:pos="1381"/>
        </w:tabs>
        <w:autoSpaceDE w:val="0"/>
        <w:autoSpaceDN w:val="0"/>
        <w:spacing w:line="468" w:lineRule="exact"/>
        <w:ind w:left="1392" w:firstLineChars="0" w:hanging="425"/>
        <w:jc w:val="left"/>
        <w:rPr>
          <w:rFonts w:hint="default"/>
        </w:rPr>
      </w:pPr>
      <w:r w:rsidRPr="00775168">
        <w:t xml:space="preserve">Concomitant medication and treatment. </w:t>
      </w:r>
    </w:p>
    <w:p w:rsidR="00743320" w:rsidRPr="00775168" w:rsidRDefault="00DF7F26">
      <w:pPr>
        <w:pStyle w:val="P68B1DB1-265"/>
        <w:rPr>
          <w:rFonts w:ascii="Times New Roman" w:eastAsia="宋体" w:hAnsi="Times New Roman" w:cs="Times New Roman"/>
        </w:rPr>
      </w:pPr>
      <w:bookmarkStart w:id="217" w:name="_Toc178589691"/>
      <w:bookmarkStart w:id="218" w:name="_Toc512941714"/>
      <w:bookmarkStart w:id="219" w:name="_Toc512940960"/>
      <w:r w:rsidRPr="00775168">
        <w:rPr>
          <w:rFonts w:ascii="Times New Roman" w:eastAsia="宋体" w:hAnsi="Times New Roman" w:cs="宋体"/>
        </w:rPr>
        <w:t>6.5 Survival Follow-up</w:t>
      </w:r>
      <w:bookmarkEnd w:id="217"/>
      <w:r w:rsidRPr="00775168">
        <w:rPr>
          <w:rFonts w:ascii="Times New Roman" w:eastAsia="宋体" w:hAnsi="Times New Roman" w:cs="宋体"/>
        </w:rPr>
        <w:t xml:space="preserve"> </w:t>
      </w:r>
      <w:bookmarkEnd w:id="218"/>
      <w:bookmarkEnd w:id="219"/>
    </w:p>
    <w:p w:rsidR="00743320" w:rsidRPr="00775168" w:rsidRDefault="00DF7F26">
      <w:pPr>
        <w:pStyle w:val="P68B1DB1-a024"/>
        <w:autoSpaceDE w:val="0"/>
        <w:autoSpaceDN w:val="0"/>
        <w:adjustRightInd w:val="0"/>
        <w:spacing w:line="360" w:lineRule="auto"/>
        <w:ind w:firstLineChars="200" w:firstLine="480"/>
        <w:jc w:val="left"/>
        <w:rPr>
          <w:rFonts w:hint="default"/>
        </w:rPr>
      </w:pPr>
      <w:r w:rsidRPr="00775168">
        <w:t xml:space="preserve">Subjects complete the off drug dosing 30 day visit, ie, enter the survival follow-up period and collect survival (date of death and cause of death) and post study treatment information (including treatment received) by telephone, by subject's family, or by a local physician at least every 1 month until the death endpoint or the subject is lost to follow-up or the sponsor terminates the study. The details of each survival follow-up visit should be recorded in the follow-up form. </w:t>
      </w:r>
    </w:p>
    <w:p w:rsidR="00743320" w:rsidRPr="00775168" w:rsidRDefault="00DF7F26">
      <w:pPr>
        <w:pStyle w:val="P68B1DB1-265"/>
        <w:rPr>
          <w:rFonts w:ascii="Times New Roman" w:eastAsia="宋体" w:hAnsi="Times New Roman" w:cs="Times New Roman"/>
        </w:rPr>
      </w:pPr>
      <w:bookmarkStart w:id="220" w:name="_Toc178589692"/>
      <w:bookmarkStart w:id="221" w:name="_Toc512940961"/>
      <w:bookmarkStart w:id="222" w:name="_Toc512941715"/>
      <w:r w:rsidRPr="00775168">
        <w:rPr>
          <w:rFonts w:ascii="Times New Roman" w:eastAsia="宋体" w:hAnsi="Times New Roman" w:cs="宋体"/>
        </w:rPr>
        <w:t>6.6 Unscheduled Visits</w:t>
      </w:r>
      <w:bookmarkEnd w:id="220"/>
      <w:r w:rsidRPr="00775168">
        <w:rPr>
          <w:rFonts w:ascii="Times New Roman" w:eastAsia="宋体" w:hAnsi="Times New Roman" w:cs="宋体"/>
        </w:rPr>
        <w:t xml:space="preserve"> </w:t>
      </w:r>
      <w:bookmarkEnd w:id="221"/>
      <w:bookmarkEnd w:id="222"/>
    </w:p>
    <w:p w:rsidR="00743320" w:rsidRPr="00775168" w:rsidRDefault="00DF7F26">
      <w:pPr>
        <w:pStyle w:val="P68B1DB1-a024"/>
        <w:autoSpaceDE w:val="0"/>
        <w:autoSpaceDN w:val="0"/>
        <w:adjustRightInd w:val="0"/>
        <w:spacing w:line="360" w:lineRule="auto"/>
        <w:ind w:firstLineChars="200" w:firstLine="480"/>
        <w:jc w:val="left"/>
        <w:rPr>
          <w:rFonts w:hint="default"/>
        </w:rPr>
      </w:pPr>
      <w:r w:rsidRPr="00775168">
        <w:t xml:space="preserve">Unscheduled follow-up is required for AEs that may occur during the course of the trial and includes documentation of the following: </w:t>
      </w:r>
    </w:p>
    <w:p w:rsidR="00743320" w:rsidRPr="00775168" w:rsidRDefault="00DF7F26">
      <w:pPr>
        <w:pStyle w:val="P68B1DB1-15105"/>
        <w:numPr>
          <w:ilvl w:val="0"/>
          <w:numId w:val="26"/>
        </w:numPr>
        <w:tabs>
          <w:tab w:val="left" w:pos="1561"/>
        </w:tabs>
        <w:autoSpaceDE w:val="0"/>
        <w:autoSpaceDN w:val="0"/>
        <w:spacing w:line="467" w:lineRule="exact"/>
        <w:ind w:firstLineChars="0"/>
        <w:jc w:val="left"/>
        <w:rPr>
          <w:rFonts w:hint="default"/>
        </w:rPr>
      </w:pPr>
      <w:r w:rsidRPr="00775168">
        <w:t xml:space="preserve">Record concomitant medication/treatment </w:t>
      </w:r>
    </w:p>
    <w:p w:rsidR="00743320" w:rsidRPr="00775168" w:rsidRDefault="00DF7F26">
      <w:pPr>
        <w:pStyle w:val="P68B1DB1-15102"/>
        <w:numPr>
          <w:ilvl w:val="0"/>
          <w:numId w:val="26"/>
        </w:numPr>
        <w:tabs>
          <w:tab w:val="left" w:pos="1561"/>
        </w:tabs>
        <w:autoSpaceDE w:val="0"/>
        <w:autoSpaceDN w:val="0"/>
        <w:spacing w:line="467" w:lineRule="exact"/>
        <w:ind w:firstLineChars="0"/>
        <w:jc w:val="left"/>
        <w:rPr>
          <w:rFonts w:hint="default"/>
        </w:rPr>
      </w:pPr>
      <w:r w:rsidRPr="00775168">
        <w:lastRenderedPageBreak/>
        <w:t xml:space="preserve">Follow-up Adverse Events </w:t>
      </w:r>
    </w:p>
    <w:p w:rsidR="00743320" w:rsidRPr="00775168" w:rsidRDefault="00DF7F26">
      <w:pPr>
        <w:pStyle w:val="P68B1DB1-15102"/>
        <w:numPr>
          <w:ilvl w:val="0"/>
          <w:numId w:val="26"/>
        </w:numPr>
        <w:tabs>
          <w:tab w:val="left" w:pos="1561"/>
        </w:tabs>
        <w:autoSpaceDE w:val="0"/>
        <w:autoSpaceDN w:val="0"/>
        <w:spacing w:line="467" w:lineRule="exact"/>
        <w:ind w:firstLineChars="0"/>
        <w:jc w:val="left"/>
        <w:rPr>
          <w:rFonts w:hint="default"/>
        </w:rPr>
      </w:pPr>
      <w:r w:rsidRPr="00775168">
        <w:t xml:space="preserve">Record relevant examinations (including imaging examination, if any) </w:t>
      </w: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743320">
      <w:pPr>
        <w:pStyle w:val="14"/>
        <w:tabs>
          <w:tab w:val="left" w:pos="1561"/>
        </w:tabs>
        <w:autoSpaceDE w:val="0"/>
        <w:autoSpaceDN w:val="0"/>
        <w:spacing w:line="467" w:lineRule="exact"/>
        <w:ind w:left="1260" w:firstLineChars="0" w:firstLine="0"/>
        <w:jc w:val="left"/>
        <w:rPr>
          <w:sz w:val="24"/>
        </w:rPr>
      </w:pPr>
    </w:p>
    <w:p w:rsidR="00743320" w:rsidRPr="00775168" w:rsidRDefault="00DF7F26">
      <w:pPr>
        <w:pStyle w:val="P68B1DB1-a033"/>
      </w:pPr>
      <w:bookmarkStart w:id="223" w:name="_Toc512941716"/>
      <w:bookmarkStart w:id="224" w:name="_Toc512940962"/>
      <w:r w:rsidRPr="00775168">
        <w:br w:type="page"/>
      </w:r>
    </w:p>
    <w:p w:rsidR="00743320" w:rsidRPr="00775168" w:rsidRDefault="00DF7F26">
      <w:pPr>
        <w:pStyle w:val="P68B1DB1-116"/>
        <w:ind w:firstLine="0"/>
        <w:rPr>
          <w:rFonts w:ascii="Times New Roman" w:hAnsi="Times New Roman" w:cs="Times New Roman" w:hint="default"/>
        </w:rPr>
      </w:pPr>
      <w:bookmarkStart w:id="225" w:name="_Toc178589693"/>
      <w:r w:rsidRPr="00775168">
        <w:rPr>
          <w:rFonts w:ascii="Times New Roman" w:hAnsi="Times New Roman"/>
        </w:rPr>
        <w:lastRenderedPageBreak/>
        <w:t xml:space="preserve">7. </w:t>
      </w:r>
      <w:r w:rsidR="00775168">
        <w:rPr>
          <w:rFonts w:ascii="Times New Roman" w:hAnsi="Times New Roman" w:hint="default"/>
        </w:rPr>
        <w:t>E</w:t>
      </w:r>
      <w:r w:rsidRPr="00775168">
        <w:rPr>
          <w:rFonts w:ascii="Times New Roman" w:hAnsi="Times New Roman"/>
        </w:rPr>
        <w:t>fficacy evaluation indicators</w:t>
      </w:r>
      <w:bookmarkEnd w:id="225"/>
      <w:r w:rsidRPr="00775168">
        <w:rPr>
          <w:rFonts w:ascii="Times New Roman" w:hAnsi="Times New Roman"/>
        </w:rPr>
        <w:t xml:space="preserve"> </w:t>
      </w:r>
      <w:bookmarkEnd w:id="223"/>
      <w:bookmarkEnd w:id="224"/>
    </w:p>
    <w:p w:rsidR="00743320" w:rsidRPr="00775168" w:rsidRDefault="00DF7F26">
      <w:pPr>
        <w:pStyle w:val="P68B1DB1-265"/>
        <w:rPr>
          <w:rFonts w:ascii="Times New Roman" w:eastAsia="宋体" w:hAnsi="Times New Roman" w:cs="Times New Roman"/>
        </w:rPr>
      </w:pPr>
      <w:bookmarkStart w:id="226" w:name="_Toc178589694"/>
      <w:bookmarkStart w:id="227" w:name="_Toc512940963"/>
      <w:bookmarkStart w:id="228" w:name="_Toc430282317"/>
      <w:bookmarkStart w:id="229" w:name="_Toc512941717"/>
      <w:r w:rsidRPr="00775168">
        <w:rPr>
          <w:rFonts w:ascii="Times New Roman" w:eastAsia="宋体" w:hAnsi="Times New Roman" w:cs="宋体"/>
        </w:rPr>
        <w:t>7.1 Main indicators and observation method</w:t>
      </w:r>
      <w:bookmarkEnd w:id="226"/>
      <w:r w:rsidRPr="00775168">
        <w:rPr>
          <w:rFonts w:ascii="Times New Roman" w:eastAsia="宋体" w:hAnsi="Times New Roman" w:cs="宋体"/>
        </w:rPr>
        <w:t xml:space="preserve"> </w:t>
      </w:r>
      <w:bookmarkEnd w:id="227"/>
      <w:bookmarkEnd w:id="228"/>
      <w:bookmarkEnd w:id="229"/>
    </w:p>
    <w:p w:rsidR="00743320" w:rsidRPr="00775168" w:rsidRDefault="00DF7F26">
      <w:pPr>
        <w:pStyle w:val="P68B1DB1-a024"/>
        <w:numPr>
          <w:ilvl w:val="0"/>
          <w:numId w:val="27"/>
        </w:numPr>
        <w:autoSpaceDE w:val="0"/>
        <w:autoSpaceDN w:val="0"/>
        <w:adjustRightInd w:val="0"/>
        <w:spacing w:line="360" w:lineRule="auto"/>
        <w:jc w:val="left"/>
        <w:rPr>
          <w:rFonts w:hint="default"/>
          <w:kern w:val="0"/>
        </w:rPr>
      </w:pPr>
      <w:r w:rsidRPr="00775168">
        <w:t xml:space="preserve">Progression-free survival (PFS): </w:t>
      </w:r>
    </w:p>
    <w:p w:rsidR="00743320" w:rsidRPr="00775168" w:rsidRDefault="00E42AF8">
      <w:pPr>
        <w:pStyle w:val="P68B1DB1-aff241"/>
        <w:ind w:firstLine="480"/>
        <w:rPr>
          <w:rFonts w:ascii="Times New Roman" w:hAnsi="Times New Roman" w:cs="Times New Roman" w:hint="default"/>
        </w:rPr>
      </w:pPr>
      <w:r w:rsidRPr="00E42AF8">
        <w:rPr>
          <w:rFonts w:ascii="Times New Roman" w:hAnsi="Times New Roman"/>
        </w:rPr>
        <w:t xml:space="preserve">Defined as the time from initiation of </w:t>
      </w:r>
      <w:r>
        <w:rPr>
          <w:rFonts w:ascii="Times New Roman" w:hAnsi="Times New Roman" w:hint="default"/>
        </w:rPr>
        <w:t>administration</w:t>
      </w:r>
      <w:r w:rsidRPr="00E42AF8">
        <w:rPr>
          <w:rFonts w:ascii="Times New Roman" w:hAnsi="Times New Roman"/>
        </w:rPr>
        <w:t xml:space="preserve"> until the patient's imaging-confirmed disease progression or death from any cause (whichever occurs first)</w:t>
      </w:r>
      <w:r w:rsidR="00DF7F26" w:rsidRPr="00775168">
        <w:rPr>
          <w:rFonts w:ascii="Times New Roman" w:hAnsi="Times New Roman"/>
        </w:rPr>
        <w:t xml:space="preserve">. </w:t>
      </w:r>
    </w:p>
    <w:p w:rsidR="00743320" w:rsidRPr="00775168" w:rsidRDefault="00DF7F26">
      <w:pPr>
        <w:pStyle w:val="P68B1DB1-265"/>
        <w:rPr>
          <w:rFonts w:ascii="Times New Roman" w:eastAsia="宋体" w:hAnsi="Times New Roman" w:cs="Times New Roman"/>
        </w:rPr>
      </w:pPr>
      <w:bookmarkStart w:id="230" w:name="_Toc178589695"/>
      <w:bookmarkStart w:id="231" w:name="_Toc512940964"/>
      <w:bookmarkStart w:id="232" w:name="_Toc430282318"/>
      <w:bookmarkStart w:id="233" w:name="_Toc512941718"/>
      <w:r w:rsidRPr="00775168">
        <w:rPr>
          <w:rFonts w:ascii="Times New Roman" w:eastAsia="宋体" w:hAnsi="Times New Roman" w:cs="宋体"/>
        </w:rPr>
        <w:t>7.2 Secondary indicators and observation method</w:t>
      </w:r>
      <w:bookmarkEnd w:id="230"/>
      <w:r w:rsidRPr="00775168">
        <w:rPr>
          <w:rFonts w:ascii="Times New Roman" w:eastAsia="宋体" w:hAnsi="Times New Roman" w:cs="宋体"/>
        </w:rPr>
        <w:t xml:space="preserve"> </w:t>
      </w:r>
      <w:bookmarkEnd w:id="231"/>
      <w:bookmarkEnd w:id="232"/>
      <w:bookmarkEnd w:id="233"/>
    </w:p>
    <w:p w:rsidR="00E42AF8" w:rsidRDefault="00E42AF8" w:rsidP="00E42AF8">
      <w:pPr>
        <w:pStyle w:val="P68B1DB1-a024"/>
        <w:numPr>
          <w:ilvl w:val="0"/>
          <w:numId w:val="27"/>
        </w:numPr>
        <w:adjustRightInd w:val="0"/>
        <w:snapToGrid w:val="0"/>
        <w:spacing w:line="360" w:lineRule="auto"/>
        <w:rPr>
          <w:rFonts w:hint="default"/>
        </w:rPr>
      </w:pPr>
      <w:r w:rsidRPr="00E42AF8">
        <w:t>6-month and 12-month PFS rate</w:t>
      </w:r>
      <w:r>
        <w:rPr>
          <w:rFonts w:hint="default"/>
        </w:rPr>
        <w:t>:</w:t>
      </w:r>
    </w:p>
    <w:p w:rsidR="00743320" w:rsidRPr="00775168" w:rsidRDefault="00E42AF8" w:rsidP="00E42AF8">
      <w:pPr>
        <w:pStyle w:val="31"/>
        <w:adjustRightInd w:val="0"/>
        <w:snapToGrid w:val="0"/>
      </w:pPr>
      <w:r w:rsidRPr="00E42AF8">
        <w:t xml:space="preserve">Defined as </w:t>
      </w:r>
      <w:r>
        <w:t xml:space="preserve">the </w:t>
      </w:r>
      <w:r w:rsidRPr="00E42AF8">
        <w:t>survival without progression or death from first administration to month 6 / 12 for all patients</w:t>
      </w:r>
      <w:r w:rsidR="00DF7F26" w:rsidRPr="00775168">
        <w:t xml:space="preserve"> </w:t>
      </w:r>
    </w:p>
    <w:p w:rsidR="00743320" w:rsidRPr="00775168" w:rsidRDefault="00DF7F26">
      <w:pPr>
        <w:pStyle w:val="P68B1DB1-a024"/>
        <w:numPr>
          <w:ilvl w:val="0"/>
          <w:numId w:val="27"/>
        </w:numPr>
        <w:adjustRightInd w:val="0"/>
        <w:snapToGrid w:val="0"/>
        <w:spacing w:line="360" w:lineRule="auto"/>
        <w:rPr>
          <w:rFonts w:hint="default"/>
        </w:rPr>
      </w:pPr>
      <w:r w:rsidRPr="00775168">
        <w:t xml:space="preserve">Overall survival (OS): </w:t>
      </w:r>
    </w:p>
    <w:p w:rsidR="00743320" w:rsidRPr="00775168" w:rsidRDefault="00E42AF8" w:rsidP="00E42AF8">
      <w:pPr>
        <w:pStyle w:val="P68B1DB1-a024"/>
        <w:adjustRightInd w:val="0"/>
        <w:snapToGrid w:val="0"/>
        <w:spacing w:line="360" w:lineRule="auto"/>
        <w:ind w:firstLineChars="200" w:firstLine="480"/>
        <w:rPr>
          <w:rFonts w:hint="default"/>
        </w:rPr>
      </w:pPr>
      <w:r w:rsidRPr="00E42AF8">
        <w:t>Defined as the period from first administration to the date of death from any cause</w:t>
      </w:r>
      <w:r w:rsidR="00DF7F26" w:rsidRPr="00775168">
        <w:t xml:space="preserve">. </w:t>
      </w:r>
    </w:p>
    <w:p w:rsidR="00743320" w:rsidRPr="00775168" w:rsidRDefault="00DF7F26">
      <w:pPr>
        <w:pStyle w:val="P68B1DB1-a024"/>
        <w:numPr>
          <w:ilvl w:val="0"/>
          <w:numId w:val="27"/>
        </w:numPr>
        <w:adjustRightInd w:val="0"/>
        <w:snapToGrid w:val="0"/>
        <w:spacing w:line="360" w:lineRule="auto"/>
        <w:rPr>
          <w:rFonts w:hint="default"/>
        </w:rPr>
      </w:pPr>
      <w:r w:rsidRPr="00775168">
        <w:t xml:space="preserve">Disease control rate (DCR): </w:t>
      </w:r>
    </w:p>
    <w:p w:rsidR="00743320" w:rsidRPr="00775168" w:rsidRDefault="00E42AF8">
      <w:pPr>
        <w:pStyle w:val="P68B1DB1-a024"/>
        <w:adjustRightInd w:val="0"/>
        <w:snapToGrid w:val="0"/>
        <w:spacing w:line="360" w:lineRule="auto"/>
        <w:ind w:firstLineChars="200" w:firstLine="480"/>
        <w:rPr>
          <w:rFonts w:hint="default"/>
        </w:rPr>
      </w:pPr>
      <w:r>
        <w:t xml:space="preserve">Defined as </w:t>
      </w:r>
      <w:r w:rsidRPr="00E42AF8">
        <w:t>the proportion of patients whose disease is stable and remains so for a certain period of time after treatment, and included cases of CR, PR, and SD</w:t>
      </w:r>
      <w:r w:rsidR="00DF7F26" w:rsidRPr="00775168">
        <w:t xml:space="preserve">. </w:t>
      </w:r>
    </w:p>
    <w:p w:rsidR="00743320" w:rsidRPr="00775168" w:rsidRDefault="00DF7F26">
      <w:pPr>
        <w:pStyle w:val="P68B1DB1-a024"/>
        <w:numPr>
          <w:ilvl w:val="0"/>
          <w:numId w:val="27"/>
        </w:numPr>
        <w:adjustRightInd w:val="0"/>
        <w:snapToGrid w:val="0"/>
        <w:spacing w:line="360" w:lineRule="auto"/>
        <w:rPr>
          <w:rFonts w:hint="default"/>
        </w:rPr>
      </w:pPr>
      <w:r w:rsidRPr="00775168">
        <w:t xml:space="preserve">Objective response rate (ORR): </w:t>
      </w:r>
    </w:p>
    <w:p w:rsidR="00743320" w:rsidRPr="00775168" w:rsidRDefault="009E3C7A">
      <w:pPr>
        <w:pStyle w:val="31"/>
        <w:adjustRightInd w:val="0"/>
        <w:snapToGrid w:val="0"/>
      </w:pPr>
      <w:r w:rsidRPr="009E3C7A">
        <w:t>Defined as the proportion of patients whose tumors shrank to a certain standard and remained so for a certain period of time, and included both CR and PR cases</w:t>
      </w:r>
      <w:r w:rsidR="00DF7F26" w:rsidRPr="00775168">
        <w:rPr>
          <w:rFonts w:hint="eastAsia"/>
        </w:rPr>
        <w:t xml:space="preserve">. </w:t>
      </w:r>
    </w:p>
    <w:p w:rsidR="00743320" w:rsidRPr="00775168" w:rsidRDefault="00DF7F26">
      <w:pPr>
        <w:pStyle w:val="P68B1DB1-15102"/>
        <w:numPr>
          <w:ilvl w:val="0"/>
          <w:numId w:val="28"/>
        </w:numPr>
        <w:spacing w:line="360" w:lineRule="auto"/>
        <w:ind w:left="0" w:firstLineChars="0" w:firstLine="0"/>
        <w:rPr>
          <w:rFonts w:hint="default"/>
        </w:rPr>
      </w:pPr>
      <w:r w:rsidRPr="00775168">
        <w:t xml:space="preserve">Exploratory Molecular Marker Studies </w:t>
      </w:r>
    </w:p>
    <w:p w:rsidR="00743320" w:rsidRPr="00775168" w:rsidRDefault="009E3C7A" w:rsidP="009E3C7A">
      <w:pPr>
        <w:pStyle w:val="31"/>
        <w:adjustRightInd w:val="0"/>
        <w:snapToGrid w:val="0"/>
      </w:pPr>
      <w:r>
        <w:t>T</w:t>
      </w:r>
      <w:r w:rsidRPr="009E3C7A">
        <w:t>o identify gene mutations at gradual, oligo, or potential progression and after the combination of anlotinib</w:t>
      </w:r>
      <w:r w:rsidR="00DF7F26" w:rsidRPr="00775168">
        <w:t xml:space="preserve">. </w:t>
      </w:r>
    </w:p>
    <w:p w:rsidR="00743320" w:rsidRPr="00775168" w:rsidRDefault="00743320">
      <w:pPr>
        <w:pStyle w:val="af7"/>
        <w:ind w:firstLine="480"/>
        <w:rPr>
          <w:rFonts w:ascii="Times New Roman" w:hAnsi="Times New Roman" w:cs="Times New Roman"/>
        </w:rPr>
      </w:pPr>
      <w:bookmarkStart w:id="234" w:name="_Toc430282319"/>
      <w:bookmarkStart w:id="235" w:name="_Toc292713382"/>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DF7F26">
      <w:pPr>
        <w:pStyle w:val="P68B1DB1-a033"/>
      </w:pPr>
      <w:bookmarkStart w:id="236" w:name="_Toc512940965"/>
      <w:bookmarkStart w:id="237" w:name="_Toc512941719"/>
      <w:r w:rsidRPr="00775168">
        <w:br w:type="page"/>
      </w:r>
    </w:p>
    <w:p w:rsidR="00743320" w:rsidRPr="00775168" w:rsidRDefault="00DF7F26">
      <w:pPr>
        <w:pStyle w:val="P68B1DB1-116"/>
        <w:ind w:firstLine="0"/>
        <w:rPr>
          <w:rFonts w:ascii="Times New Roman" w:hAnsi="Times New Roman" w:cs="Times New Roman" w:hint="default"/>
        </w:rPr>
      </w:pPr>
      <w:bookmarkStart w:id="238" w:name="_Toc178589696"/>
      <w:r w:rsidRPr="00775168">
        <w:rPr>
          <w:rFonts w:ascii="Times New Roman" w:hAnsi="Times New Roman"/>
        </w:rPr>
        <w:lastRenderedPageBreak/>
        <w:t xml:space="preserve">8. </w:t>
      </w:r>
      <w:r w:rsidR="009E3C7A">
        <w:rPr>
          <w:rFonts w:ascii="Times New Roman" w:hAnsi="Times New Roman" w:hint="default"/>
        </w:rPr>
        <w:t>S</w:t>
      </w:r>
      <w:r w:rsidRPr="00775168">
        <w:rPr>
          <w:rFonts w:ascii="Times New Roman" w:hAnsi="Times New Roman"/>
        </w:rPr>
        <w:t xml:space="preserve">afety </w:t>
      </w:r>
      <w:r w:rsidR="009E3C7A">
        <w:rPr>
          <w:rFonts w:ascii="Times New Roman" w:hAnsi="Times New Roman" w:hint="default"/>
        </w:rPr>
        <w:t>E</w:t>
      </w:r>
      <w:r w:rsidRPr="00775168">
        <w:rPr>
          <w:rFonts w:ascii="Times New Roman" w:hAnsi="Times New Roman"/>
        </w:rPr>
        <w:t>valuation</w:t>
      </w:r>
      <w:bookmarkEnd w:id="238"/>
      <w:r w:rsidRPr="00775168">
        <w:rPr>
          <w:rFonts w:ascii="Times New Roman" w:hAnsi="Times New Roman"/>
        </w:rPr>
        <w:t xml:space="preserve"> </w:t>
      </w:r>
      <w:bookmarkEnd w:id="234"/>
      <w:bookmarkEnd w:id="235"/>
      <w:bookmarkEnd w:id="236"/>
      <w:bookmarkEnd w:id="237"/>
    </w:p>
    <w:p w:rsidR="00743320" w:rsidRPr="00775168" w:rsidRDefault="00DF7F26">
      <w:pPr>
        <w:pStyle w:val="P68B1DB1-265"/>
        <w:rPr>
          <w:rFonts w:ascii="Times New Roman" w:eastAsia="宋体" w:hAnsi="Times New Roman" w:cs="Times New Roman"/>
        </w:rPr>
      </w:pPr>
      <w:bookmarkStart w:id="239" w:name="_Toc178589697"/>
      <w:bookmarkStart w:id="240" w:name="_Toc512941720"/>
      <w:bookmarkStart w:id="241" w:name="_Toc430282320"/>
      <w:bookmarkStart w:id="242" w:name="_Toc512940966"/>
      <w:bookmarkStart w:id="243" w:name="_Toc292713383"/>
      <w:r w:rsidRPr="00775168">
        <w:rPr>
          <w:rFonts w:ascii="Times New Roman" w:eastAsia="宋体" w:hAnsi="Times New Roman" w:cs="宋体"/>
        </w:rPr>
        <w:t>8.1 Definitions</w:t>
      </w:r>
      <w:bookmarkEnd w:id="239"/>
      <w:r w:rsidRPr="00775168">
        <w:rPr>
          <w:rFonts w:ascii="Times New Roman" w:eastAsia="宋体" w:hAnsi="Times New Roman" w:cs="宋体"/>
        </w:rPr>
        <w:t xml:space="preserve"> </w:t>
      </w:r>
      <w:bookmarkEnd w:id="240"/>
      <w:bookmarkEnd w:id="241"/>
      <w:bookmarkEnd w:id="242"/>
      <w:bookmarkEnd w:id="243"/>
    </w:p>
    <w:p w:rsidR="00743320" w:rsidRPr="00775168" w:rsidRDefault="00DF7F26">
      <w:pPr>
        <w:pStyle w:val="P68B1DB1-a069"/>
        <w:widowControl/>
        <w:numPr>
          <w:ilvl w:val="0"/>
          <w:numId w:val="29"/>
        </w:numPr>
        <w:adjustRightInd w:val="0"/>
        <w:snapToGrid w:val="0"/>
        <w:spacing w:before="60" w:line="360" w:lineRule="auto"/>
        <w:rPr>
          <w:rFonts w:hint="default"/>
        </w:rPr>
      </w:pPr>
      <w:bookmarkStart w:id="244" w:name="_Toc182145068"/>
      <w:r w:rsidRPr="00775168">
        <w:t xml:space="preserve">Adverse events (AEs): </w:t>
      </w:r>
      <w:bookmarkEnd w:id="244"/>
    </w:p>
    <w:p w:rsidR="00743320" w:rsidRPr="00775168" w:rsidRDefault="00DF7F26">
      <w:pPr>
        <w:pStyle w:val="P68B1DB1-a024"/>
        <w:adjustRightInd w:val="0"/>
        <w:snapToGrid w:val="0"/>
        <w:spacing w:line="360" w:lineRule="auto"/>
        <w:ind w:firstLineChars="200" w:firstLine="480"/>
        <w:rPr>
          <w:rFonts w:hint="default"/>
        </w:rPr>
      </w:pPr>
      <w:r w:rsidRPr="00775168">
        <w:t xml:space="preserve">An AE is any untoward medical occurrence in a subject or clinical subject and which does not necessarily have a causal relationship with this treatment. An AE can therefore be any unfavorable and unintended sign (e.g., an abnormal laboratory finding), symptom, or disease temporally associated with the use of a medicinal product, whether or not considered related to the medicinal product. </w:t>
      </w:r>
    </w:p>
    <w:p w:rsidR="00743320" w:rsidRPr="00775168" w:rsidRDefault="00DF7F26">
      <w:pPr>
        <w:pStyle w:val="P68B1DB1-a024"/>
        <w:adjustRightInd w:val="0"/>
        <w:snapToGrid w:val="0"/>
        <w:spacing w:line="360" w:lineRule="auto"/>
        <w:ind w:firstLineChars="200" w:firstLine="480"/>
        <w:rPr>
          <w:rFonts w:hint="default"/>
        </w:rPr>
      </w:pPr>
      <w:r w:rsidRPr="00775168">
        <w:t xml:space="preserve">Adverse events that occurred before and after treatment were considered as adverse events according to management needs. Therefore, safety monitoring (reporting of adverse events or serious adverse events) should be performed from the start of the subject until the end of the study. Adverse events that occurred between signing of informed consent and initiation of study treatment were also considered as AEs. </w:t>
      </w:r>
    </w:p>
    <w:p w:rsidR="00743320" w:rsidRPr="00775168" w:rsidRDefault="00DF7F26">
      <w:pPr>
        <w:pStyle w:val="P68B1DB1-a033"/>
        <w:widowControl/>
        <w:numPr>
          <w:ilvl w:val="0"/>
          <w:numId w:val="29"/>
        </w:numPr>
        <w:adjustRightInd w:val="0"/>
        <w:snapToGrid w:val="0"/>
        <w:spacing w:before="60" w:line="360" w:lineRule="auto"/>
      </w:pPr>
      <w:bookmarkStart w:id="245" w:name="_Toc182145069"/>
      <w:r w:rsidRPr="00775168">
        <w:rPr>
          <w:rFonts w:hint="eastAsia"/>
          <w:b/>
        </w:rPr>
        <w:t xml:space="preserve">Adverse Drug Reaction (ADR) </w:t>
      </w:r>
      <w:bookmarkEnd w:id="245"/>
      <w:r w:rsidRPr="00775168">
        <w:rPr>
          <w:rFonts w:hint="eastAsia"/>
        </w:rPr>
        <w:t xml:space="preserve">: </w:t>
      </w:r>
    </w:p>
    <w:p w:rsidR="00743320" w:rsidRPr="00775168" w:rsidRDefault="00DF7F26">
      <w:pPr>
        <w:pStyle w:val="P68B1DB1-a024"/>
        <w:adjustRightInd w:val="0"/>
        <w:snapToGrid w:val="0"/>
        <w:spacing w:line="360" w:lineRule="auto"/>
        <w:ind w:firstLineChars="200" w:firstLine="480"/>
        <w:rPr>
          <w:rFonts w:hint="default"/>
        </w:rPr>
      </w:pPr>
      <w:r w:rsidRPr="00775168">
        <w:t xml:space="preserve">All toxic and unintended responses to a drug related to any dose should be considered adverse drug reactions (ADRs). A response to a drug means that there is at least a reasonable possibility of a causal relationship between the drug and the AE, i.e., the relationship cannot be ruled out. </w:t>
      </w:r>
    </w:p>
    <w:p w:rsidR="00743320" w:rsidRPr="00775168" w:rsidRDefault="00DF7F26">
      <w:pPr>
        <w:pStyle w:val="P68B1DB1-a033"/>
        <w:widowControl/>
        <w:numPr>
          <w:ilvl w:val="0"/>
          <w:numId w:val="29"/>
        </w:numPr>
        <w:adjustRightInd w:val="0"/>
        <w:snapToGrid w:val="0"/>
        <w:spacing w:before="60" w:line="360" w:lineRule="auto"/>
      </w:pPr>
      <w:bookmarkStart w:id="246" w:name="_Toc182145070"/>
      <w:r w:rsidRPr="00775168">
        <w:rPr>
          <w:rFonts w:hint="eastAsia"/>
          <w:b/>
        </w:rPr>
        <w:t xml:space="preserve">Serious Adverse Events (SAEs) </w:t>
      </w:r>
      <w:bookmarkEnd w:id="246"/>
      <w:r w:rsidRPr="00775168">
        <w:rPr>
          <w:rFonts w:cs="宋体" w:hint="eastAsia"/>
        </w:rPr>
        <w:t xml:space="preserve">: </w:t>
      </w:r>
    </w:p>
    <w:p w:rsidR="00743320" w:rsidRPr="00775168" w:rsidRDefault="00DF7F26">
      <w:pPr>
        <w:pStyle w:val="P68B1DB1-a024"/>
        <w:spacing w:line="360" w:lineRule="auto"/>
        <w:ind w:firstLine="480"/>
        <w:rPr>
          <w:rFonts w:hint="default"/>
        </w:rPr>
      </w:pPr>
      <w:r w:rsidRPr="00775168">
        <w:t xml:space="preserve">An SAE is any untoward medical occurrence that at any dose: results in death, is life-threatening. Note: "Serious" and "life-threatening" are defined as adverse events that put the subject at risk of death when they occur; rather than adverse events that hypothetically might cause death if they were more severe. In case of any SAE during the trial, the investigator should immediately take appropriate protective measures for the subjects and report to the principal investigator within 24 hours. The investigator should fill in the Serious Adverse Event Report Form, and sign and date the report.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SAEs include: </w:t>
      </w:r>
    </w:p>
    <w:p w:rsidR="00743320" w:rsidRPr="00775168" w:rsidRDefault="00DF7F26">
      <w:pPr>
        <w:pStyle w:val="P68B1DB1-a033"/>
        <w:widowControl/>
        <w:adjustRightInd w:val="0"/>
        <w:snapToGrid w:val="0"/>
        <w:spacing w:before="60" w:line="360" w:lineRule="auto"/>
        <w:ind w:firstLineChars="200" w:firstLine="480"/>
      </w:pPr>
      <w:r w:rsidRPr="00775168">
        <w:t xml:space="preserve">A </w:t>
      </w:r>
      <w:bookmarkStart w:id="247" w:name="_Toc182145071"/>
      <w:r w:rsidRPr="00775168">
        <w:rPr>
          <w:rFonts w:hint="eastAsia"/>
        </w:rPr>
        <w:t xml:space="preserve">. Death or life threatening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B. Hospitalization or prolonged hospitalization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C. Permanent disability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D. Carcinogenesis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E. Teratogenicity </w:t>
      </w:r>
    </w:p>
    <w:p w:rsidR="00743320" w:rsidRPr="00775168" w:rsidRDefault="00DF7F26">
      <w:pPr>
        <w:pStyle w:val="P68B1DB1-a033"/>
        <w:widowControl/>
        <w:numPr>
          <w:ilvl w:val="0"/>
          <w:numId w:val="29"/>
        </w:numPr>
        <w:adjustRightInd w:val="0"/>
        <w:snapToGrid w:val="0"/>
        <w:spacing w:before="60" w:line="360" w:lineRule="auto"/>
      </w:pPr>
      <w:r w:rsidRPr="00775168">
        <w:rPr>
          <w:rFonts w:hint="eastAsia"/>
        </w:rPr>
        <w:t xml:space="preserve">Other events that should be handled as SAEs </w:t>
      </w:r>
      <w:bookmarkEnd w:id="247"/>
      <w:r w:rsidRPr="00775168">
        <w:rPr>
          <w:rFonts w:cs="宋体" w:hint="eastAsia"/>
        </w:rPr>
        <w:t xml:space="preserve">: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Drug exposure during pregnancy/lactation. In principle, pregnancy and lactation are inclusion and exclusion criteria. If pregnancy occurs during the study, the patient should be immediately withdrawn from the study, the investigator should be informed immediately, and the patient should be followed up </w:t>
      </w:r>
      <w:r w:rsidRPr="00775168">
        <w:lastRenderedPageBreak/>
        <w:t xml:space="preserve">throughout pregnancy and postpartum. Even if the mother and child are completely normal without any adverse events, the consequences should be recorded. Even if a pregnancy is not an SAE, it should be reported using the SAE Report Form. </w:t>
      </w:r>
    </w:p>
    <w:p w:rsidR="00743320" w:rsidRPr="00775168" w:rsidRDefault="00DF7F26">
      <w:pPr>
        <w:pStyle w:val="P68B1DB1-a033"/>
        <w:widowControl/>
        <w:numPr>
          <w:ilvl w:val="0"/>
          <w:numId w:val="29"/>
        </w:numPr>
        <w:adjustRightInd w:val="0"/>
        <w:snapToGrid w:val="0"/>
        <w:spacing w:before="60" w:line="360" w:lineRule="auto"/>
      </w:pPr>
      <w:bookmarkStart w:id="248" w:name="_Toc182145072"/>
      <w:r w:rsidRPr="00775168">
        <w:rPr>
          <w:rFonts w:hint="eastAsia"/>
        </w:rPr>
        <w:t xml:space="preserve">Events that should not be handled as SAEs </w:t>
      </w:r>
      <w:bookmarkEnd w:id="248"/>
      <w:r w:rsidRPr="00775168">
        <w:rPr>
          <w:rFonts w:cs="宋体" w:hint="eastAsia"/>
        </w:rPr>
        <w:t xml:space="preserve">: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Disease progression is not generally judged as an SAE (however, symptoms and signs of disease progression may be reported as an SAE if they meet the criteria for an SAE).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Death itself is a consequence and not considered as an SAE (the primary cause of death, i.e., the primary AE leading to death should be recorded and reported as an SAE, and"death"should be reported as the consequence of the corresponding AE; if there is no definite cause for death to report, the death itself can be reported as an SAE). </w:t>
      </w:r>
    </w:p>
    <w:p w:rsidR="00743320" w:rsidRPr="00775168" w:rsidRDefault="00DF7F26">
      <w:pPr>
        <w:pStyle w:val="P68B1DB1-a04"/>
        <w:spacing w:line="360" w:lineRule="auto"/>
        <w:ind w:firstLineChars="200" w:firstLine="480"/>
        <w:rPr>
          <w:rFonts w:ascii="Times New Roman" w:hAnsi="Times New Roman" w:hint="default"/>
        </w:rPr>
      </w:pPr>
      <w:r w:rsidRPr="00775168">
        <w:rPr>
          <w:rFonts w:ascii="Times New Roman" w:hAnsi="Times New Roman"/>
        </w:rPr>
        <w:t xml:space="preserve">Any death within 1 month after starting treatment should be reported as an SAE. Any death within 1 month after starting treatment should not be reported as an SAE if it is due to disease progression.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Due to the severity of the condition in this study, some cases identified as SAEs may need to be excluded from immediate reporting: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A. Optional Hospitalization and Surgical Treatment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B. Optional hospitalization to simplify treatment or study measures </w:t>
      </w:r>
    </w:p>
    <w:p w:rsidR="00743320" w:rsidRPr="00775168" w:rsidRDefault="00DF7F26">
      <w:pPr>
        <w:pStyle w:val="P68B1DB1-265"/>
        <w:rPr>
          <w:rFonts w:ascii="Times New Roman" w:eastAsia="宋体" w:hAnsi="Times New Roman" w:cs="Times New Roman"/>
        </w:rPr>
      </w:pPr>
      <w:bookmarkStart w:id="249" w:name="_Toc178589698"/>
      <w:bookmarkStart w:id="250" w:name="_Toc292713384"/>
      <w:bookmarkStart w:id="251" w:name="_Toc182145073"/>
      <w:bookmarkStart w:id="252" w:name="_Toc512941721"/>
      <w:bookmarkStart w:id="253" w:name="_Toc430282321"/>
      <w:bookmarkStart w:id="254" w:name="_Toc512940967"/>
      <w:r w:rsidRPr="00775168">
        <w:rPr>
          <w:rFonts w:ascii="Times New Roman" w:eastAsia="宋体" w:hAnsi="Times New Roman" w:cs="宋体"/>
        </w:rPr>
        <w:t>8.2 Methods of Recording and Assessing Adverse Events</w:t>
      </w:r>
      <w:bookmarkEnd w:id="249"/>
      <w:r w:rsidRPr="00775168">
        <w:rPr>
          <w:rFonts w:ascii="Times New Roman" w:eastAsia="宋体" w:hAnsi="Times New Roman" w:cs="宋体"/>
        </w:rPr>
        <w:t xml:space="preserve"> </w:t>
      </w:r>
      <w:bookmarkEnd w:id="250"/>
      <w:bookmarkEnd w:id="251"/>
      <w:bookmarkEnd w:id="252"/>
      <w:bookmarkEnd w:id="253"/>
      <w:bookmarkEnd w:id="254"/>
    </w:p>
    <w:p w:rsidR="00743320" w:rsidRPr="00775168" w:rsidRDefault="00DF7F26">
      <w:pPr>
        <w:pStyle w:val="P68B1DB1-a024"/>
        <w:widowControl/>
        <w:adjustRightInd w:val="0"/>
        <w:snapToGrid w:val="0"/>
        <w:spacing w:before="60" w:line="360" w:lineRule="auto"/>
        <w:ind w:firstLineChars="149" w:firstLine="358"/>
        <w:rPr>
          <w:rFonts w:hint="default"/>
        </w:rPr>
      </w:pPr>
      <w:r w:rsidRPr="00775168">
        <w:t xml:space="preserve">AEs are described in medical terms, and all AEs should be recorded in the appropriate section of the case report form (CRF), in addition to completing the SAE Report Form (including initial or follow-up reports). All the cases participating in the trial shall be included in the summary. Reasons shall be stated for the withdrawn cases or excluded cases during the trial. In case of any death or severe toxicity in the trial, a detailed case report shall be made. For death cases, the cause of death should be identified and the relationship with the investigational drug should be investigated emphatically. Unresolved AEs are followed up, and all AEs should be followed up until they are properly resolved or the condition is stable. </w:t>
      </w:r>
    </w:p>
    <w:p w:rsidR="00743320" w:rsidRPr="00775168" w:rsidRDefault="00DF7F26">
      <w:pPr>
        <w:pStyle w:val="P68B1DB1-a024"/>
        <w:widowControl/>
        <w:adjustRightInd w:val="0"/>
        <w:snapToGrid w:val="0"/>
        <w:spacing w:before="60" w:line="360" w:lineRule="auto"/>
        <w:ind w:firstLineChars="200" w:firstLine="480"/>
        <w:rPr>
          <w:rFonts w:hint="default"/>
        </w:rPr>
      </w:pPr>
      <w:r w:rsidRPr="00775168">
        <w:t xml:space="preserve">The following aspects of each event should be recorded in the CRF </w:t>
      </w:r>
    </w:p>
    <w:p w:rsidR="00743320" w:rsidRPr="00775168" w:rsidRDefault="00DF7F26">
      <w:pPr>
        <w:pStyle w:val="P68B1DB1-a09"/>
        <w:widowControl/>
        <w:numPr>
          <w:ilvl w:val="0"/>
          <w:numId w:val="29"/>
        </w:numPr>
        <w:adjustRightInd w:val="0"/>
        <w:snapToGrid w:val="0"/>
        <w:spacing w:before="60" w:line="360" w:lineRule="auto"/>
        <w:rPr>
          <w:rFonts w:hint="default"/>
        </w:rPr>
      </w:pPr>
      <w:r w:rsidRPr="00775168">
        <w:t xml:space="preserve">Onset time (start time), recovery time (end time) </w:t>
      </w:r>
    </w:p>
    <w:p w:rsidR="00743320" w:rsidRPr="00775168" w:rsidRDefault="00DF7F26">
      <w:pPr>
        <w:pStyle w:val="P68B1DB1-a024"/>
        <w:widowControl/>
        <w:numPr>
          <w:ilvl w:val="0"/>
          <w:numId w:val="30"/>
        </w:numPr>
        <w:adjustRightInd w:val="0"/>
        <w:snapToGrid w:val="0"/>
        <w:spacing w:before="60" w:line="360" w:lineRule="auto"/>
        <w:jc w:val="left"/>
        <w:rPr>
          <w:rFonts w:hint="default"/>
        </w:rPr>
      </w:pPr>
      <w:r w:rsidRPr="00775168">
        <w:t xml:space="preserve">AEs were graded by the investigator according to the NCI-CTCAE version 4.03 criteria for drug AEs, and the following criteria were used for AEs not listed in the NCI-CTCAE version 4.0 table: </w:t>
      </w:r>
    </w:p>
    <w:p w:rsidR="00743320" w:rsidRPr="00775168" w:rsidRDefault="00DF7F26">
      <w:pPr>
        <w:pStyle w:val="P68B1DB1-a024"/>
        <w:widowControl/>
        <w:adjustRightInd w:val="0"/>
        <w:snapToGrid w:val="0"/>
        <w:spacing w:before="60" w:line="360" w:lineRule="auto"/>
        <w:ind w:left="420"/>
        <w:jc w:val="left"/>
        <w:rPr>
          <w:rFonts w:hint="default"/>
        </w:rPr>
      </w:pPr>
      <w:r w:rsidRPr="00775168">
        <w:t xml:space="preserve">Grade I (mild): uncomfortable feeling, but not affecting the normal daily activities; </w:t>
      </w:r>
    </w:p>
    <w:p w:rsidR="00743320" w:rsidRPr="00775168" w:rsidRDefault="00DF7F26">
      <w:pPr>
        <w:pStyle w:val="P68B1DB1-a024"/>
        <w:widowControl/>
        <w:adjustRightInd w:val="0"/>
        <w:snapToGrid w:val="0"/>
        <w:spacing w:before="60" w:line="360" w:lineRule="auto"/>
        <w:ind w:left="420"/>
        <w:jc w:val="left"/>
        <w:rPr>
          <w:rFonts w:hint="default"/>
        </w:rPr>
      </w:pPr>
      <w:r w:rsidRPr="00775168">
        <w:t xml:space="preserve">Grade II (moderate): The discomfort is enough to reduce or affect the normal daily activities; </w:t>
      </w:r>
    </w:p>
    <w:p w:rsidR="00743320" w:rsidRPr="00775168" w:rsidRDefault="00DF7F26">
      <w:pPr>
        <w:pStyle w:val="P68B1DB1-a024"/>
        <w:widowControl/>
        <w:adjustRightInd w:val="0"/>
        <w:snapToGrid w:val="0"/>
        <w:spacing w:before="60" w:line="360" w:lineRule="auto"/>
        <w:ind w:left="420"/>
        <w:jc w:val="left"/>
        <w:rPr>
          <w:rFonts w:hint="default"/>
        </w:rPr>
      </w:pPr>
      <w:r w:rsidRPr="00775168">
        <w:t xml:space="preserve">Grade III (severe): incapable of working or normal daily activities; </w:t>
      </w:r>
    </w:p>
    <w:p w:rsidR="00743320" w:rsidRPr="00775168" w:rsidRDefault="00DF7F26">
      <w:pPr>
        <w:pStyle w:val="P68B1DB1-a024"/>
        <w:widowControl/>
        <w:adjustRightInd w:val="0"/>
        <w:snapToGrid w:val="0"/>
        <w:spacing w:before="60" w:line="360" w:lineRule="auto"/>
        <w:ind w:left="420"/>
        <w:jc w:val="left"/>
        <w:rPr>
          <w:rFonts w:hint="default"/>
        </w:rPr>
      </w:pPr>
      <w:r w:rsidRPr="00775168">
        <w:lastRenderedPageBreak/>
        <w:t xml:space="preserve">Grade IV: Life-threatening or disabling; </w:t>
      </w:r>
    </w:p>
    <w:p w:rsidR="00743320" w:rsidRPr="00775168" w:rsidRDefault="00DF7F26">
      <w:pPr>
        <w:pStyle w:val="P68B1DB1-a024"/>
        <w:widowControl/>
        <w:adjustRightInd w:val="0"/>
        <w:snapToGrid w:val="0"/>
        <w:spacing w:before="60" w:line="360" w:lineRule="auto"/>
        <w:ind w:left="420"/>
        <w:jc w:val="left"/>
        <w:rPr>
          <w:rFonts w:hint="default"/>
        </w:rPr>
      </w:pPr>
      <w:r w:rsidRPr="00775168">
        <w:t xml:space="preserve">Grade V: Death. </w:t>
      </w:r>
    </w:p>
    <w:p w:rsidR="00743320" w:rsidRPr="00775168" w:rsidRDefault="00DF7F26">
      <w:pPr>
        <w:pStyle w:val="P68B1DB1-a024"/>
        <w:widowControl/>
        <w:numPr>
          <w:ilvl w:val="0"/>
          <w:numId w:val="30"/>
        </w:numPr>
        <w:adjustRightInd w:val="0"/>
        <w:snapToGrid w:val="0"/>
        <w:spacing w:before="60" w:line="360" w:lineRule="auto"/>
        <w:jc w:val="left"/>
        <w:rPr>
          <w:rFonts w:hint="default"/>
          <w:b/>
        </w:rPr>
      </w:pPr>
      <w:r w:rsidRPr="00775168">
        <w:t xml:space="preserve">The possible association between AE and investigational drug is evaluated according to the five-level classification of "definitely related, probably related, possibly related, possibly unrelated and unrelated". The first three grades are judged as related to the test drug. In the calculation of the incidence rate of adverse reactions, the total number of three groups is used as the numerator, and the number of all subjects used for safety evaluation is used as the denominator. </w:t>
      </w:r>
    </w:p>
    <w:p w:rsidR="00743320" w:rsidRPr="00775168" w:rsidRDefault="00DF7F26">
      <w:pPr>
        <w:pStyle w:val="P68B1DB1-a032"/>
        <w:widowControl/>
        <w:adjustRightInd w:val="0"/>
        <w:snapToGrid w:val="0"/>
        <w:spacing w:before="60" w:line="360" w:lineRule="auto"/>
        <w:jc w:val="center"/>
        <w:rPr>
          <w:rFonts w:hint="default"/>
        </w:rPr>
      </w:pPr>
      <w:r w:rsidRPr="00775168">
        <w:t xml:space="preserve">Criteria for determining the relationship between adverse event and drug </w:t>
      </w:r>
    </w:p>
    <w:tbl>
      <w:tblPr>
        <w:tblW w:w="8740" w:type="dxa"/>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Layout w:type="fixed"/>
        <w:tblLook w:val="04A0" w:firstRow="1" w:lastRow="0" w:firstColumn="1" w:lastColumn="0" w:noHBand="0" w:noVBand="1"/>
      </w:tblPr>
      <w:tblGrid>
        <w:gridCol w:w="2448"/>
        <w:gridCol w:w="1236"/>
        <w:gridCol w:w="1464"/>
        <w:gridCol w:w="1298"/>
        <w:gridCol w:w="1260"/>
        <w:gridCol w:w="1034"/>
      </w:tblGrid>
      <w:tr w:rsidR="00743320" w:rsidRPr="00775168">
        <w:trPr>
          <w:jc w:val="center"/>
        </w:trPr>
        <w:tc>
          <w:tcPr>
            <w:tcW w:w="2448" w:type="dxa"/>
            <w:tcBorders>
              <w:top w:val="single" w:sz="12" w:space="0" w:color="auto"/>
            </w:tcBorders>
          </w:tcPr>
          <w:p w:rsidR="00743320" w:rsidRPr="00775168" w:rsidRDefault="00DF7F26">
            <w:pPr>
              <w:pStyle w:val="P68B1DB1-a0107"/>
              <w:jc w:val="center"/>
              <w:rPr>
                <w:rFonts w:hint="default"/>
              </w:rPr>
            </w:pPr>
            <w:r w:rsidRPr="00775168">
              <w:t xml:space="preserve">Standard </w:t>
            </w:r>
          </w:p>
        </w:tc>
        <w:tc>
          <w:tcPr>
            <w:tcW w:w="1236" w:type="dxa"/>
            <w:tcBorders>
              <w:top w:val="single" w:sz="12" w:space="0" w:color="auto"/>
            </w:tcBorders>
          </w:tcPr>
          <w:p w:rsidR="00743320" w:rsidRPr="00775168" w:rsidRDefault="00DF7F26">
            <w:pPr>
              <w:pStyle w:val="P68B1DB1-a0107"/>
              <w:jc w:val="center"/>
              <w:rPr>
                <w:rFonts w:hint="default"/>
              </w:rPr>
            </w:pPr>
            <w:r w:rsidRPr="00775168">
              <w:t xml:space="preserve">Definitely related </w:t>
            </w:r>
          </w:p>
        </w:tc>
        <w:tc>
          <w:tcPr>
            <w:tcW w:w="1464" w:type="dxa"/>
            <w:tcBorders>
              <w:top w:val="single" w:sz="12" w:space="0" w:color="auto"/>
            </w:tcBorders>
          </w:tcPr>
          <w:p w:rsidR="00743320" w:rsidRPr="00775168" w:rsidRDefault="00DF7F26">
            <w:pPr>
              <w:pStyle w:val="P68B1DB1-a0107"/>
              <w:jc w:val="center"/>
              <w:rPr>
                <w:rFonts w:hint="default"/>
              </w:rPr>
            </w:pPr>
            <w:r w:rsidRPr="00775168">
              <w:t xml:space="preserve">Probably related </w:t>
            </w:r>
          </w:p>
        </w:tc>
        <w:tc>
          <w:tcPr>
            <w:tcW w:w="1298" w:type="dxa"/>
            <w:tcBorders>
              <w:top w:val="single" w:sz="12" w:space="0" w:color="auto"/>
            </w:tcBorders>
          </w:tcPr>
          <w:p w:rsidR="00743320" w:rsidRPr="00775168" w:rsidRDefault="00DF7F26">
            <w:pPr>
              <w:pStyle w:val="P68B1DB1-a0107"/>
              <w:jc w:val="center"/>
              <w:rPr>
                <w:rFonts w:hint="default"/>
              </w:rPr>
            </w:pPr>
            <w:r w:rsidRPr="00775168">
              <w:t xml:space="preserve">Possibly related </w:t>
            </w:r>
          </w:p>
        </w:tc>
        <w:tc>
          <w:tcPr>
            <w:tcW w:w="1260" w:type="dxa"/>
            <w:tcBorders>
              <w:top w:val="single" w:sz="12" w:space="0" w:color="auto"/>
            </w:tcBorders>
          </w:tcPr>
          <w:p w:rsidR="00743320" w:rsidRPr="00775168" w:rsidRDefault="00DF7F26">
            <w:pPr>
              <w:pStyle w:val="P68B1DB1-a0107"/>
              <w:jc w:val="center"/>
              <w:rPr>
                <w:rFonts w:hint="default"/>
              </w:rPr>
            </w:pPr>
            <w:r w:rsidRPr="00775168">
              <w:t xml:space="preserve">Unlikely related </w:t>
            </w:r>
          </w:p>
        </w:tc>
        <w:tc>
          <w:tcPr>
            <w:tcW w:w="1034" w:type="dxa"/>
            <w:tcBorders>
              <w:top w:val="single" w:sz="12" w:space="0" w:color="auto"/>
            </w:tcBorders>
          </w:tcPr>
          <w:p w:rsidR="00743320" w:rsidRPr="00775168" w:rsidRDefault="00DF7F26">
            <w:pPr>
              <w:pStyle w:val="P68B1DB1-a0107"/>
              <w:jc w:val="center"/>
              <w:rPr>
                <w:rFonts w:hint="default"/>
              </w:rPr>
            </w:pPr>
            <w:r w:rsidRPr="00775168">
              <w:t xml:space="preserve">Unrelated </w:t>
            </w:r>
          </w:p>
        </w:tc>
      </w:tr>
      <w:tr w:rsidR="00743320" w:rsidRPr="00775168">
        <w:trPr>
          <w:jc w:val="center"/>
        </w:trPr>
        <w:tc>
          <w:tcPr>
            <w:tcW w:w="2448" w:type="dxa"/>
          </w:tcPr>
          <w:p w:rsidR="00743320" w:rsidRPr="00775168" w:rsidRDefault="00DF7F26">
            <w:pPr>
              <w:pStyle w:val="P68B1DB1-a09"/>
              <w:jc w:val="center"/>
              <w:rPr>
                <w:rFonts w:hint="default"/>
              </w:rPr>
            </w:pPr>
            <w:r w:rsidRPr="00775168">
              <w:t xml:space="preserve">Plausible temporal sequence </w:t>
            </w:r>
          </w:p>
        </w:tc>
        <w:tc>
          <w:tcPr>
            <w:tcW w:w="1236" w:type="dxa"/>
          </w:tcPr>
          <w:p w:rsidR="00743320" w:rsidRPr="00775168" w:rsidRDefault="00DF7F26">
            <w:pPr>
              <w:pStyle w:val="P68B1DB1-a09"/>
              <w:jc w:val="center"/>
              <w:rPr>
                <w:rFonts w:hint="default"/>
              </w:rPr>
            </w:pPr>
            <w:r w:rsidRPr="00775168">
              <w:t xml:space="preserve">Yes </w:t>
            </w:r>
          </w:p>
        </w:tc>
        <w:tc>
          <w:tcPr>
            <w:tcW w:w="1464" w:type="dxa"/>
          </w:tcPr>
          <w:p w:rsidR="00743320" w:rsidRPr="00775168" w:rsidRDefault="00DF7F26">
            <w:pPr>
              <w:pStyle w:val="P68B1DB1-a09"/>
              <w:jc w:val="center"/>
              <w:rPr>
                <w:rFonts w:hint="default"/>
              </w:rPr>
            </w:pPr>
            <w:r w:rsidRPr="00775168">
              <w:t xml:space="preserve">Yes </w:t>
            </w:r>
          </w:p>
        </w:tc>
        <w:tc>
          <w:tcPr>
            <w:tcW w:w="1298" w:type="dxa"/>
          </w:tcPr>
          <w:p w:rsidR="00743320" w:rsidRPr="00775168" w:rsidRDefault="00DF7F26">
            <w:pPr>
              <w:pStyle w:val="P68B1DB1-a09"/>
              <w:jc w:val="center"/>
              <w:rPr>
                <w:rFonts w:hint="default"/>
              </w:rPr>
            </w:pPr>
            <w:r w:rsidRPr="00775168">
              <w:t xml:space="preserve">Yes </w:t>
            </w:r>
          </w:p>
        </w:tc>
        <w:tc>
          <w:tcPr>
            <w:tcW w:w="1260" w:type="dxa"/>
          </w:tcPr>
          <w:p w:rsidR="00743320" w:rsidRPr="00775168" w:rsidRDefault="00DF7F26">
            <w:pPr>
              <w:pStyle w:val="P68B1DB1-a09"/>
              <w:jc w:val="center"/>
              <w:rPr>
                <w:rFonts w:hint="default"/>
              </w:rPr>
            </w:pPr>
            <w:r w:rsidRPr="00775168">
              <w:t xml:space="preserve">Yes </w:t>
            </w:r>
          </w:p>
        </w:tc>
        <w:tc>
          <w:tcPr>
            <w:tcW w:w="1034" w:type="dxa"/>
          </w:tcPr>
          <w:p w:rsidR="00743320" w:rsidRPr="00775168" w:rsidRDefault="00DF7F26">
            <w:pPr>
              <w:pStyle w:val="P68B1DB1-a09"/>
              <w:jc w:val="center"/>
              <w:rPr>
                <w:rFonts w:hint="default"/>
              </w:rPr>
            </w:pPr>
            <w:r w:rsidRPr="00775168">
              <w:t xml:space="preserve">No </w:t>
            </w:r>
          </w:p>
        </w:tc>
      </w:tr>
      <w:tr w:rsidR="00743320" w:rsidRPr="00775168">
        <w:trPr>
          <w:jc w:val="center"/>
        </w:trPr>
        <w:tc>
          <w:tcPr>
            <w:tcW w:w="2448" w:type="dxa"/>
          </w:tcPr>
          <w:p w:rsidR="00743320" w:rsidRPr="00775168" w:rsidRDefault="00DF7F26">
            <w:pPr>
              <w:pStyle w:val="P68B1DB1-a09"/>
              <w:jc w:val="center"/>
              <w:rPr>
                <w:rFonts w:hint="default"/>
              </w:rPr>
            </w:pPr>
            <w:r w:rsidRPr="00775168">
              <w:t xml:space="preserve">Types of known drug reactions </w:t>
            </w:r>
          </w:p>
        </w:tc>
        <w:tc>
          <w:tcPr>
            <w:tcW w:w="1236" w:type="dxa"/>
          </w:tcPr>
          <w:p w:rsidR="00743320" w:rsidRPr="00775168" w:rsidRDefault="00DF7F26">
            <w:pPr>
              <w:pStyle w:val="P68B1DB1-a09"/>
              <w:jc w:val="center"/>
              <w:rPr>
                <w:rFonts w:hint="default"/>
              </w:rPr>
            </w:pPr>
            <w:r w:rsidRPr="00775168">
              <w:t xml:space="preserve">Yes </w:t>
            </w:r>
          </w:p>
        </w:tc>
        <w:tc>
          <w:tcPr>
            <w:tcW w:w="1464" w:type="dxa"/>
          </w:tcPr>
          <w:p w:rsidR="00743320" w:rsidRPr="00775168" w:rsidRDefault="00DF7F26">
            <w:pPr>
              <w:pStyle w:val="P68B1DB1-a09"/>
              <w:jc w:val="center"/>
              <w:rPr>
                <w:rFonts w:hint="default"/>
              </w:rPr>
            </w:pPr>
            <w:r w:rsidRPr="00775168">
              <w:t xml:space="preserve">Yes </w:t>
            </w:r>
          </w:p>
        </w:tc>
        <w:tc>
          <w:tcPr>
            <w:tcW w:w="1298" w:type="dxa"/>
          </w:tcPr>
          <w:p w:rsidR="00743320" w:rsidRPr="00775168" w:rsidRDefault="00DF7F26">
            <w:pPr>
              <w:pStyle w:val="P68B1DB1-a09"/>
              <w:jc w:val="center"/>
              <w:rPr>
                <w:rFonts w:hint="default"/>
              </w:rPr>
            </w:pPr>
            <w:r w:rsidRPr="00775168">
              <w:t xml:space="preserve">Yes </w:t>
            </w:r>
          </w:p>
        </w:tc>
        <w:tc>
          <w:tcPr>
            <w:tcW w:w="1260" w:type="dxa"/>
          </w:tcPr>
          <w:p w:rsidR="00743320" w:rsidRPr="00775168" w:rsidRDefault="00DF7F26">
            <w:pPr>
              <w:pStyle w:val="P68B1DB1-a09"/>
              <w:jc w:val="center"/>
              <w:rPr>
                <w:rFonts w:hint="default"/>
              </w:rPr>
            </w:pPr>
            <w:r w:rsidRPr="00775168">
              <w:t xml:space="preserve">No </w:t>
            </w:r>
          </w:p>
        </w:tc>
        <w:tc>
          <w:tcPr>
            <w:tcW w:w="1034" w:type="dxa"/>
          </w:tcPr>
          <w:p w:rsidR="00743320" w:rsidRPr="00775168" w:rsidRDefault="00DF7F26">
            <w:pPr>
              <w:pStyle w:val="P68B1DB1-a09"/>
              <w:jc w:val="center"/>
              <w:rPr>
                <w:rFonts w:hint="default"/>
              </w:rPr>
            </w:pPr>
            <w:r w:rsidRPr="00775168">
              <w:t xml:space="preserve">No </w:t>
            </w:r>
          </w:p>
        </w:tc>
      </w:tr>
      <w:tr w:rsidR="00743320" w:rsidRPr="00775168">
        <w:trPr>
          <w:jc w:val="center"/>
        </w:trPr>
        <w:tc>
          <w:tcPr>
            <w:tcW w:w="2448" w:type="dxa"/>
          </w:tcPr>
          <w:p w:rsidR="00743320" w:rsidRPr="00775168" w:rsidRDefault="00DF7F26">
            <w:pPr>
              <w:pStyle w:val="P68B1DB1-a09"/>
              <w:jc w:val="center"/>
              <w:rPr>
                <w:rFonts w:hint="default"/>
              </w:rPr>
            </w:pPr>
            <w:r w:rsidRPr="00775168">
              <w:t xml:space="preserve">Removing the cause can improve </w:t>
            </w:r>
          </w:p>
        </w:tc>
        <w:tc>
          <w:tcPr>
            <w:tcW w:w="1236" w:type="dxa"/>
          </w:tcPr>
          <w:p w:rsidR="00743320" w:rsidRPr="00775168" w:rsidRDefault="00DF7F26">
            <w:pPr>
              <w:pStyle w:val="P68B1DB1-a09"/>
              <w:jc w:val="center"/>
              <w:rPr>
                <w:rFonts w:hint="default"/>
              </w:rPr>
            </w:pPr>
            <w:r w:rsidRPr="00775168">
              <w:t xml:space="preserve">Yes </w:t>
            </w:r>
          </w:p>
        </w:tc>
        <w:tc>
          <w:tcPr>
            <w:tcW w:w="1464" w:type="dxa"/>
          </w:tcPr>
          <w:p w:rsidR="00743320" w:rsidRPr="00775168" w:rsidRDefault="00DF7F26">
            <w:pPr>
              <w:pStyle w:val="P68B1DB1-a09"/>
              <w:jc w:val="center"/>
              <w:rPr>
                <w:rFonts w:hint="default"/>
              </w:rPr>
            </w:pPr>
            <w:r w:rsidRPr="00775168">
              <w:t xml:space="preserve">Yes </w:t>
            </w:r>
          </w:p>
        </w:tc>
        <w:tc>
          <w:tcPr>
            <w:tcW w:w="1298" w:type="dxa"/>
          </w:tcPr>
          <w:p w:rsidR="00743320" w:rsidRPr="00775168" w:rsidRDefault="00DF7F26">
            <w:pPr>
              <w:pStyle w:val="P68B1DB1-a09"/>
              <w:jc w:val="center"/>
              <w:rPr>
                <w:rFonts w:hint="default"/>
              </w:rPr>
            </w:pPr>
            <w:r w:rsidRPr="00775168">
              <w:t xml:space="preserve">Yes or No </w:t>
            </w:r>
          </w:p>
        </w:tc>
        <w:tc>
          <w:tcPr>
            <w:tcW w:w="1260" w:type="dxa"/>
          </w:tcPr>
          <w:p w:rsidR="00743320" w:rsidRPr="00775168" w:rsidRDefault="00DF7F26">
            <w:pPr>
              <w:pStyle w:val="P68B1DB1-a09"/>
              <w:jc w:val="center"/>
              <w:rPr>
                <w:rFonts w:hint="default"/>
              </w:rPr>
            </w:pPr>
            <w:r w:rsidRPr="00775168">
              <w:t xml:space="preserve">Yes or No </w:t>
            </w:r>
          </w:p>
        </w:tc>
        <w:tc>
          <w:tcPr>
            <w:tcW w:w="1034" w:type="dxa"/>
          </w:tcPr>
          <w:p w:rsidR="00743320" w:rsidRPr="00775168" w:rsidRDefault="00DF7F26">
            <w:pPr>
              <w:pStyle w:val="P68B1DB1-a09"/>
              <w:jc w:val="center"/>
              <w:rPr>
                <w:rFonts w:hint="default"/>
              </w:rPr>
            </w:pPr>
            <w:r w:rsidRPr="00775168">
              <w:t xml:space="preserve">No </w:t>
            </w:r>
          </w:p>
        </w:tc>
      </w:tr>
      <w:tr w:rsidR="00743320" w:rsidRPr="00775168">
        <w:trPr>
          <w:jc w:val="center"/>
        </w:trPr>
        <w:tc>
          <w:tcPr>
            <w:tcW w:w="2448" w:type="dxa"/>
          </w:tcPr>
          <w:p w:rsidR="00743320" w:rsidRPr="00775168" w:rsidRDefault="00DF7F26">
            <w:pPr>
              <w:pStyle w:val="P68B1DB1-a09"/>
              <w:jc w:val="center"/>
              <w:rPr>
                <w:rFonts w:hint="default"/>
              </w:rPr>
            </w:pPr>
            <w:r w:rsidRPr="00775168">
              <w:t xml:space="preserve">Repeated with re-administration </w:t>
            </w:r>
          </w:p>
        </w:tc>
        <w:tc>
          <w:tcPr>
            <w:tcW w:w="1236" w:type="dxa"/>
          </w:tcPr>
          <w:p w:rsidR="00743320" w:rsidRPr="00775168" w:rsidRDefault="00DF7F26">
            <w:pPr>
              <w:pStyle w:val="P68B1DB1-a09"/>
              <w:jc w:val="center"/>
              <w:rPr>
                <w:rFonts w:hint="default"/>
              </w:rPr>
            </w:pPr>
            <w:r w:rsidRPr="00775168">
              <w:t xml:space="preserve">Yes </w:t>
            </w:r>
          </w:p>
        </w:tc>
        <w:tc>
          <w:tcPr>
            <w:tcW w:w="1464" w:type="dxa"/>
          </w:tcPr>
          <w:p w:rsidR="00743320" w:rsidRPr="00775168" w:rsidRDefault="00DF7F26">
            <w:pPr>
              <w:pStyle w:val="P68B1DB1-a09"/>
              <w:jc w:val="center"/>
              <w:rPr>
                <w:rFonts w:hint="default"/>
              </w:rPr>
            </w:pPr>
            <w:r w:rsidRPr="00775168">
              <w:t xml:space="preserve">? </w:t>
            </w:r>
          </w:p>
        </w:tc>
        <w:tc>
          <w:tcPr>
            <w:tcW w:w="1298" w:type="dxa"/>
          </w:tcPr>
          <w:p w:rsidR="00743320" w:rsidRPr="00775168" w:rsidRDefault="00DF7F26">
            <w:pPr>
              <w:pStyle w:val="P68B1DB1-a09"/>
              <w:jc w:val="center"/>
              <w:rPr>
                <w:rFonts w:hint="default"/>
              </w:rPr>
            </w:pPr>
            <w:r w:rsidRPr="00775168">
              <w:t xml:space="preserve">? </w:t>
            </w:r>
          </w:p>
        </w:tc>
        <w:tc>
          <w:tcPr>
            <w:tcW w:w="1260" w:type="dxa"/>
          </w:tcPr>
          <w:p w:rsidR="00743320" w:rsidRPr="00775168" w:rsidRDefault="00DF7F26">
            <w:pPr>
              <w:pStyle w:val="P68B1DB1-a09"/>
              <w:jc w:val="center"/>
              <w:rPr>
                <w:rFonts w:hint="default"/>
              </w:rPr>
            </w:pPr>
            <w:r w:rsidRPr="00775168">
              <w:t xml:space="preserve">? </w:t>
            </w:r>
          </w:p>
        </w:tc>
        <w:tc>
          <w:tcPr>
            <w:tcW w:w="1034" w:type="dxa"/>
          </w:tcPr>
          <w:p w:rsidR="00743320" w:rsidRPr="00775168" w:rsidRDefault="00DF7F26">
            <w:pPr>
              <w:pStyle w:val="P68B1DB1-a09"/>
              <w:jc w:val="center"/>
              <w:rPr>
                <w:rFonts w:hint="default"/>
              </w:rPr>
            </w:pPr>
            <w:r w:rsidRPr="00775168">
              <w:t xml:space="preserve">No </w:t>
            </w:r>
          </w:p>
        </w:tc>
      </w:tr>
      <w:tr w:rsidR="00743320" w:rsidRPr="00775168">
        <w:trPr>
          <w:jc w:val="center"/>
        </w:trPr>
        <w:tc>
          <w:tcPr>
            <w:tcW w:w="2448" w:type="dxa"/>
            <w:tcBorders>
              <w:bottom w:val="single" w:sz="12" w:space="0" w:color="auto"/>
            </w:tcBorders>
          </w:tcPr>
          <w:p w:rsidR="00743320" w:rsidRPr="00775168" w:rsidRDefault="00DF7F26">
            <w:pPr>
              <w:pStyle w:val="P68B1DB1-a09"/>
              <w:jc w:val="center"/>
              <w:rPr>
                <w:rFonts w:hint="default"/>
              </w:rPr>
            </w:pPr>
            <w:r w:rsidRPr="00775168">
              <w:t xml:space="preserve">Reaction may have additional explanation </w:t>
            </w:r>
          </w:p>
        </w:tc>
        <w:tc>
          <w:tcPr>
            <w:tcW w:w="1236" w:type="dxa"/>
            <w:tcBorders>
              <w:bottom w:val="single" w:sz="12" w:space="0" w:color="auto"/>
            </w:tcBorders>
          </w:tcPr>
          <w:p w:rsidR="00743320" w:rsidRPr="00775168" w:rsidRDefault="00DF7F26">
            <w:pPr>
              <w:pStyle w:val="P68B1DB1-a09"/>
              <w:jc w:val="center"/>
              <w:rPr>
                <w:rFonts w:hint="default"/>
              </w:rPr>
            </w:pPr>
            <w:r w:rsidRPr="00775168">
              <w:t xml:space="preserve">No </w:t>
            </w:r>
          </w:p>
        </w:tc>
        <w:tc>
          <w:tcPr>
            <w:tcW w:w="1464" w:type="dxa"/>
            <w:tcBorders>
              <w:bottom w:val="single" w:sz="12" w:space="0" w:color="auto"/>
            </w:tcBorders>
          </w:tcPr>
          <w:p w:rsidR="00743320" w:rsidRPr="00775168" w:rsidRDefault="00DF7F26">
            <w:pPr>
              <w:pStyle w:val="P68B1DB1-a09"/>
              <w:jc w:val="center"/>
              <w:rPr>
                <w:rFonts w:hint="default"/>
              </w:rPr>
            </w:pPr>
            <w:r w:rsidRPr="00775168">
              <w:t xml:space="preserve">No </w:t>
            </w:r>
          </w:p>
        </w:tc>
        <w:tc>
          <w:tcPr>
            <w:tcW w:w="1298" w:type="dxa"/>
            <w:tcBorders>
              <w:bottom w:val="single" w:sz="12" w:space="0" w:color="auto"/>
            </w:tcBorders>
          </w:tcPr>
          <w:p w:rsidR="00743320" w:rsidRPr="00775168" w:rsidRDefault="00DF7F26">
            <w:pPr>
              <w:pStyle w:val="P68B1DB1-a09"/>
              <w:jc w:val="center"/>
              <w:rPr>
                <w:rFonts w:hint="default"/>
              </w:rPr>
            </w:pPr>
            <w:r w:rsidRPr="00775168">
              <w:t xml:space="preserve">No </w:t>
            </w:r>
          </w:p>
        </w:tc>
        <w:tc>
          <w:tcPr>
            <w:tcW w:w="1260" w:type="dxa"/>
            <w:tcBorders>
              <w:bottom w:val="single" w:sz="12" w:space="0" w:color="auto"/>
            </w:tcBorders>
          </w:tcPr>
          <w:p w:rsidR="00743320" w:rsidRPr="00775168" w:rsidRDefault="00DF7F26">
            <w:pPr>
              <w:pStyle w:val="P68B1DB1-a09"/>
              <w:jc w:val="center"/>
              <w:rPr>
                <w:rFonts w:hint="default"/>
              </w:rPr>
            </w:pPr>
            <w:r w:rsidRPr="00775168">
              <w:t xml:space="preserve">Yes </w:t>
            </w:r>
          </w:p>
        </w:tc>
        <w:tc>
          <w:tcPr>
            <w:tcW w:w="1034" w:type="dxa"/>
            <w:tcBorders>
              <w:bottom w:val="single" w:sz="12" w:space="0" w:color="auto"/>
            </w:tcBorders>
          </w:tcPr>
          <w:p w:rsidR="00743320" w:rsidRPr="00775168" w:rsidRDefault="00DF7F26">
            <w:pPr>
              <w:pStyle w:val="P68B1DB1-a09"/>
              <w:jc w:val="center"/>
              <w:rPr>
                <w:rFonts w:hint="default"/>
              </w:rPr>
            </w:pPr>
            <w:r w:rsidRPr="00775168">
              <w:t xml:space="preserve">Yes </w:t>
            </w:r>
          </w:p>
        </w:tc>
      </w:tr>
    </w:tbl>
    <w:p w:rsidR="00743320" w:rsidRPr="00775168" w:rsidRDefault="00743320">
      <w:pPr>
        <w:widowControl/>
        <w:adjustRightInd w:val="0"/>
        <w:snapToGrid w:val="0"/>
        <w:spacing w:line="360" w:lineRule="auto"/>
        <w:ind w:left="420"/>
        <w:rPr>
          <w:sz w:val="24"/>
        </w:rPr>
      </w:pPr>
    </w:p>
    <w:p w:rsidR="00743320" w:rsidRPr="00775168" w:rsidRDefault="00DF7F26">
      <w:pPr>
        <w:pStyle w:val="P68B1DB1-a09"/>
        <w:widowControl/>
        <w:numPr>
          <w:ilvl w:val="0"/>
          <w:numId w:val="30"/>
        </w:numPr>
        <w:adjustRightInd w:val="0"/>
        <w:snapToGrid w:val="0"/>
        <w:spacing w:line="360" w:lineRule="auto"/>
        <w:rPr>
          <w:rFonts w:hint="default"/>
        </w:rPr>
      </w:pPr>
      <w:r w:rsidRPr="00775168">
        <w:t xml:space="preserve">Action taken with study drug (none, discontinued treatment, reduced dose, delayed treatment, slowed intravenous infusion rate) and other action taken (none, concomitant medication, required or prolonged hospitalization, surgery performed, chemotherapy delayed, chemotherapy discontinued, chemotherapy dose reduced) </w:t>
      </w:r>
    </w:p>
    <w:p w:rsidR="00743320" w:rsidRPr="00775168" w:rsidRDefault="00DF7F26">
      <w:pPr>
        <w:pStyle w:val="P68B1DB1-a024"/>
        <w:widowControl/>
        <w:numPr>
          <w:ilvl w:val="0"/>
          <w:numId w:val="30"/>
        </w:numPr>
        <w:adjustRightInd w:val="0"/>
        <w:snapToGrid w:val="0"/>
        <w:spacing w:before="60" w:line="360" w:lineRule="auto"/>
        <w:ind w:left="425" w:hangingChars="177" w:hanging="425"/>
        <w:rPr>
          <w:rFonts w:hint="default"/>
        </w:rPr>
      </w:pPr>
      <w:r w:rsidRPr="00775168">
        <w:t xml:space="preserve">Consequences as defined below: resolved with sequelae, resolved without sequelae, not resolved but not treated, not resolved requiring treatment, death. Whether the toxicity grade/severity is changed seriously: Yes or No. If a patient experiences the same AE several times, each time it must be recorded and reassessed. </w:t>
      </w:r>
    </w:p>
    <w:p w:rsidR="00743320" w:rsidRPr="00775168" w:rsidRDefault="00DF7F26">
      <w:pPr>
        <w:pStyle w:val="P68B1DB1-a09"/>
        <w:widowControl/>
        <w:adjustRightInd w:val="0"/>
        <w:snapToGrid w:val="0"/>
        <w:spacing w:before="60" w:line="360" w:lineRule="auto"/>
        <w:ind w:firstLineChars="200" w:firstLine="480"/>
        <w:rPr>
          <w:rFonts w:hint="default"/>
        </w:rPr>
      </w:pPr>
      <w:r w:rsidRPr="00775168">
        <w:t xml:space="preserve">The criteria for judging whether an abnormal objective test result should be reported as an adverse event are as follows: </w:t>
      </w:r>
    </w:p>
    <w:p w:rsidR="00743320" w:rsidRPr="00775168" w:rsidRDefault="00DF7F26">
      <w:pPr>
        <w:pStyle w:val="P68B1DB1-a024"/>
        <w:widowControl/>
        <w:numPr>
          <w:ilvl w:val="0"/>
          <w:numId w:val="30"/>
        </w:numPr>
        <w:adjustRightInd w:val="0"/>
        <w:snapToGrid w:val="0"/>
        <w:spacing w:line="360" w:lineRule="auto"/>
        <w:rPr>
          <w:rFonts w:hint="default"/>
        </w:rPr>
      </w:pPr>
      <w:r w:rsidRPr="00775168">
        <w:t xml:space="preserve">The test result is associated with accompanying symptoms (and/or); </w:t>
      </w:r>
    </w:p>
    <w:p w:rsidR="00743320" w:rsidRPr="00775168" w:rsidRDefault="00DF7F26">
      <w:pPr>
        <w:pStyle w:val="P68B1DB1-a024"/>
        <w:widowControl/>
        <w:numPr>
          <w:ilvl w:val="0"/>
          <w:numId w:val="30"/>
        </w:numPr>
        <w:adjustRightInd w:val="0"/>
        <w:snapToGrid w:val="0"/>
        <w:spacing w:line="360" w:lineRule="auto"/>
        <w:rPr>
          <w:rFonts w:hint="default"/>
        </w:rPr>
      </w:pPr>
      <w:r w:rsidRPr="00775168">
        <w:t xml:space="preserve">The test result requires additional diagnostic or therapeutic measures/surgical intervention (and/or); </w:t>
      </w:r>
    </w:p>
    <w:p w:rsidR="00743320" w:rsidRPr="00775168" w:rsidRDefault="00DF7F26">
      <w:pPr>
        <w:pStyle w:val="P68B1DB1-a024"/>
        <w:widowControl/>
        <w:numPr>
          <w:ilvl w:val="0"/>
          <w:numId w:val="30"/>
        </w:numPr>
        <w:adjustRightInd w:val="0"/>
        <w:snapToGrid w:val="0"/>
        <w:spacing w:line="360" w:lineRule="auto"/>
        <w:rPr>
          <w:rFonts w:hint="default"/>
        </w:rPr>
      </w:pPr>
      <w:r w:rsidRPr="00775168">
        <w:t xml:space="preserve">The test results lead to drug dose change or trial termination, and other concomitant medications or other treatments (and/or) are required; </w:t>
      </w:r>
    </w:p>
    <w:p w:rsidR="00743320" w:rsidRPr="00775168" w:rsidRDefault="00DF7F26">
      <w:pPr>
        <w:pStyle w:val="P68B1DB1-a09"/>
        <w:widowControl/>
        <w:numPr>
          <w:ilvl w:val="0"/>
          <w:numId w:val="30"/>
        </w:numPr>
        <w:adjustRightInd w:val="0"/>
        <w:snapToGrid w:val="0"/>
        <w:spacing w:line="360" w:lineRule="auto"/>
        <w:rPr>
          <w:rFonts w:hint="default"/>
        </w:rPr>
      </w:pPr>
      <w:r w:rsidRPr="00775168">
        <w:t xml:space="preserve">The investigator considered that the test result should be reported as an adverse event. </w:t>
      </w:r>
    </w:p>
    <w:p w:rsidR="00743320" w:rsidRPr="00775168" w:rsidRDefault="00DF7F26">
      <w:pPr>
        <w:pStyle w:val="P68B1DB1-a09"/>
        <w:widowControl/>
        <w:adjustRightInd w:val="0"/>
        <w:snapToGrid w:val="0"/>
        <w:spacing w:before="60" w:line="360" w:lineRule="auto"/>
        <w:ind w:firstLineChars="149" w:firstLine="358"/>
        <w:rPr>
          <w:rFonts w:hint="default"/>
        </w:rPr>
      </w:pPr>
      <w:r w:rsidRPr="00775168">
        <w:lastRenderedPageBreak/>
        <w:t xml:space="preserve">An AE does not constitute an adverse event if the AE is repeated only for the purpose of repeating an abnormal test but does not meet any of the above conditions. Any abnormal test result that is judged to be an error is not required to be reported as an adverse event. </w:t>
      </w:r>
    </w:p>
    <w:p w:rsidR="00743320" w:rsidRPr="00775168" w:rsidRDefault="00DF7F26">
      <w:pPr>
        <w:pStyle w:val="P68B1DB1-265"/>
        <w:rPr>
          <w:rFonts w:ascii="Times New Roman" w:eastAsia="宋体" w:hAnsi="Times New Roman" w:cs="Times New Roman"/>
        </w:rPr>
      </w:pPr>
      <w:bookmarkStart w:id="255" w:name="_Toc182145074"/>
      <w:bookmarkStart w:id="256" w:name="_Toc292713385"/>
      <w:bookmarkStart w:id="257" w:name="_Toc178589699"/>
      <w:bookmarkStart w:id="258" w:name="_Toc512941722"/>
      <w:bookmarkStart w:id="259" w:name="_Toc430282322"/>
      <w:bookmarkStart w:id="260" w:name="_Toc512940968"/>
      <w:r w:rsidRPr="00775168">
        <w:rPr>
          <w:rFonts w:ascii="Times New Roman" w:eastAsia="宋体" w:hAnsi="Times New Roman" w:cs="宋体"/>
        </w:rPr>
        <w:t xml:space="preserve">8.3 </w:t>
      </w:r>
      <w:bookmarkEnd w:id="255"/>
      <w:bookmarkEnd w:id="256"/>
      <w:r w:rsidRPr="00775168">
        <w:rPr>
          <w:rFonts w:ascii="Times New Roman" w:eastAsia="宋体" w:hAnsi="Times New Roman" w:cs="宋体" w:hint="eastAsia"/>
        </w:rPr>
        <w:t xml:space="preserve">Reporting </w:t>
      </w:r>
      <w:r w:rsidR="009E3C7A">
        <w:rPr>
          <w:rFonts w:ascii="Times New Roman" w:eastAsia="宋体" w:hAnsi="Times New Roman" w:cs="宋体"/>
        </w:rPr>
        <w:t>S</w:t>
      </w:r>
      <w:r w:rsidRPr="00775168">
        <w:rPr>
          <w:rFonts w:ascii="Times New Roman" w:eastAsia="宋体" w:hAnsi="Times New Roman" w:cs="宋体" w:hint="eastAsia"/>
        </w:rPr>
        <w:t xml:space="preserve">ystem of </w:t>
      </w:r>
      <w:r w:rsidR="009E3C7A">
        <w:rPr>
          <w:rFonts w:ascii="Times New Roman" w:eastAsia="宋体" w:hAnsi="Times New Roman" w:cs="宋体"/>
        </w:rPr>
        <w:t>S</w:t>
      </w:r>
      <w:r w:rsidRPr="00775168">
        <w:rPr>
          <w:rFonts w:ascii="Times New Roman" w:eastAsia="宋体" w:hAnsi="Times New Roman" w:cs="宋体" w:hint="eastAsia"/>
        </w:rPr>
        <w:t xml:space="preserve">erious </w:t>
      </w:r>
      <w:r w:rsidR="009E3C7A">
        <w:rPr>
          <w:rFonts w:ascii="Times New Roman" w:eastAsia="宋体" w:hAnsi="Times New Roman" w:cs="宋体"/>
        </w:rPr>
        <w:t>A</w:t>
      </w:r>
      <w:r w:rsidRPr="00775168">
        <w:rPr>
          <w:rFonts w:ascii="Times New Roman" w:eastAsia="宋体" w:hAnsi="Times New Roman" w:cs="宋体" w:hint="eastAsia"/>
        </w:rPr>
        <w:t xml:space="preserve">dverse </w:t>
      </w:r>
      <w:r w:rsidR="009E3C7A">
        <w:rPr>
          <w:rFonts w:ascii="Times New Roman" w:eastAsia="宋体" w:hAnsi="Times New Roman" w:cs="宋体"/>
        </w:rPr>
        <w:t>E</w:t>
      </w:r>
      <w:r w:rsidRPr="00775168">
        <w:rPr>
          <w:rFonts w:ascii="Times New Roman" w:eastAsia="宋体" w:hAnsi="Times New Roman" w:cs="宋体" w:hint="eastAsia"/>
        </w:rPr>
        <w:t>vents</w:t>
      </w:r>
      <w:bookmarkEnd w:id="257"/>
      <w:r w:rsidRPr="00775168">
        <w:rPr>
          <w:rFonts w:ascii="Times New Roman" w:eastAsia="宋体" w:hAnsi="Times New Roman" w:cs="宋体" w:hint="eastAsia"/>
        </w:rPr>
        <w:t xml:space="preserve"> </w:t>
      </w:r>
      <w:bookmarkEnd w:id="258"/>
      <w:bookmarkEnd w:id="259"/>
      <w:bookmarkEnd w:id="260"/>
    </w:p>
    <w:p w:rsidR="00743320" w:rsidRPr="00775168" w:rsidRDefault="00DF7F26">
      <w:pPr>
        <w:pStyle w:val="P68B1DB1-a024"/>
        <w:topLinePunct/>
        <w:adjustRightInd w:val="0"/>
        <w:snapToGrid w:val="0"/>
        <w:spacing w:line="360" w:lineRule="auto"/>
        <w:ind w:firstLineChars="200" w:firstLine="480"/>
        <w:rPr>
          <w:rFonts w:hint="default"/>
        </w:rPr>
      </w:pPr>
      <w:r w:rsidRPr="00775168">
        <w:t xml:space="preserve">Serious adverse events (SAEs) should be reported from the time the subject signs the informed consent through 21 calendar days (inclusive) after the last dose of study drug. In case of serious adverse event, whether it is an initial report or a follow-up report, the Clinical Study Serious Adverse Event (SAE) Report Form must be completed immediately, signed and dated, and immediately faxed to the Drug Safety Group, Clinical Research Associate, Principal Investigator, Ethics Committee of leading site and study site of CHIA TAI TIANQING Pharmaceutical Group CO., LTD within 24 hours after the investigator is informed. </w:t>
      </w:r>
    </w:p>
    <w:p w:rsidR="00743320" w:rsidRPr="00775168" w:rsidRDefault="00DF7F26">
      <w:pPr>
        <w:pStyle w:val="P68B1DB1-a024"/>
        <w:topLinePunct/>
        <w:adjustRightInd w:val="0"/>
        <w:snapToGrid w:val="0"/>
        <w:spacing w:line="360" w:lineRule="auto"/>
        <w:ind w:firstLineChars="200" w:firstLine="480"/>
        <w:rPr>
          <w:rFonts w:hint="default"/>
        </w:rPr>
      </w:pPr>
      <w:r w:rsidRPr="00775168">
        <w:t xml:space="preserve">Serious adverse events that occur with HUMIRA 21 are not reported unless they are suspected to be related to the study drug. </w:t>
      </w:r>
    </w:p>
    <w:p w:rsidR="00743320" w:rsidRPr="00775168" w:rsidRDefault="00DF7F26">
      <w:pPr>
        <w:pStyle w:val="P68B1DB1-a09"/>
        <w:topLinePunct/>
        <w:adjustRightInd w:val="0"/>
        <w:snapToGrid w:val="0"/>
        <w:spacing w:line="360" w:lineRule="auto"/>
        <w:ind w:firstLineChars="200" w:firstLine="480"/>
        <w:rPr>
          <w:rFonts w:hint="default"/>
        </w:rPr>
      </w:pPr>
      <w:r w:rsidRPr="00775168">
        <w:t xml:space="preserve">For serious adverse events, the symptoms, severity, correlation with the study drug, occurrence time, treatment time, measures taken, follow-up time and method and outcome should be recorded in detail. If the investigator considers a SAE to be unrelated to the investigational drug and potentially related to the study conditions (e.g. discontinuation of original treatment, or comorbidities during the trial), the relationship should be detailed in the narrative section of the SAE CRF. If the intensity of an ongoing SAE or its relationship to the study drug is changed, a follow-up SAE report should be sent to the sponsor immediately. All serious adverse events should be followed up until recovery or stabilization. </w:t>
      </w:r>
    </w:p>
    <w:p w:rsidR="00743320" w:rsidRPr="00775168" w:rsidRDefault="00DF7F26">
      <w:pPr>
        <w:pStyle w:val="P68B1DB1-265"/>
        <w:rPr>
          <w:rFonts w:ascii="Times New Roman" w:eastAsia="宋体" w:hAnsi="Times New Roman" w:cs="Times New Roman"/>
        </w:rPr>
      </w:pPr>
      <w:bookmarkStart w:id="261" w:name="_Toc178589700"/>
      <w:bookmarkStart w:id="262" w:name="_Toc512940969"/>
      <w:bookmarkStart w:id="263" w:name="_Toc276474109"/>
      <w:bookmarkStart w:id="264" w:name="_Toc430282323"/>
      <w:bookmarkStart w:id="265" w:name="_Toc512941723"/>
      <w:r w:rsidRPr="00775168">
        <w:rPr>
          <w:rFonts w:ascii="Times New Roman" w:eastAsia="宋体" w:hAnsi="Times New Roman" w:cs="宋体"/>
        </w:rPr>
        <w:t>8.4 Reporting Procedures for SAEs</w:t>
      </w:r>
      <w:bookmarkEnd w:id="261"/>
      <w:r w:rsidRPr="00775168">
        <w:rPr>
          <w:rFonts w:ascii="Times New Roman" w:eastAsia="宋体" w:hAnsi="Times New Roman" w:cs="宋体"/>
        </w:rPr>
        <w:t xml:space="preserve"> </w:t>
      </w:r>
      <w:bookmarkStart w:id="266" w:name="_Toc152153774"/>
      <w:bookmarkEnd w:id="262"/>
      <w:bookmarkEnd w:id="263"/>
      <w:bookmarkEnd w:id="264"/>
      <w:bookmarkEnd w:id="265"/>
    </w:p>
    <w:p w:rsidR="00743320" w:rsidRPr="00775168" w:rsidRDefault="00DF7F26">
      <w:pPr>
        <w:pStyle w:val="31"/>
        <w:topLinePunct/>
        <w:adjustRightInd w:val="0"/>
        <w:snapToGrid w:val="0"/>
        <w:rPr>
          <w:rFonts w:eastAsia="黑体"/>
        </w:rPr>
      </w:pPr>
      <w:r w:rsidRPr="00775168">
        <w:rPr>
          <w:rFonts w:hint="eastAsia"/>
        </w:rPr>
        <w:t xml:space="preserve">Any serious adverse event occurred during the clinical study and within 21 days after discontinuation must be immediately reported to the monitor of the cooperative unit, principal investigator of the leading site of the clinical study and Ethics Committee. Contact information: </w:t>
      </w:r>
    </w:p>
    <w:tbl>
      <w:tblPr>
        <w:tblW w:w="9030" w:type="dxa"/>
        <w:jc w:val="center"/>
        <w:tblBorders>
          <w:top w:val="single" w:sz="4" w:space="0" w:color="auto"/>
          <w:bottom w:val="single" w:sz="4" w:space="0" w:color="auto"/>
        </w:tblBorders>
        <w:tblLayout w:type="fixed"/>
        <w:tblCellMar>
          <w:top w:w="57" w:type="dxa"/>
          <w:left w:w="28" w:type="dxa"/>
          <w:bottom w:w="57" w:type="dxa"/>
        </w:tblCellMar>
        <w:tblLook w:val="04A0" w:firstRow="1" w:lastRow="0" w:firstColumn="1" w:lastColumn="0" w:noHBand="0" w:noVBand="1"/>
      </w:tblPr>
      <w:tblGrid>
        <w:gridCol w:w="3263"/>
        <w:gridCol w:w="1595"/>
        <w:gridCol w:w="4172"/>
      </w:tblGrid>
      <w:tr w:rsidR="00743320" w:rsidRPr="00775168">
        <w:trPr>
          <w:trHeight w:val="388"/>
          <w:jc w:val="center"/>
        </w:trPr>
        <w:tc>
          <w:tcPr>
            <w:tcW w:w="3263" w:type="dxa"/>
            <w:tcBorders>
              <w:top w:val="single" w:sz="4" w:space="0" w:color="auto"/>
              <w:bottom w:val="single" w:sz="4" w:space="0" w:color="auto"/>
            </w:tcBorders>
          </w:tcPr>
          <w:p w:rsidR="00743320" w:rsidRPr="00775168" w:rsidRDefault="00DF7F26">
            <w:pPr>
              <w:pStyle w:val="P68B1DB1-a057"/>
              <w:keepNext/>
              <w:adjustRightInd w:val="0"/>
              <w:jc w:val="left"/>
              <w:rPr>
                <w:rFonts w:hint="default"/>
                <w:b/>
              </w:rPr>
            </w:pPr>
            <w:r w:rsidRPr="00775168">
              <w:t xml:space="preserve">Units </w:t>
            </w:r>
          </w:p>
        </w:tc>
        <w:tc>
          <w:tcPr>
            <w:tcW w:w="1595" w:type="dxa"/>
            <w:tcBorders>
              <w:top w:val="single" w:sz="4" w:space="0" w:color="auto"/>
              <w:bottom w:val="single" w:sz="4" w:space="0" w:color="auto"/>
            </w:tcBorders>
          </w:tcPr>
          <w:p w:rsidR="00743320" w:rsidRPr="00775168" w:rsidRDefault="00DF7F26">
            <w:pPr>
              <w:pStyle w:val="P68B1DB1-a057"/>
              <w:keepNext/>
              <w:adjustRightInd w:val="0"/>
              <w:jc w:val="left"/>
              <w:rPr>
                <w:rFonts w:hint="default"/>
                <w:b/>
              </w:rPr>
            </w:pPr>
            <w:r w:rsidRPr="00775168">
              <w:t xml:space="preserve">Contact Person </w:t>
            </w:r>
          </w:p>
        </w:tc>
        <w:tc>
          <w:tcPr>
            <w:tcW w:w="4172" w:type="dxa"/>
            <w:tcBorders>
              <w:top w:val="single" w:sz="4" w:space="0" w:color="auto"/>
              <w:bottom w:val="single" w:sz="4" w:space="0" w:color="auto"/>
            </w:tcBorders>
          </w:tcPr>
          <w:p w:rsidR="00743320" w:rsidRPr="00775168" w:rsidRDefault="00DF7F26">
            <w:pPr>
              <w:keepNext/>
              <w:adjustRightInd w:val="0"/>
              <w:jc w:val="left"/>
              <w:rPr>
                <w:rFonts w:eastAsia="黑体"/>
              </w:rPr>
            </w:pPr>
            <w:r w:rsidRPr="00775168">
              <w:rPr>
                <w:rFonts w:eastAsia="黑体" w:cs="黑体" w:hint="eastAsia"/>
              </w:rPr>
              <w:t xml:space="preserve">Fax/Phone/Address </w:t>
            </w:r>
          </w:p>
        </w:tc>
      </w:tr>
      <w:tr w:rsidR="00743320" w:rsidRPr="00775168">
        <w:trPr>
          <w:jc w:val="center"/>
        </w:trPr>
        <w:tc>
          <w:tcPr>
            <w:tcW w:w="3263" w:type="dxa"/>
            <w:tcBorders>
              <w:top w:val="single" w:sz="4" w:space="0" w:color="auto"/>
            </w:tcBorders>
            <w:vAlign w:val="center"/>
          </w:tcPr>
          <w:p w:rsidR="00743320" w:rsidRPr="00775168" w:rsidRDefault="00D400E8" w:rsidP="00D400E8">
            <w:pPr>
              <w:pStyle w:val="P68B1DB1-a08"/>
              <w:spacing w:line="360" w:lineRule="auto"/>
              <w:jc w:val="left"/>
              <w:rPr>
                <w:rFonts w:hint="default"/>
              </w:rPr>
            </w:pPr>
            <w:r w:rsidRPr="00775168">
              <w:t>Guangdong Provincial People</w:t>
            </w:r>
            <w:r w:rsidRPr="00775168">
              <w:rPr>
                <w:rFonts w:hint="default"/>
              </w:rPr>
              <w:t>’</w:t>
            </w:r>
            <w:r w:rsidRPr="00775168">
              <w:t>s Hospital</w:t>
            </w:r>
            <w:r w:rsidR="00DF7F26" w:rsidRPr="00775168">
              <w:t xml:space="preserve"> </w:t>
            </w:r>
          </w:p>
        </w:tc>
        <w:tc>
          <w:tcPr>
            <w:tcW w:w="1595" w:type="dxa"/>
            <w:tcBorders>
              <w:top w:val="single" w:sz="4" w:space="0" w:color="auto"/>
            </w:tcBorders>
            <w:vAlign w:val="center"/>
          </w:tcPr>
          <w:p w:rsidR="00743320" w:rsidRPr="00775168" w:rsidRDefault="00DF7F26">
            <w:pPr>
              <w:pStyle w:val="P68B1DB1-a08"/>
              <w:spacing w:line="360" w:lineRule="auto"/>
              <w:jc w:val="left"/>
              <w:rPr>
                <w:rFonts w:hint="default"/>
              </w:rPr>
            </w:pPr>
            <w:r w:rsidRPr="00775168">
              <w:t xml:space="preserve">Ethics Committee </w:t>
            </w:r>
          </w:p>
        </w:tc>
        <w:tc>
          <w:tcPr>
            <w:tcW w:w="4172" w:type="dxa"/>
            <w:tcBorders>
              <w:top w:val="single" w:sz="4" w:space="0" w:color="auto"/>
            </w:tcBorders>
            <w:vAlign w:val="center"/>
          </w:tcPr>
          <w:p w:rsidR="00743320" w:rsidRPr="00775168" w:rsidRDefault="00DF7F26">
            <w:pPr>
              <w:pStyle w:val="1a"/>
              <w:rPr>
                <w:rFonts w:ascii="Times New Roman" w:hAnsi="Times New Roman"/>
              </w:rPr>
            </w:pPr>
            <w:r w:rsidRPr="00775168">
              <w:rPr>
                <w:rFonts w:ascii="Times New Roman" w:hAnsi="Times New Roman" w:hint="eastAsia"/>
              </w:rPr>
              <w:t xml:space="preserve">Tel ./Fax: 020-83827812-20870 </w:t>
            </w:r>
          </w:p>
          <w:p w:rsidR="00743320" w:rsidRPr="00775168" w:rsidRDefault="00743320">
            <w:pPr>
              <w:spacing w:line="360" w:lineRule="auto"/>
              <w:ind w:left="1155" w:hangingChars="550" w:hanging="1155"/>
              <w:jc w:val="left"/>
            </w:pPr>
          </w:p>
        </w:tc>
      </w:tr>
      <w:tr w:rsidR="00743320" w:rsidRPr="00775168">
        <w:trPr>
          <w:jc w:val="center"/>
        </w:trPr>
        <w:tc>
          <w:tcPr>
            <w:tcW w:w="3263" w:type="dxa"/>
            <w:tcBorders>
              <w:bottom w:val="single" w:sz="4" w:space="0" w:color="auto"/>
            </w:tcBorders>
            <w:vAlign w:val="center"/>
          </w:tcPr>
          <w:p w:rsidR="00743320" w:rsidRPr="00775168" w:rsidRDefault="00DF7F26">
            <w:pPr>
              <w:pStyle w:val="P68B1DB1-a08"/>
              <w:spacing w:line="360" w:lineRule="auto"/>
              <w:jc w:val="left"/>
              <w:rPr>
                <w:rFonts w:hint="default"/>
              </w:rPr>
            </w:pPr>
            <w:r w:rsidRPr="00775168">
              <w:t xml:space="preserve">Chia Tai Tianqing Pharmaceutical Group Co., Ltd. </w:t>
            </w:r>
          </w:p>
        </w:tc>
        <w:tc>
          <w:tcPr>
            <w:tcW w:w="1595" w:type="dxa"/>
            <w:tcBorders>
              <w:bottom w:val="single" w:sz="4" w:space="0" w:color="auto"/>
            </w:tcBorders>
            <w:vAlign w:val="center"/>
          </w:tcPr>
          <w:p w:rsidR="00743320" w:rsidRPr="00775168" w:rsidRDefault="00DF7F26">
            <w:pPr>
              <w:pStyle w:val="P68B1DB1-a08"/>
              <w:spacing w:line="276" w:lineRule="auto"/>
              <w:jc w:val="left"/>
              <w:rPr>
                <w:rFonts w:hint="default"/>
              </w:rPr>
            </w:pPr>
            <w:r w:rsidRPr="00775168">
              <w:t xml:space="preserve">Drug Safety Group </w:t>
            </w:r>
          </w:p>
        </w:tc>
        <w:tc>
          <w:tcPr>
            <w:tcW w:w="4172" w:type="dxa"/>
            <w:tcBorders>
              <w:bottom w:val="single" w:sz="4" w:space="0" w:color="auto"/>
            </w:tcBorders>
            <w:vAlign w:val="center"/>
          </w:tcPr>
          <w:p w:rsidR="00743320" w:rsidRPr="00775168" w:rsidRDefault="00DF7F26">
            <w:pPr>
              <w:spacing w:line="360" w:lineRule="auto"/>
              <w:jc w:val="left"/>
            </w:pPr>
            <w:r w:rsidRPr="00775168">
              <w:rPr>
                <w:rFonts w:hint="eastAsia"/>
              </w:rPr>
              <w:t xml:space="preserve">Tel ./Fax: 025-68551889 </w:t>
            </w:r>
          </w:p>
        </w:tc>
      </w:tr>
    </w:tbl>
    <w:p w:rsidR="00743320" w:rsidRPr="00775168" w:rsidRDefault="00DF7F26">
      <w:pPr>
        <w:pStyle w:val="P68B1DB1-a033"/>
      </w:pPr>
      <w:bookmarkStart w:id="267" w:name="_Toc512941724"/>
      <w:bookmarkStart w:id="268" w:name="_Toc512940970"/>
      <w:r w:rsidRPr="00775168">
        <w:br w:type="page"/>
      </w:r>
    </w:p>
    <w:p w:rsidR="00743320" w:rsidRPr="00775168" w:rsidRDefault="00DF7F26">
      <w:pPr>
        <w:pStyle w:val="P68B1DB1-161"/>
        <w:ind w:firstLine="0"/>
        <w:rPr>
          <w:rFonts w:ascii="Times New Roman" w:hAnsi="Times New Roman" w:cs="Times New Roman"/>
        </w:rPr>
      </w:pPr>
      <w:bookmarkStart w:id="269" w:name="_Toc178589701"/>
      <w:r w:rsidRPr="00775168">
        <w:rPr>
          <w:rFonts w:ascii="Times New Roman" w:hAnsi="Times New Roman"/>
        </w:rPr>
        <w:lastRenderedPageBreak/>
        <w:t xml:space="preserve">9. </w:t>
      </w:r>
      <w:bookmarkStart w:id="270" w:name="_Toc190163397"/>
      <w:bookmarkStart w:id="271" w:name="_Toc430282324"/>
      <w:bookmarkStart w:id="272" w:name="_Toc292713387"/>
      <w:r w:rsidRPr="00775168">
        <w:rPr>
          <w:rFonts w:ascii="Times New Roman" w:hAnsi="Times New Roman" w:hint="eastAsia"/>
        </w:rPr>
        <w:t>Data Management</w:t>
      </w:r>
      <w:bookmarkEnd w:id="269"/>
      <w:r w:rsidRPr="00775168">
        <w:rPr>
          <w:rFonts w:ascii="Times New Roman" w:hAnsi="Times New Roman" w:hint="eastAsia"/>
        </w:rPr>
        <w:t xml:space="preserve"> </w:t>
      </w:r>
      <w:bookmarkEnd w:id="267"/>
      <w:bookmarkEnd w:id="268"/>
      <w:bookmarkEnd w:id="270"/>
      <w:bookmarkEnd w:id="271"/>
      <w:bookmarkEnd w:id="272"/>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The purpose of data management is to ensure that the data are reliable, complete and accurate. Its goal is to obtain high-quality real data for statistical analysis. </w:t>
      </w:r>
    </w:p>
    <w:p w:rsidR="00743320" w:rsidRPr="00775168" w:rsidRDefault="00DF7F26">
      <w:pPr>
        <w:pStyle w:val="P68B1DB1-aff268"/>
        <w:ind w:firstLine="480"/>
        <w:rPr>
          <w:rFonts w:ascii="Times New Roman" w:hAnsi="Times New Roman" w:cs="Times New Roman" w:hint="default"/>
        </w:rPr>
      </w:pPr>
      <w:r w:rsidRPr="00775168">
        <w:rPr>
          <w:rFonts w:ascii="Times New Roman" w:hAnsi="Times New Roman"/>
        </w:rPr>
        <w:t xml:space="preserve">Electronic case report forms (eCRFs) will be used for the collection and management of study data in this study. </w:t>
      </w:r>
    </w:p>
    <w:p w:rsidR="00743320" w:rsidRPr="00775168" w:rsidRDefault="00DF7F26">
      <w:pPr>
        <w:pStyle w:val="P68B1DB1-265"/>
        <w:rPr>
          <w:rFonts w:ascii="Times New Roman" w:eastAsia="宋体" w:hAnsi="Times New Roman" w:cs="Times New Roman"/>
        </w:rPr>
      </w:pPr>
      <w:bookmarkStart w:id="273" w:name="_Toc190163398"/>
      <w:bookmarkStart w:id="274" w:name="_Toc430282325"/>
      <w:bookmarkStart w:id="275" w:name="_Toc292713388"/>
      <w:bookmarkStart w:id="276" w:name="_Toc178589702"/>
      <w:bookmarkStart w:id="277" w:name="_Toc512941725"/>
      <w:bookmarkStart w:id="278" w:name="_Toc512940971"/>
      <w:r w:rsidRPr="00775168">
        <w:rPr>
          <w:rFonts w:ascii="Times New Roman" w:eastAsia="宋体" w:hAnsi="Times New Roman" w:cs="宋体"/>
        </w:rPr>
        <w:t xml:space="preserve">9.1 </w:t>
      </w:r>
      <w:bookmarkEnd w:id="273"/>
      <w:bookmarkEnd w:id="274"/>
      <w:bookmarkEnd w:id="275"/>
      <w:r w:rsidRPr="00775168">
        <w:rPr>
          <w:rFonts w:ascii="Times New Roman" w:eastAsia="宋体" w:hAnsi="Times New Roman" w:cs="宋体" w:hint="eastAsia"/>
        </w:rPr>
        <w:t>Data collection</w:t>
      </w:r>
      <w:bookmarkEnd w:id="276"/>
      <w:r w:rsidRPr="00775168">
        <w:rPr>
          <w:rFonts w:ascii="Times New Roman" w:eastAsia="宋体" w:hAnsi="Times New Roman" w:cs="宋体" w:hint="eastAsia"/>
        </w:rPr>
        <w:t xml:space="preserve"> </w:t>
      </w:r>
      <w:bookmarkEnd w:id="277"/>
      <w:bookmarkEnd w:id="278"/>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In this study, eCRF is used for the collection of study data; Chia Tai Tianqing Pharmaceutical Group Co., Ltd. will provide the study site with an electronic data capture (EDC) system. Company personnel will train designated site personnel on the EDC system. Investigational site personnel will be trained to access the EDC system. The PI or dedicated data entry personnel (CRC) will enter the data into the EDC system as required by the visit process and the eCRF Completion Guidelines. The system logic check program will check the integrity and logic of the clinical trial data entered into the EDC system, and generate error message prompts for problematic data, allowing the PI or CRC to modify or interpret the problematic data. After database lock, the investigator will receive a CD-ROM of patient data or a copy of the document for archiving at the study site. CHIA TAI TIANQING Pharmaceutical Group CO., LTD is the sole owner of completed original eCRFs and will not make them available in any form to third parties without written permission from CHIA TAI TIANQING Pharmaceutical Group CO., LTD or authorized representatives from regulatory authorities. The investigator is ultimately responsible for the collection and reporting of all clinical and laboratory data recorded on the eCRFs and other data collection forms (original records) to ensure that the records are attributable, legible, timely, original, accurate, durable, complete, and consistent.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The eCRF must be signed by the investigator or appropriate authorized designee to verify that the data recorded on the eCRF are true. Any corrections to data in the eCRFs and source records must be dated, signed, and explained as necessary, but must not obscure the previous source records.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In general, the original record is the chart of the hospital or physician. At this point, the data collected in the eCRF must be consistent with the data from these charts. In some cases, the eCRF may also serve as the original record. At this time, the study site needs to have documentation to clarify that those data will be recorded in the eCRF and that the eCRF will serve as the original record. </w:t>
      </w:r>
    </w:p>
    <w:p w:rsidR="00743320" w:rsidRPr="00775168" w:rsidRDefault="00DF7F26">
      <w:pPr>
        <w:pStyle w:val="P68B1DB1-265"/>
        <w:rPr>
          <w:rFonts w:ascii="Times New Roman" w:eastAsia="宋体" w:hAnsi="Times New Roman" w:cs="Times New Roman"/>
        </w:rPr>
      </w:pPr>
      <w:bookmarkStart w:id="279" w:name="_Toc178589703"/>
      <w:bookmarkStart w:id="280" w:name="_Toc512941726"/>
      <w:bookmarkStart w:id="281" w:name="_Toc512940972"/>
      <w:r w:rsidRPr="00775168">
        <w:rPr>
          <w:rFonts w:ascii="Times New Roman" w:eastAsia="宋体" w:hAnsi="Times New Roman" w:cs="宋体"/>
        </w:rPr>
        <w:t xml:space="preserve">9.2 Management and </w:t>
      </w:r>
      <w:r w:rsidR="009E3C7A">
        <w:rPr>
          <w:rFonts w:ascii="Times New Roman" w:eastAsia="宋体" w:hAnsi="Times New Roman" w:cs="宋体"/>
        </w:rPr>
        <w:t>Q</w:t>
      </w:r>
      <w:r w:rsidRPr="00775168">
        <w:rPr>
          <w:rFonts w:ascii="Times New Roman" w:eastAsia="宋体" w:hAnsi="Times New Roman" w:cs="宋体"/>
        </w:rPr>
        <w:t xml:space="preserve">uality </w:t>
      </w:r>
      <w:r w:rsidR="009E3C7A">
        <w:rPr>
          <w:rFonts w:ascii="Times New Roman" w:eastAsia="宋体" w:hAnsi="Times New Roman" w:cs="宋体"/>
        </w:rPr>
        <w:t>C</w:t>
      </w:r>
      <w:r w:rsidRPr="00775168">
        <w:rPr>
          <w:rFonts w:ascii="Times New Roman" w:eastAsia="宋体" w:hAnsi="Times New Roman" w:cs="宋体"/>
        </w:rPr>
        <w:t xml:space="preserve">ontrol of </w:t>
      </w:r>
      <w:r w:rsidR="009E3C7A">
        <w:rPr>
          <w:rFonts w:ascii="Times New Roman" w:eastAsia="宋体" w:hAnsi="Times New Roman" w:cs="宋体"/>
        </w:rPr>
        <w:t>D</w:t>
      </w:r>
      <w:r w:rsidRPr="00775168">
        <w:rPr>
          <w:rFonts w:ascii="Times New Roman" w:eastAsia="宋体" w:hAnsi="Times New Roman" w:cs="宋体"/>
        </w:rPr>
        <w:t>ata</w:t>
      </w:r>
      <w:bookmarkEnd w:id="279"/>
      <w:r w:rsidRPr="00775168">
        <w:rPr>
          <w:rFonts w:ascii="Times New Roman" w:eastAsia="宋体" w:hAnsi="Times New Roman" w:cs="宋体"/>
        </w:rPr>
        <w:t xml:space="preserve"> </w:t>
      </w:r>
      <w:bookmarkEnd w:id="280"/>
      <w:bookmarkEnd w:id="281"/>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In order to ensure the authenticity and reliability of clinical trial data and improve the quality of clinical data, the clinical research associate will review the trial data in the clinical database for </w:t>
      </w:r>
      <w:r w:rsidRPr="00775168">
        <w:rPr>
          <w:rFonts w:hAnsi="Times New Roman"/>
        </w:rPr>
        <w:lastRenderedPageBreak/>
        <w:t xml:space="preserve">completeness, consistency and accuracy in accordance with the standard operating procedures during the trial project, and guide the study site personnel to make necessary supplements or corrections to the problematic data. The clinical research associate (CRA) or the data management personnel will raise queries to the PI or CRC about the questionable data in the form of electronic query form. The PI or CRC must respond to the query, correct or interpret the questionable data, and issue queries several times until the questionable data is resolved when necessary. Medical responsible person and data management personnel regularly compare the consistency of SAEs.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At the end of the trial project, data management personnel and medical personnel will perform the final quality control for all data in the database, summarize all protocol deviations and protocol violations that occur during the trial, and hold a data verification meeting. After the data in the database meets the quality requirements, the database will be locked and the trial will be unblinded. The data manager will export the data for the statistical department to perform the data analysis. </w:t>
      </w:r>
    </w:p>
    <w:p w:rsidR="00743320" w:rsidRPr="00775168" w:rsidRDefault="00DF7F26">
      <w:pPr>
        <w:pStyle w:val="P68B1DB1-265"/>
        <w:rPr>
          <w:rFonts w:ascii="Times New Roman" w:eastAsia="宋体" w:hAnsi="Times New Roman" w:cs="Times New Roman"/>
        </w:rPr>
      </w:pPr>
      <w:bookmarkStart w:id="282" w:name="_Toc178589704"/>
      <w:bookmarkStart w:id="283" w:name="_Toc512941727"/>
      <w:bookmarkStart w:id="284" w:name="_Toc512940973"/>
      <w:r w:rsidRPr="00775168">
        <w:rPr>
          <w:rFonts w:ascii="Times New Roman" w:eastAsia="宋体" w:hAnsi="Times New Roman" w:cs="宋体"/>
        </w:rPr>
        <w:t>9.3 Review of Data and Monitoring of Study Institutions</w:t>
      </w:r>
      <w:bookmarkEnd w:id="282"/>
      <w:r w:rsidRPr="00775168">
        <w:rPr>
          <w:rFonts w:ascii="Times New Roman" w:eastAsia="宋体" w:hAnsi="Times New Roman" w:cs="宋体"/>
        </w:rPr>
        <w:t xml:space="preserve"> </w:t>
      </w:r>
      <w:bookmarkEnd w:id="283"/>
      <w:bookmarkEnd w:id="284"/>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Prior to trial initiation, a representative from CHIA TAI TIANQING Pharmaceutical Group CO., LTD will present the protocol and eCRF (part 2 of the study) with the investigator and staff during the initial visit to the study facility or investigator meeting. During the trial, the monitor will visit the study site regularly to check the completeness of patient records and the accuracy of eCRF completion, compliance with the trial protocol and Good Clinical Practice, the progress of enrollment, and ensure that the investigational drug is stored, dispensed, and counted as specified. Key study personnel must be available to assist the Monitor during these visits.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The investigator must retain the original documents of each patient participating in the trial, including the study medical records and visit records (inpatient or outpatient medical records), including demographic indicators and medical information, laboratory data, ECG and the results of any other examinations or evaluations. All information on the eCRFs must be derived from source documents in the patient file. The investigator must also keep the informed consent form signed by the patient.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The investigator must confirm that all relevant source documents can be monitored to confirm that they are consistent with the contents of the eCRF. The monitoring criteria for CHIA TAI TIANQING Pharmaceutical Group CO., LTD require that 100% of the monitoring has obtained informed consent, compliance with inclusion/exclusion criteria, documentation of SAEs, and data required for the evaluation of all primary and safety measures. Additional checks of source data and eCRFs for consistency were performed according to the trial-defined monitoring plan. Any information about the patient's identity in the source documents will not be disclosed. </w:t>
      </w:r>
    </w:p>
    <w:p w:rsidR="00743320" w:rsidRPr="00775168" w:rsidRDefault="00DF7F26">
      <w:pPr>
        <w:pStyle w:val="P68B1DB1-265"/>
        <w:rPr>
          <w:rFonts w:ascii="Times New Roman" w:eastAsia="宋体" w:hAnsi="Times New Roman" w:cs="Times New Roman"/>
        </w:rPr>
      </w:pPr>
      <w:bookmarkStart w:id="285" w:name="_Toc178589705"/>
      <w:bookmarkStart w:id="286" w:name="_Toc512941728"/>
      <w:bookmarkStart w:id="287" w:name="_Toc512940974"/>
      <w:r w:rsidRPr="00775168">
        <w:rPr>
          <w:rFonts w:ascii="Times New Roman" w:eastAsia="宋体" w:hAnsi="Times New Roman" w:cs="宋体"/>
        </w:rPr>
        <w:lastRenderedPageBreak/>
        <w:t xml:space="preserve">9.4 Retention of </w:t>
      </w:r>
      <w:r w:rsidR="009E3C7A">
        <w:rPr>
          <w:rFonts w:ascii="Times New Roman" w:eastAsia="宋体" w:hAnsi="Times New Roman" w:cs="宋体"/>
        </w:rPr>
        <w:t>T</w:t>
      </w:r>
      <w:r w:rsidRPr="00775168">
        <w:rPr>
          <w:rFonts w:ascii="Times New Roman" w:eastAsia="宋体" w:hAnsi="Times New Roman" w:cs="宋体"/>
        </w:rPr>
        <w:t xml:space="preserve">rial </w:t>
      </w:r>
      <w:r w:rsidR="009E3C7A">
        <w:rPr>
          <w:rFonts w:ascii="Times New Roman" w:eastAsia="宋体" w:hAnsi="Times New Roman" w:cs="宋体"/>
        </w:rPr>
        <w:t>R</w:t>
      </w:r>
      <w:r w:rsidRPr="00775168">
        <w:rPr>
          <w:rFonts w:ascii="Times New Roman" w:eastAsia="宋体" w:hAnsi="Times New Roman" w:cs="宋体"/>
        </w:rPr>
        <w:t>ecords</w:t>
      </w:r>
      <w:bookmarkEnd w:id="285"/>
      <w:r w:rsidRPr="00775168">
        <w:rPr>
          <w:rFonts w:ascii="Times New Roman" w:eastAsia="宋体" w:hAnsi="Times New Roman" w:cs="宋体"/>
        </w:rPr>
        <w:t xml:space="preserve"> </w:t>
      </w:r>
      <w:bookmarkEnd w:id="286"/>
      <w:bookmarkEnd w:id="287"/>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To meet regulatory or CHIA TAI TIANQING Pharmaceutical Group CO., LTD audit and/or review requirements, the investigator/institution agrees to maintain records, including the identification number of all subjects (sufficient information to link to records, e.g., eCRFs and hospital records), all original signed informed consent forms, copies of all eCRFs, safety report forms, source records, details of treatment disposition, and relevant communication documents (e.g., letters, meeting minutes, telephone calls). The Investigator/Institution shall maintain records in accordance with applicable regulations.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CHIA TAI TIANQING Pharmaceutical Group CO., LTD should be notified in advance if the investigator/institution cannot keep the study records for any reason. The study records need to be transferred to the recipient designated by CHIA TAI TIANQING Pharmaceutical Group CO., LTD, such as another investigator, another institution, or an independent third party arranged by CHIA TAI TIANQING Pharmaceutical Group CO., LTD. The study data shall be preserved by the research institution until 5 years after the completion of clinical trial, and then preserved by the sponsor until 5 years after the product is marketed. Even after the retention period, the investigator must obtain written permission from CHIA TAI TIANQING Pharmaceutical Group CO., LTD when handling any records from this trial. CHIA TAI TIANQING Pharmaceutical Group CO., LTD will promptly notify the investigator/institution when the materials are no longer required to be maintained. </w:t>
      </w:r>
    </w:p>
    <w:p w:rsidR="00743320" w:rsidRPr="00775168" w:rsidRDefault="00DF7F26">
      <w:pPr>
        <w:pStyle w:val="P68B1DB1-265"/>
        <w:rPr>
          <w:rFonts w:ascii="Times New Roman" w:eastAsia="宋体" w:hAnsi="Times New Roman" w:cs="Times New Roman"/>
        </w:rPr>
      </w:pPr>
      <w:bookmarkStart w:id="288" w:name="_Toc178589706"/>
      <w:bookmarkStart w:id="289" w:name="_Toc512941729"/>
      <w:bookmarkStart w:id="290" w:name="_Toc512940975"/>
      <w:r w:rsidRPr="00775168">
        <w:rPr>
          <w:rFonts w:ascii="Times New Roman" w:eastAsia="宋体" w:hAnsi="Times New Roman" w:cs="宋体"/>
        </w:rPr>
        <w:t xml:space="preserve">9.5 Data </w:t>
      </w:r>
      <w:r w:rsidR="009E3C7A">
        <w:rPr>
          <w:rFonts w:ascii="Times New Roman" w:eastAsia="宋体" w:hAnsi="Times New Roman" w:cs="宋体"/>
        </w:rPr>
        <w:t>P</w:t>
      </w:r>
      <w:r w:rsidRPr="00775168">
        <w:rPr>
          <w:rFonts w:ascii="Times New Roman" w:eastAsia="宋体" w:hAnsi="Times New Roman" w:cs="宋体"/>
        </w:rPr>
        <w:t>rocessing</w:t>
      </w:r>
      <w:bookmarkEnd w:id="288"/>
      <w:r w:rsidRPr="00775168">
        <w:rPr>
          <w:rFonts w:ascii="Times New Roman" w:eastAsia="宋体" w:hAnsi="Times New Roman" w:cs="宋体"/>
        </w:rPr>
        <w:t xml:space="preserve"> </w:t>
      </w:r>
      <w:bookmarkEnd w:id="289"/>
      <w:bookmarkEnd w:id="290"/>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When the clinical trial is completed, the data processing is entrusted by the sponsor to the data statistics company. Inconsistent data were found through data verification. Any inconsistent data should be clarified by contacting the investigator with the CRA. When the data from the database is considered correct, analysis and statistics will be performed. </w:t>
      </w: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743320">
      <w:pPr>
        <w:spacing w:line="360" w:lineRule="auto"/>
        <w:rPr>
          <w:b/>
          <w:sz w:val="24"/>
        </w:rPr>
      </w:pPr>
    </w:p>
    <w:p w:rsidR="00743320" w:rsidRPr="00775168" w:rsidRDefault="00DF7F26">
      <w:pPr>
        <w:pStyle w:val="P68B1DB1-a033"/>
      </w:pPr>
      <w:bookmarkStart w:id="291" w:name="_Toc512941730"/>
      <w:bookmarkStart w:id="292" w:name="_Toc512940976"/>
      <w:r w:rsidRPr="00775168">
        <w:br w:type="page"/>
      </w:r>
    </w:p>
    <w:p w:rsidR="00743320" w:rsidRPr="00775168" w:rsidRDefault="00DF7F26">
      <w:pPr>
        <w:pStyle w:val="P68B1DB1-116"/>
        <w:rPr>
          <w:rFonts w:ascii="Times New Roman" w:hAnsi="Times New Roman" w:cs="Times New Roman" w:hint="default"/>
        </w:rPr>
      </w:pPr>
      <w:bookmarkStart w:id="293" w:name="_Toc178589707"/>
      <w:r w:rsidRPr="00775168">
        <w:rPr>
          <w:rFonts w:ascii="Times New Roman" w:hAnsi="Times New Roman"/>
        </w:rPr>
        <w:lastRenderedPageBreak/>
        <w:t xml:space="preserve">10. </w:t>
      </w:r>
      <w:r w:rsidR="009E3C7A">
        <w:rPr>
          <w:rFonts w:ascii="Times New Roman" w:hAnsi="Times New Roman" w:hint="default"/>
        </w:rPr>
        <w:t>S</w:t>
      </w:r>
      <w:r w:rsidRPr="00775168">
        <w:rPr>
          <w:rFonts w:ascii="Times New Roman" w:hAnsi="Times New Roman"/>
        </w:rPr>
        <w:t xml:space="preserve">tatistical </w:t>
      </w:r>
      <w:r w:rsidR="009E3C7A">
        <w:rPr>
          <w:rFonts w:ascii="Times New Roman" w:hAnsi="Times New Roman" w:hint="default"/>
        </w:rPr>
        <w:t>A</w:t>
      </w:r>
      <w:r w:rsidRPr="00775168">
        <w:rPr>
          <w:rFonts w:ascii="Times New Roman" w:hAnsi="Times New Roman"/>
        </w:rPr>
        <w:t>nalysis</w:t>
      </w:r>
      <w:bookmarkEnd w:id="293"/>
      <w:r w:rsidRPr="00775168">
        <w:rPr>
          <w:rFonts w:ascii="Times New Roman" w:hAnsi="Times New Roman"/>
        </w:rPr>
        <w:t xml:space="preserve"> </w:t>
      </w:r>
      <w:bookmarkEnd w:id="291"/>
      <w:bookmarkEnd w:id="292"/>
    </w:p>
    <w:p w:rsidR="00743320" w:rsidRPr="00775168" w:rsidRDefault="00DF7F26">
      <w:pPr>
        <w:pStyle w:val="P68B1DB1-265"/>
        <w:rPr>
          <w:rFonts w:ascii="Times New Roman" w:eastAsia="宋体" w:hAnsi="Times New Roman" w:cs="Times New Roman"/>
        </w:rPr>
      </w:pPr>
      <w:bookmarkStart w:id="294" w:name="_Toc178589708"/>
      <w:bookmarkStart w:id="295" w:name="_Toc430282326"/>
      <w:bookmarkStart w:id="296" w:name="_Toc292713389"/>
      <w:bookmarkStart w:id="297" w:name="_Toc512940977"/>
      <w:bookmarkStart w:id="298" w:name="_Toc512941731"/>
      <w:bookmarkEnd w:id="266"/>
      <w:r w:rsidRPr="00775168">
        <w:rPr>
          <w:rFonts w:ascii="Times New Roman" w:eastAsia="宋体" w:hAnsi="Times New Roman" w:cs="宋体"/>
        </w:rPr>
        <w:t>10.1 Selection of Statistical Analysis Data</w:t>
      </w:r>
      <w:bookmarkEnd w:id="294"/>
      <w:r w:rsidRPr="00775168">
        <w:rPr>
          <w:rFonts w:ascii="Times New Roman" w:eastAsia="宋体" w:hAnsi="Times New Roman" w:cs="宋体"/>
        </w:rPr>
        <w:t xml:space="preserve"> </w:t>
      </w:r>
      <w:bookmarkEnd w:id="295"/>
      <w:bookmarkEnd w:id="296"/>
      <w:bookmarkEnd w:id="297"/>
      <w:bookmarkEnd w:id="298"/>
    </w:p>
    <w:p w:rsidR="00743320" w:rsidRPr="00775168" w:rsidRDefault="00DF7F26" w:rsidP="00874EC2">
      <w:pPr>
        <w:pStyle w:val="P68B1DB1-a033"/>
        <w:widowControl/>
        <w:adjustRightInd w:val="0"/>
        <w:snapToGrid w:val="0"/>
        <w:spacing w:line="360" w:lineRule="auto"/>
        <w:ind w:firstLine="561"/>
      </w:pPr>
      <w:r w:rsidRPr="00775168">
        <w:rPr>
          <w:rFonts w:hint="eastAsia"/>
        </w:rPr>
        <w:t>●</w:t>
      </w:r>
      <w:r w:rsidRPr="00775168">
        <w:rPr>
          <w:rFonts w:hint="eastAsia"/>
        </w:rPr>
        <w:t xml:space="preserve"> Full Analysis Set (FAS): According to the principle of intention to treat (ITT), the efficacy analysis is performed for all patients who take the drug once. </w:t>
      </w:r>
      <w:r w:rsidR="00874EC2">
        <w:t>FAS was used for efficacy</w:t>
      </w:r>
      <w:r w:rsidR="00874EC2" w:rsidRPr="00775168">
        <w:t xml:space="preserve"> analysis.</w:t>
      </w:r>
      <w:r w:rsidRPr="00775168">
        <w:rPr>
          <w:rFonts w:hint="eastAsia"/>
        </w:rPr>
        <w:t xml:space="preserve">. </w:t>
      </w:r>
    </w:p>
    <w:p w:rsidR="00874EC2" w:rsidRDefault="00DF7F26" w:rsidP="00874EC2">
      <w:pPr>
        <w:pStyle w:val="P68B1DB1-a033"/>
        <w:widowControl/>
        <w:adjustRightInd w:val="0"/>
        <w:snapToGrid w:val="0"/>
        <w:spacing w:line="360" w:lineRule="auto"/>
        <w:ind w:firstLine="561"/>
      </w:pPr>
      <w:r w:rsidRPr="00775168">
        <w:rPr>
          <w:rFonts w:hint="eastAsia"/>
        </w:rPr>
        <w:t>●</w:t>
      </w:r>
      <w:r w:rsidRPr="00775168">
        <w:rPr>
          <w:rFonts w:hint="eastAsia"/>
        </w:rPr>
        <w:t xml:space="preserve"> Per-protocol Set (PPS): all the subjects who meet the trial protocol, have good compliance, take the drugs for at least 2 cycles (the subjects who have taken the drugs for more than one cycle and have clear imaging evidence of disease progression are also used as PPS), and do not take the prohibited drugs during the trial and complete the content specified in the case report form. No imputation will be performed for missing data. </w:t>
      </w:r>
      <w:r w:rsidR="00874EC2" w:rsidRPr="00874EC2">
        <w:t xml:space="preserve">In the </w:t>
      </w:r>
      <w:r w:rsidR="00874EC2">
        <w:t>efficacy</w:t>
      </w:r>
      <w:r w:rsidR="00874EC2" w:rsidRPr="00874EC2">
        <w:t xml:space="preserve"> analysis, PPS will be used for supportive analysis</w:t>
      </w:r>
    </w:p>
    <w:p w:rsidR="00743320" w:rsidRPr="00775168" w:rsidRDefault="00DF7F26" w:rsidP="00874EC2">
      <w:pPr>
        <w:pStyle w:val="P68B1DB1-a024"/>
        <w:widowControl/>
        <w:adjustRightInd w:val="0"/>
        <w:snapToGrid w:val="0"/>
        <w:spacing w:line="360" w:lineRule="auto"/>
        <w:ind w:firstLine="561"/>
        <w:rPr>
          <w:rFonts w:hint="default"/>
          <w:b/>
        </w:rPr>
      </w:pPr>
      <w:r w:rsidRPr="00775168">
        <w:t>●</w:t>
      </w:r>
      <w:r w:rsidRPr="00775168">
        <w:t xml:space="preserve"> Safety Analysis Set (SAS): all patients who used the investigational drug at least once and had safety records after medication were included in the safety analysis set. </w:t>
      </w:r>
      <w:r w:rsidR="00874EC2">
        <w:rPr>
          <w:rFonts w:hint="default"/>
        </w:rPr>
        <w:t>SAS</w:t>
      </w:r>
      <w:r w:rsidRPr="00775168">
        <w:t xml:space="preserve"> was used for safety analysis. </w:t>
      </w:r>
    </w:p>
    <w:p w:rsidR="00743320" w:rsidRPr="00775168" w:rsidRDefault="00743320">
      <w:pPr>
        <w:widowControl/>
        <w:spacing w:line="360" w:lineRule="auto"/>
        <w:ind w:firstLineChars="196" w:firstLine="472"/>
        <w:rPr>
          <w:b/>
          <w:sz w:val="24"/>
        </w:rPr>
      </w:pPr>
    </w:p>
    <w:p w:rsidR="00743320" w:rsidRPr="00775168" w:rsidRDefault="00DF7F26">
      <w:pPr>
        <w:pStyle w:val="P68B1DB1-265"/>
        <w:rPr>
          <w:rFonts w:ascii="Times New Roman" w:eastAsia="宋体" w:hAnsi="Times New Roman" w:cs="Times New Roman"/>
        </w:rPr>
      </w:pPr>
      <w:bookmarkStart w:id="299" w:name="_Toc178589709"/>
      <w:bookmarkStart w:id="300" w:name="_Toc430282327"/>
      <w:bookmarkStart w:id="301" w:name="_Toc512940978"/>
      <w:bookmarkStart w:id="302" w:name="_Toc292713390"/>
      <w:bookmarkStart w:id="303" w:name="_Toc512941732"/>
      <w:r w:rsidRPr="00775168">
        <w:rPr>
          <w:rFonts w:ascii="Times New Roman" w:eastAsia="宋体" w:hAnsi="Times New Roman" w:cs="宋体"/>
        </w:rPr>
        <w:t>10.2 Statistical Analysis Plan</w:t>
      </w:r>
      <w:bookmarkEnd w:id="299"/>
      <w:r w:rsidRPr="00775168">
        <w:rPr>
          <w:rFonts w:ascii="Times New Roman" w:eastAsia="宋体" w:hAnsi="Times New Roman" w:cs="宋体"/>
        </w:rPr>
        <w:t xml:space="preserve"> </w:t>
      </w:r>
      <w:bookmarkEnd w:id="300"/>
      <w:bookmarkEnd w:id="301"/>
      <w:bookmarkEnd w:id="302"/>
      <w:bookmarkEnd w:id="303"/>
    </w:p>
    <w:p w:rsidR="00874EC2" w:rsidRDefault="00874EC2" w:rsidP="00874EC2">
      <w:pPr>
        <w:pStyle w:val="P68B1DB1-a033"/>
        <w:widowControl/>
        <w:adjustRightInd w:val="0"/>
        <w:snapToGrid w:val="0"/>
        <w:spacing w:beforeLines="30" w:before="72" w:line="360" w:lineRule="auto"/>
        <w:ind w:firstLine="561"/>
        <w:jc w:val="left"/>
      </w:pPr>
      <w:r w:rsidRPr="00874EC2">
        <w:t>(1) General principles</w:t>
      </w:r>
    </w:p>
    <w:p w:rsidR="00874EC2" w:rsidRDefault="00874EC2">
      <w:pPr>
        <w:pStyle w:val="P68B1DB1-a033"/>
        <w:widowControl/>
        <w:adjustRightInd w:val="0"/>
        <w:snapToGrid w:val="0"/>
        <w:spacing w:beforeLines="30" w:before="72" w:line="360" w:lineRule="auto"/>
        <w:ind w:firstLine="561"/>
      </w:pPr>
      <w:r w:rsidRPr="00874EC2">
        <w:t>The study was a single-arm design with no formal statistical assumptions, and 95% confidence intervals were calculated for all endpoint indicators and statistically analyzed using SAS 9.4 software.</w:t>
      </w:r>
    </w:p>
    <w:p w:rsidR="0040703B" w:rsidRDefault="0040703B" w:rsidP="0040703B">
      <w:pPr>
        <w:pStyle w:val="P68B1DB1-Default45"/>
        <w:spacing w:line="360" w:lineRule="auto"/>
        <w:ind w:firstLine="460"/>
        <w:rPr>
          <w:rFonts w:hint="default"/>
        </w:rPr>
      </w:pPr>
      <w:r>
        <w:t>(2) Demographic information and other baseline characteristics</w:t>
      </w:r>
    </w:p>
    <w:p w:rsidR="00874EC2" w:rsidRDefault="0040703B" w:rsidP="0040703B">
      <w:pPr>
        <w:pStyle w:val="P68B1DB1-Default45"/>
        <w:spacing w:line="360" w:lineRule="auto"/>
        <w:ind w:firstLine="460"/>
        <w:jc w:val="both"/>
        <w:rPr>
          <w:rFonts w:hint="default"/>
        </w:rPr>
      </w:pPr>
      <w:r>
        <w:t xml:space="preserve">Demographic information and other baseline characteristics were summarized using statistical descriptions based on the FAS set, with continuous variables expressed as the number of cases, mean </w:t>
      </w:r>
      <w:r>
        <w:t>±</w:t>
      </w:r>
      <w:r>
        <w:t xml:space="preserve"> standard deviation, or median (minimum-maximum), and categorical variables will be expressed as frequency counts and composition ratios.</w:t>
      </w:r>
    </w:p>
    <w:p w:rsidR="0040703B" w:rsidRDefault="0040703B" w:rsidP="0040703B">
      <w:pPr>
        <w:pStyle w:val="P68B1DB1-Default45"/>
        <w:spacing w:line="360" w:lineRule="auto"/>
        <w:ind w:firstLine="460"/>
        <w:rPr>
          <w:rFonts w:hint="default"/>
        </w:rPr>
      </w:pPr>
      <w:r>
        <w:t>(3) Analysis of effectiveness</w:t>
      </w:r>
    </w:p>
    <w:p w:rsidR="0040703B" w:rsidRDefault="0040703B" w:rsidP="0040703B">
      <w:pPr>
        <w:pStyle w:val="P68B1DB1-Default45"/>
        <w:spacing w:line="360" w:lineRule="auto"/>
        <w:ind w:firstLine="460"/>
        <w:rPr>
          <w:rFonts w:hint="default"/>
        </w:rPr>
      </w:pPr>
      <w:r>
        <w:t>The primary endpoint PFS was analyzed:</w:t>
      </w:r>
    </w:p>
    <w:p w:rsidR="0040703B" w:rsidRDefault="0040703B" w:rsidP="0040703B">
      <w:pPr>
        <w:pStyle w:val="P68B1DB1-Default45"/>
        <w:spacing w:line="360" w:lineRule="auto"/>
        <w:ind w:firstLine="460"/>
        <w:rPr>
          <w:rFonts w:hint="default"/>
        </w:rPr>
      </w:pPr>
      <w:r>
        <w:t>The Kaplan-Meier method was used to estimate the median value, and the Brookmeyer-Crowley method based on the log-log transform</w:t>
      </w:r>
      <w:r>
        <w:rPr>
          <w:rFonts w:hint="default"/>
        </w:rPr>
        <w:t>ation</w:t>
      </w:r>
      <w:r>
        <w:t xml:space="preserve"> was used to calculate the 95% confidence interval of the median PFS.</w:t>
      </w:r>
    </w:p>
    <w:p w:rsidR="00874EC2" w:rsidRDefault="0040703B" w:rsidP="0040703B">
      <w:pPr>
        <w:pStyle w:val="P68B1DB1-Default45"/>
        <w:spacing w:line="360" w:lineRule="auto"/>
        <w:ind w:firstLine="460"/>
        <w:jc w:val="both"/>
        <w:rPr>
          <w:rFonts w:hint="default"/>
        </w:rPr>
      </w:pPr>
      <w:r>
        <w:t>The main censoring rules for PFS were as follows:</w:t>
      </w:r>
    </w:p>
    <w:tbl>
      <w:tblPr>
        <w:tblW w:w="5000" w:type="pct"/>
        <w:tblBorders>
          <w:top w:val="single" w:sz="4" w:space="0" w:color="auto"/>
          <w:bottom w:val="single" w:sz="4" w:space="0" w:color="auto"/>
        </w:tblBorders>
        <w:tblLook w:val="04A0" w:firstRow="1" w:lastRow="0" w:firstColumn="1" w:lastColumn="0" w:noHBand="0" w:noVBand="1"/>
      </w:tblPr>
      <w:tblGrid>
        <w:gridCol w:w="4620"/>
        <w:gridCol w:w="4358"/>
        <w:gridCol w:w="1072"/>
      </w:tblGrid>
      <w:tr w:rsidR="0040703B" w:rsidRPr="00936985" w:rsidTr="0040703B">
        <w:tc>
          <w:tcPr>
            <w:tcW w:w="2299" w:type="pct"/>
            <w:tcBorders>
              <w:top w:val="single" w:sz="4" w:space="0" w:color="auto"/>
              <w:bottom w:val="single" w:sz="4" w:space="0" w:color="auto"/>
            </w:tcBorders>
            <w:vAlign w:val="center"/>
          </w:tcPr>
          <w:p w:rsidR="0040703B" w:rsidRPr="00936985" w:rsidRDefault="0040703B" w:rsidP="009F615D">
            <w:pPr>
              <w:jc w:val="center"/>
              <w:rPr>
                <w:b/>
                <w:bCs/>
                <w:color w:val="000000"/>
                <w:sz w:val="22"/>
                <w:szCs w:val="16"/>
              </w:rPr>
            </w:pPr>
            <w:r>
              <w:rPr>
                <w:rFonts w:hint="eastAsia"/>
                <w:b/>
                <w:bCs/>
                <w:color w:val="000000"/>
                <w:sz w:val="22"/>
                <w:szCs w:val="16"/>
              </w:rPr>
              <w:t>S</w:t>
            </w:r>
            <w:r>
              <w:rPr>
                <w:b/>
                <w:bCs/>
                <w:color w:val="000000"/>
                <w:sz w:val="22"/>
                <w:szCs w:val="16"/>
              </w:rPr>
              <w:t>tatue</w:t>
            </w:r>
          </w:p>
        </w:tc>
        <w:tc>
          <w:tcPr>
            <w:tcW w:w="2168" w:type="pct"/>
            <w:tcBorders>
              <w:top w:val="single" w:sz="4" w:space="0" w:color="auto"/>
              <w:bottom w:val="single" w:sz="4" w:space="0" w:color="auto"/>
            </w:tcBorders>
            <w:vAlign w:val="center"/>
          </w:tcPr>
          <w:p w:rsidR="0040703B" w:rsidRPr="00936985" w:rsidRDefault="0040703B" w:rsidP="0040703B">
            <w:pPr>
              <w:jc w:val="center"/>
              <w:rPr>
                <w:b/>
                <w:bCs/>
                <w:color w:val="000000"/>
                <w:sz w:val="22"/>
                <w:szCs w:val="16"/>
              </w:rPr>
            </w:pPr>
            <w:r w:rsidRPr="0040703B">
              <w:rPr>
                <w:b/>
                <w:bCs/>
                <w:color w:val="000000"/>
                <w:sz w:val="22"/>
                <w:szCs w:val="16"/>
              </w:rPr>
              <w:t xml:space="preserve">Date of progress or </w:t>
            </w:r>
            <w:r>
              <w:rPr>
                <w:b/>
                <w:bCs/>
                <w:color w:val="000000"/>
                <w:sz w:val="22"/>
                <w:szCs w:val="16"/>
              </w:rPr>
              <w:t>censoring</w:t>
            </w:r>
          </w:p>
        </w:tc>
        <w:tc>
          <w:tcPr>
            <w:tcW w:w="533" w:type="pct"/>
            <w:tcBorders>
              <w:top w:val="single" w:sz="4" w:space="0" w:color="auto"/>
              <w:bottom w:val="single" w:sz="4" w:space="0" w:color="auto"/>
            </w:tcBorders>
            <w:vAlign w:val="center"/>
          </w:tcPr>
          <w:p w:rsidR="0040703B" w:rsidRPr="00936985" w:rsidRDefault="0040703B" w:rsidP="009F615D">
            <w:pPr>
              <w:jc w:val="center"/>
              <w:rPr>
                <w:b/>
                <w:bCs/>
                <w:color w:val="000000"/>
                <w:sz w:val="22"/>
                <w:szCs w:val="16"/>
              </w:rPr>
            </w:pPr>
            <w:r>
              <w:rPr>
                <w:rFonts w:hint="eastAsia"/>
                <w:b/>
                <w:bCs/>
                <w:color w:val="000000"/>
                <w:sz w:val="22"/>
                <w:szCs w:val="16"/>
              </w:rPr>
              <w:t>O</w:t>
            </w:r>
            <w:r>
              <w:rPr>
                <w:b/>
                <w:bCs/>
                <w:color w:val="000000"/>
                <w:sz w:val="22"/>
                <w:szCs w:val="16"/>
              </w:rPr>
              <w:t>utcome</w:t>
            </w:r>
          </w:p>
        </w:tc>
      </w:tr>
      <w:tr w:rsidR="0040703B" w:rsidRPr="00936985" w:rsidTr="0040703B">
        <w:tc>
          <w:tcPr>
            <w:tcW w:w="2299" w:type="pct"/>
            <w:tcBorders>
              <w:top w:val="single" w:sz="4" w:space="0" w:color="auto"/>
            </w:tcBorders>
            <w:vAlign w:val="center"/>
          </w:tcPr>
          <w:p w:rsidR="0040703B" w:rsidRPr="00936985" w:rsidRDefault="0040703B" w:rsidP="009F615D">
            <w:pPr>
              <w:rPr>
                <w:bCs/>
                <w:color w:val="000000"/>
                <w:sz w:val="22"/>
                <w:szCs w:val="16"/>
              </w:rPr>
            </w:pPr>
            <w:r w:rsidRPr="0040703B">
              <w:rPr>
                <w:bCs/>
                <w:color w:val="000000"/>
                <w:sz w:val="22"/>
                <w:szCs w:val="16"/>
              </w:rPr>
              <w:t>No imaging documented after initiation of treatment</w:t>
            </w:r>
          </w:p>
        </w:tc>
        <w:tc>
          <w:tcPr>
            <w:tcW w:w="2168" w:type="pct"/>
            <w:tcBorders>
              <w:top w:val="single" w:sz="4" w:space="0" w:color="auto"/>
            </w:tcBorders>
            <w:vAlign w:val="center"/>
          </w:tcPr>
          <w:p w:rsidR="0040703B" w:rsidRPr="00936985" w:rsidRDefault="0040703B" w:rsidP="009F615D">
            <w:pPr>
              <w:rPr>
                <w:bCs/>
                <w:color w:val="000000"/>
                <w:sz w:val="22"/>
                <w:szCs w:val="16"/>
              </w:rPr>
            </w:pPr>
            <w:r w:rsidRPr="0040703B">
              <w:rPr>
                <w:bCs/>
                <w:color w:val="000000"/>
                <w:sz w:val="22"/>
                <w:szCs w:val="16"/>
              </w:rPr>
              <w:t>Date of initiation of treatment</w:t>
            </w:r>
          </w:p>
        </w:tc>
        <w:tc>
          <w:tcPr>
            <w:tcW w:w="533" w:type="pct"/>
            <w:tcBorders>
              <w:top w:val="single" w:sz="4" w:space="0" w:color="auto"/>
            </w:tcBorders>
            <w:vAlign w:val="center"/>
          </w:tcPr>
          <w:p w:rsidR="0040703B" w:rsidRPr="00936985" w:rsidRDefault="0040703B" w:rsidP="009F615D">
            <w:pPr>
              <w:jc w:val="center"/>
              <w:rPr>
                <w:bCs/>
                <w:color w:val="000000"/>
                <w:sz w:val="22"/>
                <w:szCs w:val="16"/>
              </w:rPr>
            </w:pPr>
            <w:r>
              <w:rPr>
                <w:rFonts w:hint="eastAsia"/>
                <w:bCs/>
                <w:color w:val="000000"/>
                <w:sz w:val="22"/>
                <w:szCs w:val="16"/>
              </w:rPr>
              <w:t>C</w:t>
            </w:r>
            <w:r>
              <w:rPr>
                <w:bCs/>
                <w:color w:val="000000"/>
                <w:sz w:val="22"/>
                <w:szCs w:val="16"/>
              </w:rPr>
              <w:t>ensored</w:t>
            </w:r>
          </w:p>
        </w:tc>
      </w:tr>
      <w:tr w:rsidR="0040703B" w:rsidRPr="00936985" w:rsidTr="0040703B">
        <w:tc>
          <w:tcPr>
            <w:tcW w:w="2299" w:type="pct"/>
            <w:vAlign w:val="center"/>
          </w:tcPr>
          <w:p w:rsidR="0040703B" w:rsidRPr="00936985" w:rsidRDefault="0040703B" w:rsidP="009F615D">
            <w:pPr>
              <w:rPr>
                <w:bCs/>
                <w:color w:val="000000"/>
                <w:sz w:val="22"/>
                <w:szCs w:val="16"/>
              </w:rPr>
            </w:pPr>
            <w:r w:rsidRPr="0040703B">
              <w:rPr>
                <w:bCs/>
                <w:color w:val="000000"/>
                <w:sz w:val="22"/>
                <w:szCs w:val="16"/>
              </w:rPr>
              <w:t>Documentation of progress as per planned visits</w:t>
            </w:r>
          </w:p>
        </w:tc>
        <w:tc>
          <w:tcPr>
            <w:tcW w:w="2168" w:type="pct"/>
            <w:vAlign w:val="center"/>
          </w:tcPr>
          <w:p w:rsidR="0040703B" w:rsidRPr="00936985" w:rsidRDefault="0040703B" w:rsidP="009F615D">
            <w:pPr>
              <w:rPr>
                <w:bCs/>
                <w:color w:val="000000"/>
                <w:sz w:val="22"/>
                <w:szCs w:val="16"/>
              </w:rPr>
            </w:pPr>
            <w:r w:rsidRPr="0040703B">
              <w:rPr>
                <w:bCs/>
                <w:color w:val="000000"/>
                <w:sz w:val="22"/>
                <w:szCs w:val="16"/>
              </w:rPr>
              <w:t>Date of imaging</w:t>
            </w:r>
          </w:p>
        </w:tc>
        <w:tc>
          <w:tcPr>
            <w:tcW w:w="533" w:type="pct"/>
            <w:vAlign w:val="center"/>
          </w:tcPr>
          <w:p w:rsidR="0040703B" w:rsidRPr="00936985" w:rsidRDefault="0040703B" w:rsidP="009F615D">
            <w:pPr>
              <w:jc w:val="center"/>
              <w:rPr>
                <w:bCs/>
                <w:color w:val="000000"/>
                <w:sz w:val="22"/>
                <w:szCs w:val="16"/>
              </w:rPr>
            </w:pPr>
            <w:r>
              <w:rPr>
                <w:rFonts w:hint="eastAsia"/>
                <w:bCs/>
                <w:color w:val="000000"/>
                <w:sz w:val="22"/>
                <w:szCs w:val="16"/>
              </w:rPr>
              <w:t>E</w:t>
            </w:r>
            <w:r>
              <w:rPr>
                <w:bCs/>
                <w:color w:val="000000"/>
                <w:sz w:val="22"/>
                <w:szCs w:val="16"/>
              </w:rPr>
              <w:t>vents</w:t>
            </w:r>
          </w:p>
        </w:tc>
      </w:tr>
      <w:tr w:rsidR="0040703B" w:rsidRPr="00936985" w:rsidTr="0040703B">
        <w:tc>
          <w:tcPr>
            <w:tcW w:w="2299" w:type="pct"/>
            <w:vAlign w:val="center"/>
          </w:tcPr>
          <w:p w:rsidR="0040703B" w:rsidRPr="00936985" w:rsidRDefault="0040703B" w:rsidP="009F615D">
            <w:pPr>
              <w:rPr>
                <w:bCs/>
                <w:color w:val="000000"/>
                <w:sz w:val="22"/>
                <w:szCs w:val="16"/>
              </w:rPr>
            </w:pPr>
            <w:r w:rsidRPr="0040703B">
              <w:rPr>
                <w:bCs/>
                <w:color w:val="000000"/>
                <w:sz w:val="22"/>
                <w:szCs w:val="16"/>
              </w:rPr>
              <w:t>Progress was not documented on scheduled visits</w:t>
            </w:r>
          </w:p>
        </w:tc>
        <w:tc>
          <w:tcPr>
            <w:tcW w:w="2168" w:type="pct"/>
            <w:vAlign w:val="center"/>
          </w:tcPr>
          <w:p w:rsidR="0040703B" w:rsidRPr="00936985" w:rsidRDefault="0040703B" w:rsidP="009F615D">
            <w:pPr>
              <w:rPr>
                <w:bCs/>
                <w:color w:val="000000"/>
                <w:sz w:val="22"/>
                <w:szCs w:val="16"/>
              </w:rPr>
            </w:pPr>
            <w:r w:rsidRPr="0040703B">
              <w:rPr>
                <w:bCs/>
                <w:color w:val="000000"/>
                <w:sz w:val="22"/>
                <w:szCs w:val="16"/>
              </w:rPr>
              <w:t>Date of last imaging</w:t>
            </w:r>
          </w:p>
        </w:tc>
        <w:tc>
          <w:tcPr>
            <w:tcW w:w="533" w:type="pct"/>
            <w:vAlign w:val="center"/>
          </w:tcPr>
          <w:p w:rsidR="0040703B" w:rsidRPr="00936985" w:rsidRDefault="0040703B" w:rsidP="009F615D">
            <w:pPr>
              <w:jc w:val="center"/>
              <w:rPr>
                <w:bCs/>
                <w:color w:val="000000"/>
                <w:sz w:val="22"/>
                <w:szCs w:val="16"/>
              </w:rPr>
            </w:pPr>
            <w:r>
              <w:rPr>
                <w:rFonts w:hint="eastAsia"/>
                <w:bCs/>
                <w:color w:val="000000"/>
                <w:sz w:val="22"/>
                <w:szCs w:val="16"/>
              </w:rPr>
              <w:t>C</w:t>
            </w:r>
            <w:r>
              <w:rPr>
                <w:bCs/>
                <w:color w:val="000000"/>
                <w:sz w:val="22"/>
                <w:szCs w:val="16"/>
              </w:rPr>
              <w:t>ensored</w:t>
            </w:r>
          </w:p>
        </w:tc>
      </w:tr>
      <w:tr w:rsidR="0040703B" w:rsidRPr="00936985" w:rsidTr="0040703B">
        <w:tc>
          <w:tcPr>
            <w:tcW w:w="2299" w:type="pct"/>
            <w:vAlign w:val="center"/>
          </w:tcPr>
          <w:p w:rsidR="0040703B" w:rsidRPr="00936985" w:rsidRDefault="0040703B" w:rsidP="009F615D">
            <w:pPr>
              <w:rPr>
                <w:bCs/>
                <w:color w:val="000000"/>
                <w:sz w:val="22"/>
                <w:szCs w:val="16"/>
              </w:rPr>
            </w:pPr>
            <w:r w:rsidRPr="0040703B">
              <w:rPr>
                <w:bCs/>
                <w:color w:val="000000"/>
                <w:sz w:val="22"/>
                <w:szCs w:val="16"/>
              </w:rPr>
              <w:t xml:space="preserve">Treatment </w:t>
            </w:r>
            <w:r w:rsidRPr="003861F0">
              <w:rPr>
                <w:color w:val="000000" w:themeColor="text1"/>
                <w:sz w:val="24"/>
                <w:szCs w:val="24"/>
              </w:rPr>
              <w:t>discontinued</w:t>
            </w:r>
            <w:r w:rsidRPr="0040703B">
              <w:rPr>
                <w:bCs/>
                <w:color w:val="000000"/>
                <w:sz w:val="22"/>
                <w:szCs w:val="16"/>
              </w:rPr>
              <w:t xml:space="preserve"> due to toxicity or other </w:t>
            </w:r>
            <w:r w:rsidRPr="0040703B">
              <w:rPr>
                <w:bCs/>
                <w:color w:val="000000"/>
                <w:sz w:val="22"/>
                <w:szCs w:val="16"/>
              </w:rPr>
              <w:lastRenderedPageBreak/>
              <w:t>reasons</w:t>
            </w:r>
          </w:p>
        </w:tc>
        <w:tc>
          <w:tcPr>
            <w:tcW w:w="2168" w:type="pct"/>
            <w:vAlign w:val="center"/>
          </w:tcPr>
          <w:p w:rsidR="0040703B" w:rsidRPr="00936985" w:rsidRDefault="0040703B" w:rsidP="009F615D">
            <w:pPr>
              <w:rPr>
                <w:bCs/>
                <w:color w:val="000000"/>
                <w:sz w:val="22"/>
                <w:szCs w:val="16"/>
              </w:rPr>
            </w:pPr>
            <w:r w:rsidRPr="0040703B">
              <w:rPr>
                <w:bCs/>
                <w:color w:val="000000"/>
                <w:sz w:val="22"/>
                <w:szCs w:val="16"/>
              </w:rPr>
              <w:lastRenderedPageBreak/>
              <w:t xml:space="preserve">Date of last imaging prior to </w:t>
            </w:r>
            <w:r w:rsidRPr="003861F0">
              <w:rPr>
                <w:color w:val="000000" w:themeColor="text1"/>
                <w:sz w:val="24"/>
                <w:szCs w:val="24"/>
              </w:rPr>
              <w:t>discontinuation</w:t>
            </w:r>
            <w:r w:rsidRPr="0040703B">
              <w:rPr>
                <w:bCs/>
                <w:color w:val="000000"/>
                <w:sz w:val="22"/>
                <w:szCs w:val="16"/>
              </w:rPr>
              <w:t xml:space="preserve"> </w:t>
            </w:r>
            <w:r w:rsidRPr="0040703B">
              <w:rPr>
                <w:bCs/>
                <w:color w:val="000000"/>
                <w:sz w:val="22"/>
                <w:szCs w:val="16"/>
              </w:rPr>
              <w:lastRenderedPageBreak/>
              <w:t>of treatment</w:t>
            </w:r>
          </w:p>
        </w:tc>
        <w:tc>
          <w:tcPr>
            <w:tcW w:w="533" w:type="pct"/>
            <w:vAlign w:val="center"/>
          </w:tcPr>
          <w:p w:rsidR="0040703B" w:rsidRPr="00936985" w:rsidRDefault="0040703B" w:rsidP="009F615D">
            <w:pPr>
              <w:jc w:val="center"/>
              <w:rPr>
                <w:bCs/>
                <w:color w:val="000000"/>
                <w:sz w:val="22"/>
                <w:szCs w:val="16"/>
              </w:rPr>
            </w:pPr>
            <w:r>
              <w:rPr>
                <w:rFonts w:hint="eastAsia"/>
                <w:bCs/>
                <w:color w:val="000000"/>
                <w:sz w:val="22"/>
                <w:szCs w:val="16"/>
              </w:rPr>
              <w:lastRenderedPageBreak/>
              <w:t>C</w:t>
            </w:r>
            <w:r>
              <w:rPr>
                <w:bCs/>
                <w:color w:val="000000"/>
                <w:sz w:val="22"/>
                <w:szCs w:val="16"/>
              </w:rPr>
              <w:t>ensored</w:t>
            </w:r>
          </w:p>
        </w:tc>
      </w:tr>
      <w:tr w:rsidR="0040703B" w:rsidRPr="00936985" w:rsidTr="0040703B">
        <w:tc>
          <w:tcPr>
            <w:tcW w:w="2299" w:type="pct"/>
            <w:vAlign w:val="center"/>
          </w:tcPr>
          <w:p w:rsidR="0040703B" w:rsidRPr="00936985" w:rsidRDefault="0040703B" w:rsidP="009F615D">
            <w:pPr>
              <w:rPr>
                <w:bCs/>
                <w:color w:val="000000"/>
                <w:sz w:val="22"/>
                <w:szCs w:val="16"/>
              </w:rPr>
            </w:pPr>
            <w:r w:rsidRPr="0040703B">
              <w:rPr>
                <w:bCs/>
                <w:color w:val="000000"/>
                <w:sz w:val="22"/>
                <w:szCs w:val="16"/>
              </w:rPr>
              <w:lastRenderedPageBreak/>
              <w:t xml:space="preserve">Starting </w:t>
            </w:r>
            <w:r w:rsidRPr="003861F0">
              <w:rPr>
                <w:color w:val="000000" w:themeColor="text1"/>
                <w:sz w:val="24"/>
                <w:szCs w:val="24"/>
              </w:rPr>
              <w:t>subsequent</w:t>
            </w:r>
            <w:r w:rsidRPr="0040703B">
              <w:rPr>
                <w:bCs/>
                <w:color w:val="000000"/>
                <w:sz w:val="22"/>
                <w:szCs w:val="16"/>
              </w:rPr>
              <w:t xml:space="preserve"> anti-tumor therapy</w:t>
            </w:r>
          </w:p>
        </w:tc>
        <w:tc>
          <w:tcPr>
            <w:tcW w:w="2168" w:type="pct"/>
            <w:vAlign w:val="center"/>
          </w:tcPr>
          <w:p w:rsidR="0040703B" w:rsidRPr="00936985" w:rsidRDefault="0040703B" w:rsidP="009F615D">
            <w:pPr>
              <w:rPr>
                <w:bCs/>
                <w:color w:val="000000"/>
                <w:sz w:val="22"/>
                <w:szCs w:val="16"/>
              </w:rPr>
            </w:pPr>
            <w:r w:rsidRPr="0040703B">
              <w:rPr>
                <w:bCs/>
                <w:color w:val="000000"/>
                <w:sz w:val="22"/>
                <w:szCs w:val="16"/>
              </w:rPr>
              <w:t xml:space="preserve">Date of last imaging before starting </w:t>
            </w:r>
            <w:r w:rsidRPr="003861F0">
              <w:rPr>
                <w:color w:val="000000" w:themeColor="text1"/>
                <w:sz w:val="24"/>
                <w:szCs w:val="24"/>
              </w:rPr>
              <w:t>subsequent</w:t>
            </w:r>
            <w:r w:rsidRPr="0040703B">
              <w:rPr>
                <w:bCs/>
                <w:color w:val="000000"/>
                <w:sz w:val="22"/>
                <w:szCs w:val="16"/>
              </w:rPr>
              <w:t xml:space="preserve"> treatment</w:t>
            </w:r>
          </w:p>
        </w:tc>
        <w:tc>
          <w:tcPr>
            <w:tcW w:w="533" w:type="pct"/>
            <w:vAlign w:val="center"/>
          </w:tcPr>
          <w:p w:rsidR="0040703B" w:rsidRPr="00936985" w:rsidRDefault="0040703B" w:rsidP="009F615D">
            <w:pPr>
              <w:jc w:val="center"/>
              <w:rPr>
                <w:bCs/>
                <w:color w:val="000000"/>
                <w:sz w:val="22"/>
                <w:szCs w:val="16"/>
              </w:rPr>
            </w:pPr>
            <w:r>
              <w:rPr>
                <w:rFonts w:hint="eastAsia"/>
                <w:bCs/>
                <w:color w:val="000000"/>
                <w:sz w:val="22"/>
                <w:szCs w:val="16"/>
              </w:rPr>
              <w:t>C</w:t>
            </w:r>
            <w:r>
              <w:rPr>
                <w:bCs/>
                <w:color w:val="000000"/>
                <w:sz w:val="22"/>
                <w:szCs w:val="16"/>
              </w:rPr>
              <w:t>ensored</w:t>
            </w:r>
          </w:p>
        </w:tc>
      </w:tr>
      <w:tr w:rsidR="0040703B" w:rsidRPr="00936985" w:rsidTr="0040703B">
        <w:tc>
          <w:tcPr>
            <w:tcW w:w="2299" w:type="pct"/>
            <w:vAlign w:val="center"/>
          </w:tcPr>
          <w:p w:rsidR="0040703B" w:rsidRPr="00936985" w:rsidRDefault="0040703B" w:rsidP="009F615D">
            <w:pPr>
              <w:rPr>
                <w:bCs/>
                <w:color w:val="000000"/>
                <w:sz w:val="22"/>
                <w:szCs w:val="16"/>
              </w:rPr>
            </w:pPr>
            <w:r w:rsidRPr="0040703B">
              <w:rPr>
                <w:bCs/>
                <w:color w:val="000000"/>
                <w:sz w:val="22"/>
                <w:szCs w:val="16"/>
              </w:rPr>
              <w:t>Death before first imaging</w:t>
            </w:r>
          </w:p>
        </w:tc>
        <w:tc>
          <w:tcPr>
            <w:tcW w:w="2168" w:type="pct"/>
            <w:vAlign w:val="center"/>
          </w:tcPr>
          <w:p w:rsidR="0040703B" w:rsidRPr="00936985" w:rsidRDefault="0040703B" w:rsidP="009F615D">
            <w:pPr>
              <w:rPr>
                <w:bCs/>
                <w:color w:val="000000"/>
                <w:sz w:val="22"/>
                <w:szCs w:val="16"/>
              </w:rPr>
            </w:pPr>
            <w:r w:rsidRPr="0040703B">
              <w:rPr>
                <w:bCs/>
                <w:color w:val="000000"/>
                <w:sz w:val="22"/>
                <w:szCs w:val="16"/>
              </w:rPr>
              <w:t>Date of death</w:t>
            </w:r>
          </w:p>
        </w:tc>
        <w:tc>
          <w:tcPr>
            <w:tcW w:w="533" w:type="pct"/>
            <w:vAlign w:val="center"/>
          </w:tcPr>
          <w:p w:rsidR="0040703B" w:rsidRPr="00936985" w:rsidRDefault="0040703B" w:rsidP="009F615D">
            <w:pPr>
              <w:jc w:val="center"/>
              <w:rPr>
                <w:bCs/>
                <w:color w:val="000000"/>
                <w:sz w:val="22"/>
                <w:szCs w:val="16"/>
              </w:rPr>
            </w:pPr>
            <w:r>
              <w:rPr>
                <w:rFonts w:hint="eastAsia"/>
                <w:bCs/>
                <w:color w:val="000000"/>
                <w:sz w:val="22"/>
                <w:szCs w:val="16"/>
              </w:rPr>
              <w:t>E</w:t>
            </w:r>
            <w:r>
              <w:rPr>
                <w:bCs/>
                <w:color w:val="000000"/>
                <w:sz w:val="22"/>
                <w:szCs w:val="16"/>
              </w:rPr>
              <w:t>vents</w:t>
            </w:r>
          </w:p>
        </w:tc>
      </w:tr>
      <w:tr w:rsidR="0040703B" w:rsidRPr="00936985" w:rsidTr="0040703B">
        <w:tc>
          <w:tcPr>
            <w:tcW w:w="2299" w:type="pct"/>
            <w:vAlign w:val="center"/>
          </w:tcPr>
          <w:p w:rsidR="0040703B" w:rsidRPr="00936985" w:rsidRDefault="0040703B" w:rsidP="009F615D">
            <w:pPr>
              <w:rPr>
                <w:bCs/>
                <w:color w:val="000000"/>
                <w:sz w:val="22"/>
                <w:szCs w:val="16"/>
              </w:rPr>
            </w:pPr>
            <w:r w:rsidRPr="0040703B">
              <w:rPr>
                <w:bCs/>
                <w:color w:val="000000"/>
                <w:sz w:val="22"/>
                <w:szCs w:val="16"/>
              </w:rPr>
              <w:t>Deaths between scheduled visits</w:t>
            </w:r>
          </w:p>
        </w:tc>
        <w:tc>
          <w:tcPr>
            <w:tcW w:w="2168" w:type="pct"/>
            <w:vAlign w:val="center"/>
          </w:tcPr>
          <w:p w:rsidR="0040703B" w:rsidRPr="00936985" w:rsidRDefault="0040703B" w:rsidP="009F615D">
            <w:pPr>
              <w:rPr>
                <w:bCs/>
                <w:color w:val="000000"/>
                <w:sz w:val="22"/>
                <w:szCs w:val="16"/>
              </w:rPr>
            </w:pPr>
            <w:r w:rsidRPr="0040703B">
              <w:rPr>
                <w:bCs/>
                <w:color w:val="000000"/>
                <w:sz w:val="22"/>
                <w:szCs w:val="16"/>
              </w:rPr>
              <w:t>Date of death</w:t>
            </w:r>
          </w:p>
        </w:tc>
        <w:tc>
          <w:tcPr>
            <w:tcW w:w="533" w:type="pct"/>
            <w:vAlign w:val="center"/>
          </w:tcPr>
          <w:p w:rsidR="0040703B" w:rsidRPr="00936985" w:rsidRDefault="0040703B" w:rsidP="009F615D">
            <w:pPr>
              <w:jc w:val="center"/>
              <w:rPr>
                <w:bCs/>
                <w:color w:val="000000"/>
                <w:sz w:val="22"/>
                <w:szCs w:val="16"/>
              </w:rPr>
            </w:pPr>
            <w:r>
              <w:rPr>
                <w:rFonts w:hint="eastAsia"/>
                <w:bCs/>
                <w:color w:val="000000"/>
                <w:sz w:val="22"/>
                <w:szCs w:val="16"/>
              </w:rPr>
              <w:t>E</w:t>
            </w:r>
            <w:r>
              <w:rPr>
                <w:bCs/>
                <w:color w:val="000000"/>
                <w:sz w:val="22"/>
                <w:szCs w:val="16"/>
              </w:rPr>
              <w:t>vents</w:t>
            </w:r>
          </w:p>
        </w:tc>
      </w:tr>
    </w:tbl>
    <w:p w:rsidR="0040703B" w:rsidRDefault="0040703B" w:rsidP="0040703B">
      <w:pPr>
        <w:pStyle w:val="P68B1DB1-Default45"/>
        <w:spacing w:line="360" w:lineRule="auto"/>
        <w:ind w:firstLine="460"/>
        <w:rPr>
          <w:rFonts w:hint="default"/>
        </w:rPr>
      </w:pPr>
      <w:r>
        <w:t>Analysis of secondary endpoints:</w:t>
      </w:r>
    </w:p>
    <w:p w:rsidR="0040703B" w:rsidRDefault="0040703B" w:rsidP="0040703B">
      <w:pPr>
        <w:pStyle w:val="P68B1DB1-Default45"/>
        <w:spacing w:line="360" w:lineRule="auto"/>
        <w:ind w:firstLine="460"/>
        <w:rPr>
          <w:rFonts w:hint="default"/>
        </w:rPr>
      </w:pPr>
      <w:r>
        <w:t>6-month PFS rate, 12-month PFS rate: PFS curves were plotted using the Kaplan-Meier method, 6-month PFS rate and 12-month PFS rate were obtained based on the curves, and 95% confidence intervals for the 6-month PFS rate and 12-month PFS rate were calculated using the log-log transformation.</w:t>
      </w:r>
    </w:p>
    <w:p w:rsidR="0040703B" w:rsidRDefault="0040703B" w:rsidP="0040703B">
      <w:pPr>
        <w:pStyle w:val="P68B1DB1-Default45"/>
        <w:spacing w:line="360" w:lineRule="auto"/>
        <w:ind w:firstLine="460"/>
        <w:rPr>
          <w:rFonts w:hint="default"/>
        </w:rPr>
      </w:pPr>
      <w:r>
        <w:t>Disease control rate (DCR): defined as the number of people with confirmed best efficacy of CR, PR, and SD as a proportion of the analyzed population, and 95% confidence intervals for DCR were calculated using the Clopper-Pearson method.</w:t>
      </w:r>
    </w:p>
    <w:p w:rsidR="0040703B" w:rsidRDefault="0040703B" w:rsidP="0040703B">
      <w:pPr>
        <w:pStyle w:val="P68B1DB1-Default45"/>
        <w:spacing w:line="360" w:lineRule="auto"/>
        <w:ind w:firstLine="460"/>
        <w:rPr>
          <w:rFonts w:hint="default"/>
        </w:rPr>
      </w:pPr>
      <w:r>
        <w:t>Objective remission rate (ORR): defined as the number of people with confirmed best efficacy of CR and PR as a proportion of the analyzed population, and 95% confidence intervals for ORR were calculated using the Clopper-Pearson method.</w:t>
      </w:r>
    </w:p>
    <w:p w:rsidR="00874EC2" w:rsidRDefault="0040703B" w:rsidP="0040703B">
      <w:pPr>
        <w:pStyle w:val="P68B1DB1-Default45"/>
        <w:spacing w:line="360" w:lineRule="auto"/>
        <w:ind w:firstLine="460"/>
        <w:jc w:val="both"/>
        <w:rPr>
          <w:rFonts w:hint="default"/>
        </w:rPr>
      </w:pPr>
      <w:r>
        <w:t>Overall survival (OS): median values were estimated using the Kaplan-Meier method, and 95% confidence intervals for median OS were calculated using the Brookmeyer-Crowley method based on the log-log transform</w:t>
      </w:r>
      <w:r>
        <w:rPr>
          <w:rFonts w:hint="default"/>
        </w:rPr>
        <w:t>ation</w:t>
      </w:r>
      <w:r>
        <w:t>. Patients who did not experience death were censored at the time of final survival follow-up.</w:t>
      </w:r>
    </w:p>
    <w:p w:rsidR="0040703B" w:rsidRDefault="0040703B" w:rsidP="0040703B">
      <w:pPr>
        <w:pStyle w:val="P68B1DB1-Default45"/>
        <w:spacing w:line="360" w:lineRule="auto"/>
        <w:ind w:firstLine="460"/>
        <w:rPr>
          <w:rFonts w:hint="default"/>
        </w:rPr>
      </w:pPr>
      <w:r>
        <w:t>(4) Safety analysis</w:t>
      </w:r>
    </w:p>
    <w:p w:rsidR="0040703B" w:rsidRDefault="0040703B" w:rsidP="0040703B">
      <w:pPr>
        <w:pStyle w:val="P68B1DB1-Default45"/>
        <w:spacing w:line="360" w:lineRule="auto"/>
        <w:ind w:firstLine="460"/>
        <w:rPr>
          <w:rFonts w:hint="default"/>
        </w:rPr>
      </w:pPr>
      <w:r>
        <w:t>Descriptive statistics were used to describe the adverse events that occurred in this trial in a list.</w:t>
      </w:r>
    </w:p>
    <w:p w:rsidR="0040703B" w:rsidRDefault="0040703B" w:rsidP="0040703B">
      <w:pPr>
        <w:pStyle w:val="P68B1DB1-Default45"/>
        <w:spacing w:line="360" w:lineRule="auto"/>
        <w:ind w:firstLine="460"/>
        <w:rPr>
          <w:rFonts w:hint="default"/>
        </w:rPr>
      </w:pPr>
      <w:r>
        <w:t>Summarize the incidence of adverse events, adverse reactions, adverse events leading to withdrawal, adverse events leading to death, and serious adverse events. Incidence of adverse events or reactions = number of adverse events or reactions in the number of people on the drug/number of people on the drug x 100%. If more than one adverse event/reaction occurs in the same monitored case, it is recorded as 1 case in the calculation of the incidence rate; when the same adverse event occurs multiple times in a monitored case, it is recorded as 1 case in the calculation of the incidence rate and the most serious one is involved in the severity analysis of that adverse event. Provide a list of cases in which adverse events and serious adverse events occurred.</w:t>
      </w:r>
    </w:p>
    <w:p w:rsidR="00874EC2" w:rsidRDefault="0040703B" w:rsidP="0040703B">
      <w:pPr>
        <w:pStyle w:val="P68B1DB1-Default45"/>
        <w:spacing w:line="360" w:lineRule="auto"/>
        <w:ind w:firstLine="460"/>
        <w:jc w:val="both"/>
        <w:rPr>
          <w:rFonts w:hint="default"/>
        </w:rPr>
      </w:pPr>
      <w:r>
        <w:t>Clinically significant laboratory data, physical examination, vital signs, and temporary or permanent interruptions due to adverse events will be reported and described in tabular form. All safety data and comparisons to baseline values will be tabulated and summarized in detail. In addition, any abnormal changes in physical examination, vital signs, and electrocardiogram will be described.</w:t>
      </w:r>
    </w:p>
    <w:p w:rsidR="00874EC2" w:rsidRDefault="00874EC2">
      <w:pPr>
        <w:pStyle w:val="P68B1DB1-Default45"/>
        <w:spacing w:line="360" w:lineRule="auto"/>
        <w:ind w:firstLine="460"/>
        <w:jc w:val="both"/>
        <w:rPr>
          <w:rFonts w:hint="default"/>
        </w:rPr>
      </w:pPr>
    </w:p>
    <w:p w:rsidR="00743320" w:rsidRPr="00775168" w:rsidRDefault="00DF7F26">
      <w:pPr>
        <w:pStyle w:val="P68B1DB1-Default45"/>
        <w:spacing w:line="360" w:lineRule="auto"/>
        <w:ind w:firstLine="460"/>
        <w:jc w:val="both"/>
        <w:rPr>
          <w:rFonts w:cs="Times New Roman" w:hint="default"/>
        </w:rPr>
      </w:pPr>
      <w:r w:rsidRPr="00775168">
        <w:t xml:space="preserve"> </w:t>
      </w:r>
    </w:p>
    <w:p w:rsidR="00743320" w:rsidRPr="00775168" w:rsidRDefault="00DF7F26">
      <w:pPr>
        <w:pStyle w:val="P68B1DB1-116"/>
        <w:ind w:firstLine="0"/>
        <w:rPr>
          <w:rFonts w:ascii="Times New Roman" w:hAnsi="Times New Roman" w:cs="Times New Roman" w:hint="default"/>
        </w:rPr>
      </w:pPr>
      <w:bookmarkStart w:id="304" w:name="_Toc178589710"/>
      <w:bookmarkStart w:id="305" w:name="_Toc512940979"/>
      <w:bookmarkStart w:id="306" w:name="_Toc512941733"/>
      <w:bookmarkStart w:id="307" w:name="_Toc190163400"/>
      <w:bookmarkStart w:id="308" w:name="_Toc292713391"/>
      <w:bookmarkStart w:id="309" w:name="_Toc430282328"/>
      <w:r w:rsidRPr="00775168">
        <w:rPr>
          <w:rFonts w:ascii="Times New Roman" w:hAnsi="Times New Roman"/>
        </w:rPr>
        <w:lastRenderedPageBreak/>
        <w:t>11</w:t>
      </w:r>
      <w:r w:rsidR="0040703B">
        <w:rPr>
          <w:rFonts w:ascii="Times New Roman" w:hAnsi="Times New Roman" w:hint="default"/>
        </w:rPr>
        <w:t xml:space="preserve">. </w:t>
      </w:r>
      <w:r w:rsidRPr="00775168">
        <w:rPr>
          <w:rFonts w:ascii="Times New Roman" w:hAnsi="Times New Roman"/>
        </w:rPr>
        <w:t>Regulatory Ethics and Informed Consent</w:t>
      </w:r>
      <w:bookmarkEnd w:id="304"/>
      <w:r w:rsidRPr="00775168">
        <w:rPr>
          <w:rFonts w:ascii="Times New Roman" w:hAnsi="Times New Roman"/>
        </w:rPr>
        <w:t xml:space="preserve"> </w:t>
      </w:r>
      <w:bookmarkEnd w:id="305"/>
      <w:bookmarkEnd w:id="306"/>
    </w:p>
    <w:p w:rsidR="00743320" w:rsidRPr="00775168" w:rsidRDefault="00DF7F26">
      <w:pPr>
        <w:pStyle w:val="P68B1DB1-265"/>
        <w:rPr>
          <w:rFonts w:ascii="Times New Roman" w:eastAsia="宋体" w:hAnsi="Times New Roman" w:cs="Times New Roman"/>
        </w:rPr>
      </w:pPr>
      <w:bookmarkStart w:id="310" w:name="_Toc178589711"/>
      <w:bookmarkStart w:id="311" w:name="_Toc512941734"/>
      <w:bookmarkStart w:id="312" w:name="_Toc512940980"/>
      <w:r w:rsidRPr="00775168">
        <w:rPr>
          <w:rFonts w:ascii="Times New Roman" w:eastAsia="宋体" w:hAnsi="Times New Roman" w:cs="宋体"/>
        </w:rPr>
        <w:t xml:space="preserve">11.1 Laws and </w:t>
      </w:r>
      <w:r w:rsidR="0040703B">
        <w:rPr>
          <w:rFonts w:ascii="Times New Roman" w:eastAsia="宋体" w:hAnsi="Times New Roman" w:cs="宋体"/>
        </w:rPr>
        <w:t>R</w:t>
      </w:r>
      <w:r w:rsidRPr="00775168">
        <w:rPr>
          <w:rFonts w:ascii="Times New Roman" w:eastAsia="宋体" w:hAnsi="Times New Roman" w:cs="宋体"/>
        </w:rPr>
        <w:t>egulations</w:t>
      </w:r>
      <w:bookmarkEnd w:id="310"/>
      <w:r w:rsidRPr="00775168">
        <w:rPr>
          <w:rFonts w:ascii="Times New Roman" w:eastAsia="宋体" w:hAnsi="Times New Roman" w:cs="宋体"/>
        </w:rPr>
        <w:t xml:space="preserve"> </w:t>
      </w:r>
      <w:bookmarkEnd w:id="311"/>
      <w:bookmarkEnd w:id="312"/>
    </w:p>
    <w:p w:rsidR="00743320" w:rsidRPr="00775168" w:rsidRDefault="00DF7F26">
      <w:pPr>
        <w:pStyle w:val="P68B1DB1-Default45"/>
        <w:spacing w:line="360" w:lineRule="auto"/>
        <w:ind w:firstLine="459"/>
        <w:jc w:val="both"/>
        <w:rPr>
          <w:rFonts w:cs="Times New Roman" w:hint="default"/>
        </w:rPr>
      </w:pPr>
      <w:r w:rsidRPr="00775168">
        <w:t xml:space="preserve">Prior to the initiation of this study, approval or filing by the relevant regulatory authority is required before the clinical study can be conducted. This clinical investigation will also be conducted in compliance with all applicable regulatory requirements. </w:t>
      </w:r>
    </w:p>
    <w:p w:rsidR="00743320" w:rsidRPr="00775168" w:rsidRDefault="00DF7F26">
      <w:pPr>
        <w:pStyle w:val="P68B1DB1-265"/>
        <w:rPr>
          <w:rFonts w:ascii="Times New Roman" w:eastAsia="宋体" w:hAnsi="Times New Roman" w:cs="Times New Roman"/>
        </w:rPr>
      </w:pPr>
      <w:bookmarkStart w:id="313" w:name="_Toc178589712"/>
      <w:bookmarkStart w:id="314" w:name="_Toc512940981"/>
      <w:bookmarkStart w:id="315" w:name="_Toc512941735"/>
      <w:r w:rsidRPr="00775168">
        <w:rPr>
          <w:rFonts w:ascii="Times New Roman" w:eastAsia="宋体" w:hAnsi="Times New Roman" w:cs="宋体"/>
        </w:rPr>
        <w:t>11.2 Ethical Guidelines</w:t>
      </w:r>
      <w:bookmarkEnd w:id="313"/>
      <w:r w:rsidRPr="00775168">
        <w:rPr>
          <w:rFonts w:ascii="Times New Roman" w:eastAsia="宋体" w:hAnsi="Times New Roman" w:cs="宋体"/>
        </w:rPr>
        <w:t xml:space="preserve"> </w:t>
      </w:r>
      <w:bookmarkEnd w:id="314"/>
      <w:bookmarkEnd w:id="315"/>
    </w:p>
    <w:p w:rsidR="00743320" w:rsidRPr="00775168" w:rsidRDefault="00DF7F26">
      <w:pPr>
        <w:pStyle w:val="P68B1DB1-Default45"/>
        <w:spacing w:line="360" w:lineRule="auto"/>
        <w:ind w:firstLine="459"/>
        <w:jc w:val="both"/>
        <w:rPr>
          <w:rFonts w:cs="Times New Roman" w:hint="default"/>
        </w:rPr>
      </w:pPr>
      <w:r w:rsidRPr="00775168">
        <w:t xml:space="preserve">This clinical trial must comply with the Declaration of Helsinki (1996 Edition), Good Clinical Practice (GCP) issued by CFDA [15] and relevant regulations. </w:t>
      </w:r>
    </w:p>
    <w:p w:rsidR="00743320" w:rsidRPr="00775168" w:rsidRDefault="00DF7F26">
      <w:pPr>
        <w:pStyle w:val="P68B1DB1-265"/>
        <w:rPr>
          <w:rFonts w:ascii="Times New Roman" w:eastAsia="宋体" w:hAnsi="Times New Roman" w:cs="Times New Roman"/>
        </w:rPr>
      </w:pPr>
      <w:bookmarkStart w:id="316" w:name="_Toc178589713"/>
      <w:bookmarkStart w:id="317" w:name="_Toc512941736"/>
      <w:bookmarkStart w:id="318" w:name="_Toc512940982"/>
      <w:r w:rsidRPr="00775168">
        <w:rPr>
          <w:rFonts w:ascii="Times New Roman" w:eastAsia="宋体" w:hAnsi="Times New Roman" w:cs="宋体"/>
        </w:rPr>
        <w:t>11.3 Ethics Committee</w:t>
      </w:r>
      <w:bookmarkEnd w:id="316"/>
      <w:r w:rsidRPr="00775168">
        <w:rPr>
          <w:rFonts w:ascii="Times New Roman" w:eastAsia="宋体" w:hAnsi="Times New Roman" w:cs="宋体"/>
        </w:rPr>
        <w:t xml:space="preserve"> </w:t>
      </w:r>
      <w:bookmarkEnd w:id="317"/>
      <w:bookmarkEnd w:id="318"/>
    </w:p>
    <w:p w:rsidR="00743320" w:rsidRPr="00775168" w:rsidRDefault="00DF7F26">
      <w:pPr>
        <w:pStyle w:val="P68B1DB1-Default45"/>
        <w:spacing w:line="360" w:lineRule="auto"/>
        <w:ind w:firstLine="459"/>
        <w:jc w:val="both"/>
        <w:rPr>
          <w:rFonts w:cs="Times New Roman" w:hint="default"/>
        </w:rPr>
      </w:pPr>
      <w:r w:rsidRPr="00775168">
        <w:t xml:space="preserve">The study protocol should be reviewed and approved by the Ethics Committee of each central hospital before implementation. Upon review by the Ethics Committee, the co-organizer and investigators shall provide relevant clinical trial documents to the Ethics Committee, including but not limited to: Application Form to Ethics Committee, Delegation Letter for Clinical Study, Members of Clinical Trial Study Group, Quality Inspection Report of Investigational Drug, Template of Informed Consent Form, Clinical Trial Protocol, Case Report Form (CRF), Investigator's Brochure for clinicians' reference and other documents. During the clinical study, any amendments to the study protocol shall be reported to the Ethics Committee and filed. </w:t>
      </w:r>
    </w:p>
    <w:p w:rsidR="00743320" w:rsidRPr="00775168" w:rsidRDefault="00DF7F26">
      <w:pPr>
        <w:pStyle w:val="P68B1DB1-265"/>
        <w:rPr>
          <w:rFonts w:ascii="Times New Roman" w:eastAsia="宋体" w:hAnsi="Times New Roman" w:cs="Times New Roman"/>
        </w:rPr>
      </w:pPr>
      <w:bookmarkStart w:id="319" w:name="_Toc178589714"/>
      <w:bookmarkStart w:id="320" w:name="_Toc512940983"/>
      <w:bookmarkStart w:id="321" w:name="_Toc512941737"/>
      <w:r w:rsidRPr="00775168">
        <w:rPr>
          <w:rFonts w:ascii="Times New Roman" w:eastAsia="宋体" w:hAnsi="Times New Roman" w:cs="宋体"/>
        </w:rPr>
        <w:t>11.4 Informed Consent</w:t>
      </w:r>
      <w:bookmarkEnd w:id="319"/>
      <w:r w:rsidRPr="00775168">
        <w:rPr>
          <w:rFonts w:ascii="Times New Roman" w:eastAsia="宋体" w:hAnsi="Times New Roman" w:cs="宋体"/>
        </w:rPr>
        <w:t xml:space="preserve"> </w:t>
      </w:r>
      <w:bookmarkEnd w:id="320"/>
      <w:bookmarkEnd w:id="321"/>
    </w:p>
    <w:p w:rsidR="00743320" w:rsidRPr="00775168" w:rsidRDefault="00DF7F26">
      <w:pPr>
        <w:pStyle w:val="P68B1DB1-Default45"/>
        <w:spacing w:line="360" w:lineRule="auto"/>
        <w:ind w:firstLine="459"/>
        <w:jc w:val="both"/>
        <w:rPr>
          <w:rFonts w:cs="Times New Roman" w:hint="default"/>
        </w:rPr>
      </w:pPr>
      <w:r w:rsidRPr="00775168">
        <w:t xml:space="preserve">The subjects must give informed consent to participate in this trial before receiving the study treatment, so as to protect the legal rights and interests of the subjects. The investigator is responsible for introducing the purpose of this study, drug effect, possible toxic and side effects and possible risks to the subjects or their designated representatives in a complete and comprehensive manner, and should let the subjects know their rights, risks and benefits. Talking is an important informed consent process. If the subject and his/her legal representative are illiterate, witnesses should participate in the informed consent process. After the subject or his/her legal representative gives verbal consent, the informed consent form should be signed by the witnesses. The signature of the witnesses should be on the same day as the subject's signature. The ICF should be indicated with the version and preparation date or modification date. </w:t>
      </w:r>
    </w:p>
    <w:p w:rsidR="00743320" w:rsidRPr="00775168" w:rsidRDefault="00DF7F26">
      <w:pPr>
        <w:pStyle w:val="P68B1DB1-265"/>
        <w:rPr>
          <w:rFonts w:ascii="Times New Roman" w:eastAsia="宋体" w:hAnsi="Times New Roman" w:cs="Times New Roman"/>
        </w:rPr>
      </w:pPr>
      <w:bookmarkStart w:id="322" w:name="_Toc178589715"/>
      <w:bookmarkStart w:id="323" w:name="_Toc512941738"/>
      <w:bookmarkStart w:id="324" w:name="_Toc512940984"/>
      <w:r w:rsidRPr="00775168">
        <w:rPr>
          <w:rFonts w:ascii="Times New Roman" w:eastAsia="宋体" w:hAnsi="Times New Roman" w:cs="宋体"/>
        </w:rPr>
        <w:lastRenderedPageBreak/>
        <w:t>11.5 Confidentiality of Subject Information</w:t>
      </w:r>
      <w:bookmarkEnd w:id="322"/>
      <w:r w:rsidRPr="00775168">
        <w:rPr>
          <w:rFonts w:ascii="Times New Roman" w:eastAsia="宋体" w:hAnsi="Times New Roman" w:cs="宋体"/>
        </w:rPr>
        <w:t xml:space="preserve"> </w:t>
      </w:r>
      <w:bookmarkEnd w:id="323"/>
      <w:bookmarkEnd w:id="324"/>
    </w:p>
    <w:p w:rsidR="00743320" w:rsidRPr="00775168" w:rsidRDefault="00DF7F26">
      <w:pPr>
        <w:pStyle w:val="P68B1DB1-Default45"/>
        <w:spacing w:line="360" w:lineRule="auto"/>
        <w:ind w:firstLine="459"/>
        <w:jc w:val="both"/>
        <w:rPr>
          <w:rFonts w:cs="Times New Roman" w:hint="default"/>
        </w:rPr>
      </w:pPr>
      <w:r w:rsidRPr="00775168">
        <w:t xml:space="preserve">Every effort will be made to protect the personal privacy of all subjects during the course of this study, and the names of subjects will not be included in the Sponsor's forms, study reports, publications, and any other publicly available materials, unless required by law. This study will transmit data in a highly confidential manner in order to protect the personal data of the subjects from leakage. </w:t>
      </w:r>
    </w:p>
    <w:p w:rsidR="00743320" w:rsidRPr="00775168" w:rsidRDefault="00DF7F26">
      <w:pPr>
        <w:pStyle w:val="P68B1DB1-a033"/>
      </w:pPr>
      <w:bookmarkStart w:id="325" w:name="_Toc512941739"/>
      <w:bookmarkStart w:id="326" w:name="_Toc512940985"/>
      <w:r w:rsidRPr="00775168">
        <w:br w:type="page"/>
      </w:r>
    </w:p>
    <w:p w:rsidR="00743320" w:rsidRPr="00775168" w:rsidRDefault="00DF7F26">
      <w:pPr>
        <w:pStyle w:val="P68B1DB1-116"/>
        <w:rPr>
          <w:rFonts w:ascii="Times New Roman" w:hAnsi="Times New Roman" w:cs="Times New Roman" w:hint="default"/>
        </w:rPr>
      </w:pPr>
      <w:bookmarkStart w:id="327" w:name="_Toc178589716"/>
      <w:r w:rsidRPr="00775168">
        <w:rPr>
          <w:rFonts w:ascii="Times New Roman" w:hAnsi="Times New Roman"/>
        </w:rPr>
        <w:lastRenderedPageBreak/>
        <w:t>12</w:t>
      </w:r>
      <w:r w:rsidR="0040703B">
        <w:rPr>
          <w:rFonts w:ascii="Times New Roman" w:hAnsi="Times New Roman" w:hint="default"/>
        </w:rPr>
        <w:t xml:space="preserve">. </w:t>
      </w:r>
      <w:r w:rsidR="0040703B" w:rsidRPr="00775168">
        <w:rPr>
          <w:rFonts w:ascii="Times New Roman" w:hAnsi="Times New Roman" w:hint="default"/>
        </w:rPr>
        <w:t>Study Management</w:t>
      </w:r>
      <w:bookmarkEnd w:id="327"/>
      <w:r w:rsidR="0040703B" w:rsidRPr="00775168">
        <w:rPr>
          <w:rFonts w:ascii="Times New Roman" w:hAnsi="Times New Roman" w:hint="default"/>
        </w:rPr>
        <w:t xml:space="preserve"> </w:t>
      </w:r>
      <w:bookmarkEnd w:id="325"/>
      <w:bookmarkEnd w:id="326"/>
    </w:p>
    <w:p w:rsidR="00743320" w:rsidRPr="00775168" w:rsidRDefault="00DF7F26">
      <w:pPr>
        <w:pStyle w:val="P68B1DB1-265"/>
        <w:rPr>
          <w:rFonts w:ascii="Times New Roman" w:eastAsia="宋体" w:hAnsi="Times New Roman" w:cs="Times New Roman"/>
        </w:rPr>
      </w:pPr>
      <w:bookmarkStart w:id="328" w:name="_Toc178589717"/>
      <w:bookmarkStart w:id="329" w:name="_Toc512940986"/>
      <w:bookmarkStart w:id="330" w:name="_Toc512941740"/>
      <w:r w:rsidRPr="00775168">
        <w:rPr>
          <w:rFonts w:ascii="Times New Roman" w:eastAsia="宋体" w:hAnsi="Times New Roman" w:cs="宋体"/>
        </w:rPr>
        <w:t>12.1 Study Management Organization</w:t>
      </w:r>
      <w:bookmarkEnd w:id="328"/>
      <w:r w:rsidRPr="00775168">
        <w:rPr>
          <w:rFonts w:ascii="Times New Roman" w:eastAsia="宋体" w:hAnsi="Times New Roman" w:cs="宋体"/>
        </w:rPr>
        <w:t xml:space="preserve"> </w:t>
      </w:r>
      <w:bookmarkEnd w:id="329"/>
      <w:bookmarkEnd w:id="330"/>
    </w:p>
    <w:p w:rsidR="00743320" w:rsidRPr="00775168" w:rsidRDefault="00DF7F26">
      <w:pPr>
        <w:pStyle w:val="P68B1DB1-Default45"/>
        <w:spacing w:line="360" w:lineRule="auto"/>
        <w:ind w:firstLine="459"/>
        <w:jc w:val="both"/>
        <w:rPr>
          <w:rFonts w:cs="Times New Roman" w:hint="default"/>
        </w:rPr>
      </w:pPr>
      <w:r w:rsidRPr="00775168">
        <w:t xml:space="preserve">This study is planned to be conducted simultaneously in about 10-20 clinical study units in China. Clinical monitoring of this study was performed by Chia Tai Tianqing Pharmaceutical Group Co., Ltd. Third party responsible for statistical analysis. </w:t>
      </w:r>
    </w:p>
    <w:p w:rsidR="00743320" w:rsidRPr="00775168" w:rsidRDefault="00DF7F26">
      <w:pPr>
        <w:pStyle w:val="P68B1DB1-265"/>
        <w:rPr>
          <w:rFonts w:ascii="Times New Roman" w:eastAsia="宋体" w:hAnsi="Times New Roman" w:cs="Times New Roman"/>
        </w:rPr>
      </w:pPr>
      <w:bookmarkStart w:id="331" w:name="_Toc178589718"/>
      <w:bookmarkStart w:id="332" w:name="_Toc512941741"/>
      <w:bookmarkStart w:id="333" w:name="_Toc512940987"/>
      <w:r w:rsidRPr="00775168">
        <w:rPr>
          <w:rFonts w:ascii="Times New Roman" w:eastAsia="宋体" w:hAnsi="Times New Roman" w:cs="宋体"/>
        </w:rPr>
        <w:t>12.2 Standardized Operation</w:t>
      </w:r>
      <w:bookmarkEnd w:id="331"/>
      <w:r w:rsidRPr="00775168">
        <w:rPr>
          <w:rFonts w:ascii="Times New Roman" w:eastAsia="宋体" w:hAnsi="Times New Roman" w:cs="宋体"/>
        </w:rPr>
        <w:t xml:space="preserve"> </w:t>
      </w:r>
      <w:bookmarkEnd w:id="332"/>
      <w:bookmarkEnd w:id="333"/>
    </w:p>
    <w:p w:rsidR="00743320" w:rsidRPr="00775168" w:rsidRDefault="00DF7F26">
      <w:pPr>
        <w:pStyle w:val="P68B1DB1-Default45"/>
        <w:spacing w:line="360" w:lineRule="auto"/>
        <w:ind w:firstLine="459"/>
        <w:jc w:val="both"/>
        <w:rPr>
          <w:rFonts w:cs="Times New Roman" w:hint="default"/>
        </w:rPr>
      </w:pPr>
      <w:r w:rsidRPr="00775168">
        <w:t xml:space="preserve">The sponsor complies with the provisions of GCP (2003 Edition) and Provisions for Drug Registration. The investigational drug is prepared in the workshop meeting GMP conditions and subject to strict quality inspection. Laboratory tests will be performed by each study site according to standard operating procedures (SOPs). The laboratory examination methods and quality control of each trial site shall be unified. The clinical laboratory of each test center shall carry out indoor quality control as required and obtain the quality evaluation certificate of the Clinical Laboratory Center of the Ministry of Health. </w:t>
      </w:r>
    </w:p>
    <w:p w:rsidR="00743320" w:rsidRPr="00775168" w:rsidRDefault="00DF7F26">
      <w:pPr>
        <w:pStyle w:val="P68B1DB1-265"/>
        <w:rPr>
          <w:rFonts w:ascii="Times New Roman" w:eastAsia="宋体" w:hAnsi="Times New Roman" w:cs="Times New Roman"/>
        </w:rPr>
      </w:pPr>
      <w:bookmarkStart w:id="334" w:name="_Toc178589719"/>
      <w:bookmarkStart w:id="335" w:name="_Toc512941742"/>
      <w:bookmarkStart w:id="336" w:name="_Toc512940988"/>
      <w:r w:rsidRPr="00775168">
        <w:rPr>
          <w:rFonts w:ascii="Times New Roman" w:eastAsia="宋体" w:hAnsi="Times New Roman" w:cs="宋体"/>
        </w:rPr>
        <w:t>12.3 Training</w:t>
      </w:r>
      <w:bookmarkEnd w:id="334"/>
      <w:r w:rsidRPr="00775168">
        <w:rPr>
          <w:rFonts w:ascii="Times New Roman" w:eastAsia="宋体" w:hAnsi="Times New Roman" w:cs="宋体"/>
        </w:rPr>
        <w:t xml:space="preserve"> </w:t>
      </w:r>
      <w:bookmarkEnd w:id="335"/>
      <w:bookmarkEnd w:id="336"/>
    </w:p>
    <w:p w:rsidR="00743320" w:rsidRPr="00775168" w:rsidRDefault="00DF7F26">
      <w:pPr>
        <w:pStyle w:val="P68B1DB1-Default45"/>
        <w:spacing w:line="360" w:lineRule="auto"/>
        <w:ind w:firstLine="459"/>
        <w:jc w:val="both"/>
        <w:rPr>
          <w:rFonts w:cs="Times New Roman" w:hint="default"/>
        </w:rPr>
      </w:pPr>
      <w:r w:rsidRPr="00775168">
        <w:t xml:space="preserve">According to the GCP principles, the clinical research associate should have the qualification recognized by the sponsor; before the start of the clinical trial, the responsible person of each trial site should train the investigator on the trial protocol, be familiar with and understand the content of this clinical trial protocol, master the GCP principles, unify the recording method and judgment criteria, and implement the trial in strict accordance with the protocol. </w:t>
      </w:r>
    </w:p>
    <w:p w:rsidR="00743320" w:rsidRPr="00775168" w:rsidRDefault="00DF7F26">
      <w:pPr>
        <w:pStyle w:val="P68B1DB1-265"/>
        <w:rPr>
          <w:rFonts w:ascii="Times New Roman" w:eastAsia="宋体" w:hAnsi="Times New Roman" w:cs="Times New Roman"/>
        </w:rPr>
      </w:pPr>
      <w:bookmarkStart w:id="337" w:name="_Toc178589720"/>
      <w:bookmarkStart w:id="338" w:name="_Toc512941743"/>
      <w:bookmarkStart w:id="339" w:name="_Toc512940989"/>
      <w:r w:rsidRPr="00775168">
        <w:rPr>
          <w:rFonts w:ascii="Times New Roman" w:eastAsia="宋体" w:hAnsi="Times New Roman" w:cs="宋体"/>
        </w:rPr>
        <w:t>12.4 Clinical Monitoring</w:t>
      </w:r>
      <w:bookmarkEnd w:id="337"/>
      <w:r w:rsidRPr="00775168">
        <w:rPr>
          <w:rFonts w:ascii="Times New Roman" w:eastAsia="宋体" w:hAnsi="Times New Roman" w:cs="宋体"/>
        </w:rPr>
        <w:t xml:space="preserve"> </w:t>
      </w:r>
      <w:bookmarkEnd w:id="338"/>
      <w:bookmarkEnd w:id="339"/>
    </w:p>
    <w:p w:rsidR="00743320" w:rsidRPr="00775168" w:rsidRDefault="00DF7F26">
      <w:pPr>
        <w:pStyle w:val="P68B1DB1-Default45"/>
        <w:spacing w:line="360" w:lineRule="auto"/>
        <w:ind w:firstLine="459"/>
        <w:jc w:val="both"/>
        <w:rPr>
          <w:rFonts w:cs="Times New Roman" w:hint="default"/>
        </w:rPr>
      </w:pPr>
      <w:r w:rsidRPr="00775168">
        <w:t xml:space="preserve">The monitor must follow the Good Clinical Practice (GCP) and standard operating procedures (SOPs), visit the study site regularly or according to the actual situation to conduct clinical monitoring, supervise and urge the progress of the clinical trial, inspect and confirm the correctness and completeness of all data records and reports and case report form input, which are consistent with the original data, to ensure that the clinical trial is conducted according to the clinical trial protocol, and the investigator should actively cooperate with the monitor. Specific contents of CRA include: </w:t>
      </w:r>
    </w:p>
    <w:p w:rsidR="00743320" w:rsidRPr="00775168" w:rsidRDefault="00DF7F26">
      <w:pPr>
        <w:pStyle w:val="P68B1DB1-Default45"/>
        <w:numPr>
          <w:ilvl w:val="0"/>
          <w:numId w:val="31"/>
        </w:numPr>
        <w:spacing w:line="360" w:lineRule="auto"/>
        <w:jc w:val="both"/>
        <w:rPr>
          <w:rFonts w:cs="Times New Roman" w:hint="default"/>
        </w:rPr>
      </w:pPr>
      <w:r w:rsidRPr="00775168">
        <w:t xml:space="preserve">Prior to the trial, confirm that the institution undertaking the trial has been equipped with appropriate conditions, including personnel allocation and training, the laboratory equipment is complete and in good operation, the laboratory is equipped with various examination conditions related to the trial, it is estimated that there will be enough subjects, and the investigators are </w:t>
      </w:r>
      <w:r w:rsidRPr="00775168">
        <w:lastRenderedPageBreak/>
        <w:t xml:space="preserve">familiar with the requirements in the trial protocol; </w:t>
      </w:r>
    </w:p>
    <w:p w:rsidR="00743320" w:rsidRPr="00775168" w:rsidRDefault="00DF7F26">
      <w:pPr>
        <w:pStyle w:val="P68B1DB1-Default45"/>
        <w:numPr>
          <w:ilvl w:val="0"/>
          <w:numId w:val="31"/>
        </w:numPr>
        <w:spacing w:line="360" w:lineRule="auto"/>
        <w:jc w:val="both"/>
        <w:rPr>
          <w:rFonts w:cs="Times New Roman" w:hint="default"/>
        </w:rPr>
      </w:pPr>
      <w:r w:rsidRPr="00775168">
        <w:t xml:space="preserve">Monitor the implementation of the trial protocol by the investigator during the trial, confirm that the informed consent form is obtained from all subjects before the trial, understand the progress of the subject inclusion in the trial, and confirm that the included subjects are eligible; </w:t>
      </w:r>
    </w:p>
    <w:p w:rsidR="00743320" w:rsidRPr="00775168" w:rsidRDefault="00DF7F26">
      <w:pPr>
        <w:pStyle w:val="P68B1DB1-Default45"/>
        <w:numPr>
          <w:ilvl w:val="0"/>
          <w:numId w:val="31"/>
        </w:numPr>
        <w:spacing w:line="360" w:lineRule="auto"/>
        <w:jc w:val="both"/>
        <w:rPr>
          <w:rFonts w:cs="Times New Roman" w:hint="default"/>
        </w:rPr>
      </w:pPr>
      <w:r w:rsidRPr="00775168">
        <w:t xml:space="preserve">Confirm that all data records and reports are correct and complete, and all individual case report forms are entered correctly and consistent with the raw data. All errors or omissions have been corrected or indicated, and signed and dated by the investigator. Dose changes, treatment changes, concomitant medications, intercurrent illnesses, missed visits, and missed tests should be confirmed and documented for each subject. Verify that the withdrawal and lost to follow-up of the included subjects have been explained in the case report form; </w:t>
      </w:r>
    </w:p>
    <w:p w:rsidR="00743320" w:rsidRPr="00775168" w:rsidRDefault="00DF7F26">
      <w:pPr>
        <w:pStyle w:val="P68B1DB1-Default45"/>
        <w:numPr>
          <w:ilvl w:val="0"/>
          <w:numId w:val="31"/>
        </w:numPr>
        <w:spacing w:line="360" w:lineRule="auto"/>
        <w:jc w:val="both"/>
        <w:rPr>
          <w:rFonts w:cs="Times New Roman" w:hint="default"/>
        </w:rPr>
      </w:pPr>
      <w:r w:rsidRPr="00775168">
        <w:t xml:space="preserve">Confirm that all adverse events are recorded, and serious adverse events are reported and recorded within the specified time; verify that the investigational drugs are supplied, stored, distributed and taken back in accordance with relevant regulations, and corresponding records are made; </w:t>
      </w:r>
    </w:p>
    <w:p w:rsidR="00743320" w:rsidRPr="00775168" w:rsidRDefault="00DF7F26">
      <w:pPr>
        <w:pStyle w:val="P68B1DB1-Default45"/>
        <w:numPr>
          <w:ilvl w:val="0"/>
          <w:numId w:val="31"/>
        </w:numPr>
        <w:spacing w:line="360" w:lineRule="auto"/>
        <w:jc w:val="both"/>
        <w:rPr>
          <w:rFonts w:cs="Times New Roman" w:hint="default"/>
        </w:rPr>
      </w:pPr>
      <w:r w:rsidRPr="00775168">
        <w:t xml:space="preserve">It is required to clearly and faithfully record the visits, tests and examinations not performed by the investigators and whether the errors and omissions are corrected; </w:t>
      </w:r>
    </w:p>
    <w:p w:rsidR="00743320" w:rsidRPr="00775168" w:rsidRDefault="00DF7F26">
      <w:pPr>
        <w:pStyle w:val="P68B1DB1-Default45"/>
        <w:numPr>
          <w:ilvl w:val="0"/>
          <w:numId w:val="31"/>
        </w:numPr>
        <w:spacing w:line="360" w:lineRule="auto"/>
        <w:jc w:val="both"/>
        <w:rPr>
          <w:rFonts w:cs="Times New Roman" w:hint="default"/>
        </w:rPr>
      </w:pPr>
      <w:r w:rsidRPr="00775168">
        <w:t xml:space="preserve">A written monitoring report shall be completed after each visit, stating the date and time of monitoring, name of the monitor, and findings of monitoring. </w:t>
      </w:r>
    </w:p>
    <w:p w:rsidR="00743320" w:rsidRPr="00775168" w:rsidRDefault="00DF7F26">
      <w:pPr>
        <w:pStyle w:val="P68B1DB1-265"/>
        <w:rPr>
          <w:rFonts w:ascii="Times New Roman" w:eastAsia="宋体" w:hAnsi="Times New Roman" w:cs="Times New Roman"/>
        </w:rPr>
      </w:pPr>
      <w:bookmarkStart w:id="340" w:name="_Toc178589721"/>
      <w:bookmarkStart w:id="341" w:name="_Toc512941744"/>
      <w:bookmarkStart w:id="342" w:name="_Toc512940990"/>
      <w:r w:rsidRPr="00775168">
        <w:rPr>
          <w:rFonts w:ascii="Times New Roman" w:eastAsia="宋体" w:hAnsi="Times New Roman" w:cs="宋体"/>
        </w:rPr>
        <w:t>12.5 Recording and Retention of Study Data</w:t>
      </w:r>
      <w:bookmarkEnd w:id="340"/>
      <w:r w:rsidRPr="00775168">
        <w:rPr>
          <w:rFonts w:ascii="Times New Roman" w:eastAsia="宋体" w:hAnsi="Times New Roman" w:cs="宋体"/>
        </w:rPr>
        <w:t xml:space="preserve"> </w:t>
      </w:r>
      <w:bookmarkEnd w:id="341"/>
      <w:bookmarkEnd w:id="342"/>
    </w:p>
    <w:p w:rsidR="00743320" w:rsidRPr="00775168" w:rsidRDefault="00DF7F26">
      <w:pPr>
        <w:pStyle w:val="P68B1DB1-Default45"/>
        <w:spacing w:line="360" w:lineRule="auto"/>
        <w:ind w:firstLine="459"/>
        <w:jc w:val="both"/>
        <w:rPr>
          <w:rFonts w:cs="Times New Roman" w:hint="default"/>
        </w:rPr>
      </w:pPr>
      <w:r w:rsidRPr="00775168">
        <w:t xml:space="preserve">In accordance with the GCP principles, the investigator should keep all the detailed source documents of the subjects, and record the contents related to the trial process, medication, laboratory test data, safety data and efficacy assessment in the case report form. The recorded data should be complete, timely and clear. Original documents and medical records shall be clear and detailed and easily identified by the personnel participating in this clinical trial. </w:t>
      </w:r>
    </w:p>
    <w:p w:rsidR="00743320" w:rsidRPr="00775168" w:rsidRDefault="00DF7F26">
      <w:pPr>
        <w:pStyle w:val="P68B1DB1-Default45"/>
        <w:spacing w:line="360" w:lineRule="auto"/>
        <w:ind w:firstLine="459"/>
        <w:jc w:val="both"/>
        <w:rPr>
          <w:rFonts w:cs="Times New Roman" w:hint="default"/>
        </w:rPr>
      </w:pPr>
      <w:r w:rsidRPr="00775168">
        <w:t xml:space="preserve">Case report forms and original files can only be modified by the investigator. Any modification to case report form and original file shall not erase the original data. The correct modification method is to draw a single line on the original data, write the modified data beside the original data, sign the date and the initials of the modifier. </w:t>
      </w:r>
    </w:p>
    <w:p w:rsidR="00743320" w:rsidRPr="00775168" w:rsidRDefault="00DF7F26">
      <w:pPr>
        <w:pStyle w:val="P68B1DB1-Default45"/>
        <w:spacing w:line="360" w:lineRule="auto"/>
        <w:ind w:firstLine="459"/>
        <w:jc w:val="both"/>
        <w:rPr>
          <w:rFonts w:cs="Times New Roman" w:hint="default"/>
        </w:rPr>
      </w:pPr>
      <w:r w:rsidRPr="00775168">
        <w:t xml:space="preserve">The trial data shall be retained for 5 years after the end of the trial and retained by the sponsor after 5 years. The sponsor will retain the trial data for at least two years after approval of the marketing application for the trial drug, or at least two years after formal discontinuation of trial drug development. </w:t>
      </w:r>
    </w:p>
    <w:p w:rsidR="00743320" w:rsidRPr="00775168" w:rsidRDefault="00DF7F26">
      <w:pPr>
        <w:pStyle w:val="P68B1DB1-Default45"/>
        <w:spacing w:line="360" w:lineRule="auto"/>
        <w:ind w:firstLine="459"/>
        <w:jc w:val="both"/>
        <w:rPr>
          <w:rFonts w:cs="Times New Roman" w:hint="default"/>
        </w:rPr>
      </w:pPr>
      <w:r w:rsidRPr="00775168">
        <w:t xml:space="preserve">If the principal investigator moves or retires, or no longer fulfills his/her study responsibilities, the sponsor must be notified so that appropriate action regarding the trial data can be taken. </w:t>
      </w:r>
    </w:p>
    <w:p w:rsidR="00743320" w:rsidRPr="00775168" w:rsidRDefault="00DF7F26">
      <w:pPr>
        <w:pStyle w:val="P68B1DB1-265"/>
        <w:rPr>
          <w:rFonts w:ascii="Times New Roman" w:eastAsia="宋体" w:hAnsi="Times New Roman" w:cs="Times New Roman"/>
        </w:rPr>
      </w:pPr>
      <w:bookmarkStart w:id="343" w:name="_Toc178589722"/>
      <w:bookmarkStart w:id="344" w:name="_Toc512941745"/>
      <w:bookmarkStart w:id="345" w:name="_Toc512940991"/>
      <w:r w:rsidRPr="00775168">
        <w:rPr>
          <w:rFonts w:ascii="Times New Roman" w:eastAsia="宋体" w:hAnsi="Times New Roman" w:cs="宋体"/>
        </w:rPr>
        <w:lastRenderedPageBreak/>
        <w:t>12.6 Quality Control and Quality Assurance</w:t>
      </w:r>
      <w:bookmarkEnd w:id="343"/>
      <w:r w:rsidRPr="00775168">
        <w:rPr>
          <w:rFonts w:ascii="Times New Roman" w:eastAsia="宋体" w:hAnsi="Times New Roman" w:cs="宋体"/>
        </w:rPr>
        <w:t xml:space="preserve"> </w:t>
      </w:r>
      <w:bookmarkEnd w:id="307"/>
      <w:bookmarkEnd w:id="308"/>
      <w:bookmarkEnd w:id="309"/>
      <w:bookmarkEnd w:id="344"/>
      <w:bookmarkEnd w:id="345"/>
    </w:p>
    <w:p w:rsidR="00743320" w:rsidRPr="00775168" w:rsidRDefault="00DF7F26">
      <w:pPr>
        <w:pStyle w:val="P68B1DB1-a017"/>
        <w:numPr>
          <w:ilvl w:val="0"/>
          <w:numId w:val="32"/>
        </w:numPr>
        <w:adjustRightInd w:val="0"/>
        <w:snapToGrid w:val="0"/>
        <w:spacing w:line="360" w:lineRule="auto"/>
        <w:rPr>
          <w:rFonts w:hAnsi="Times New Roman" w:hint="default"/>
        </w:rPr>
      </w:pPr>
      <w:r w:rsidRPr="00775168">
        <w:rPr>
          <w:rFonts w:hAnsi="Times New Roman"/>
        </w:rPr>
        <w:t xml:space="preserve">The clinical research unit must be a drug clinical research base with clinical research conditions determined by the China Food and Drug Administration; </w:t>
      </w:r>
    </w:p>
    <w:p w:rsidR="00743320" w:rsidRPr="00775168" w:rsidRDefault="00DF7F26">
      <w:pPr>
        <w:pStyle w:val="P68B1DB1-a017"/>
        <w:numPr>
          <w:ilvl w:val="0"/>
          <w:numId w:val="32"/>
        </w:numPr>
        <w:adjustRightInd w:val="0"/>
        <w:snapToGrid w:val="0"/>
        <w:spacing w:line="360" w:lineRule="auto"/>
        <w:rPr>
          <w:rFonts w:hAnsi="Times New Roman" w:hint="default"/>
        </w:rPr>
      </w:pPr>
      <w:r w:rsidRPr="00775168">
        <w:rPr>
          <w:rFonts w:hAnsi="Times New Roman"/>
        </w:rPr>
        <w:t xml:space="preserve">The investigators must be physicians trained in clinical trials and work under the guidance of senior professionals; </w:t>
      </w:r>
    </w:p>
    <w:p w:rsidR="00743320" w:rsidRPr="00775168" w:rsidRDefault="00DF7F26">
      <w:pPr>
        <w:pStyle w:val="P68B1DB1-a017"/>
        <w:numPr>
          <w:ilvl w:val="0"/>
          <w:numId w:val="32"/>
        </w:numPr>
        <w:adjustRightInd w:val="0"/>
        <w:snapToGrid w:val="0"/>
        <w:spacing w:line="360" w:lineRule="auto"/>
        <w:rPr>
          <w:rFonts w:hAnsi="Times New Roman" w:hint="default"/>
        </w:rPr>
      </w:pPr>
      <w:r w:rsidRPr="00775168">
        <w:rPr>
          <w:rFonts w:hAnsi="Times New Roman"/>
        </w:rPr>
        <w:t xml:space="preserve">The examination of clinical wards before the test must meet the standardization requirements to ensure that the rescue equipment is complete; </w:t>
      </w:r>
    </w:p>
    <w:p w:rsidR="00743320" w:rsidRPr="00775168" w:rsidRDefault="00DF7F26">
      <w:pPr>
        <w:pStyle w:val="P68B1DB1-a017"/>
        <w:numPr>
          <w:ilvl w:val="0"/>
          <w:numId w:val="32"/>
        </w:numPr>
        <w:adjustRightInd w:val="0"/>
        <w:snapToGrid w:val="0"/>
        <w:spacing w:line="360" w:lineRule="auto"/>
        <w:rPr>
          <w:rFonts w:hAnsi="Times New Roman" w:hint="default"/>
        </w:rPr>
      </w:pPr>
      <w:r w:rsidRPr="00775168">
        <w:rPr>
          <w:rFonts w:hAnsi="Times New Roman"/>
        </w:rPr>
        <w:t xml:space="preserve">The professional nursing staff will give medication to the subjects to have a detailed understanding of the medication and ensure the compliance of the subjects; </w:t>
      </w:r>
    </w:p>
    <w:p w:rsidR="00743320" w:rsidRPr="00775168" w:rsidRDefault="00DF7F26">
      <w:pPr>
        <w:pStyle w:val="P68B1DB1-a017"/>
        <w:numPr>
          <w:ilvl w:val="0"/>
          <w:numId w:val="32"/>
        </w:numPr>
        <w:adjustRightInd w:val="0"/>
        <w:snapToGrid w:val="0"/>
        <w:spacing w:line="360" w:lineRule="auto"/>
        <w:rPr>
          <w:rFonts w:hAnsi="Times New Roman" w:hint="default"/>
        </w:rPr>
      </w:pPr>
      <w:r w:rsidRPr="00775168">
        <w:rPr>
          <w:rFonts w:hAnsi="Times New Roman"/>
        </w:rPr>
        <w:t xml:space="preserve">Each study site must conduct the study in strict accordance with the study protocol and truthfully fill in the case observation form; </w:t>
      </w:r>
    </w:p>
    <w:p w:rsidR="00743320" w:rsidRPr="00775168" w:rsidRDefault="00DF7F26">
      <w:pPr>
        <w:pStyle w:val="P68B1DB1-a017"/>
        <w:numPr>
          <w:ilvl w:val="0"/>
          <w:numId w:val="32"/>
        </w:numPr>
        <w:adjustRightInd w:val="0"/>
        <w:snapToGrid w:val="0"/>
        <w:spacing w:line="360" w:lineRule="auto"/>
        <w:rPr>
          <w:rFonts w:hAnsi="Times New Roman" w:hint="default"/>
        </w:rPr>
      </w:pPr>
      <w:r w:rsidRPr="00775168">
        <w:rPr>
          <w:rFonts w:hAnsi="Times New Roman"/>
        </w:rPr>
        <w:t xml:space="preserve">The monitor should supervise the conduct of the clinical trial in accordance with the standard operating procedures, confirm that all data records and reports are correct and complete, and that all case report forms are correctly filled in and consistent with the original data, so as to ensure that the trial is conducted according to the clinical study protocol; </w:t>
      </w:r>
    </w:p>
    <w:p w:rsidR="00743320" w:rsidRPr="00775168" w:rsidRDefault="00DF7F26">
      <w:pPr>
        <w:pStyle w:val="P68B1DB1-a023"/>
        <w:numPr>
          <w:ilvl w:val="0"/>
          <w:numId w:val="32"/>
        </w:numPr>
        <w:adjustRightInd w:val="0"/>
        <w:snapToGrid w:val="0"/>
        <w:spacing w:line="360" w:lineRule="auto"/>
        <w:rPr>
          <w:rFonts w:hAnsi="Times New Roman" w:hint="default"/>
        </w:rPr>
      </w:pPr>
      <w:r w:rsidRPr="00775168">
        <w:rPr>
          <w:rFonts w:hAnsi="Times New Roman"/>
        </w:rPr>
        <w:t xml:space="preserve">In case of any SAE, the monitor shall timely report to all the study sites, and temporarily stop the study when necessary; </w:t>
      </w:r>
    </w:p>
    <w:p w:rsidR="00743320" w:rsidRPr="00775168" w:rsidRDefault="00DF7F26">
      <w:pPr>
        <w:pStyle w:val="P68B1DB1-a017"/>
        <w:numPr>
          <w:ilvl w:val="0"/>
          <w:numId w:val="32"/>
        </w:numPr>
        <w:adjustRightInd w:val="0"/>
        <w:snapToGrid w:val="0"/>
        <w:spacing w:line="360" w:lineRule="auto"/>
        <w:rPr>
          <w:rFonts w:hAnsi="Times New Roman" w:hint="default"/>
        </w:rPr>
      </w:pPr>
      <w:r w:rsidRPr="00775168">
        <w:rPr>
          <w:rFonts w:hAnsi="Times New Roman"/>
        </w:rPr>
        <w:t xml:space="preserve">All study sites participating in the trial should be audited by the sponsor and drug regulatory authorities. It is particularly important that the investigators and relevant personnel provide convenience and time for monitoring and auditing. </w:t>
      </w:r>
    </w:p>
    <w:p w:rsidR="00743320" w:rsidRPr="00775168" w:rsidRDefault="00DF7F26">
      <w:pPr>
        <w:pStyle w:val="P68B1DB1-a033"/>
      </w:pPr>
      <w:bookmarkStart w:id="346" w:name="_Toc190163401"/>
      <w:bookmarkStart w:id="347" w:name="_Toc292713392"/>
      <w:bookmarkStart w:id="348" w:name="_Toc430282329"/>
      <w:bookmarkStart w:id="349" w:name="_Toc512940992"/>
      <w:bookmarkStart w:id="350" w:name="_Toc512941746"/>
      <w:r w:rsidRPr="00775168">
        <w:br w:type="page"/>
      </w:r>
    </w:p>
    <w:p w:rsidR="00743320" w:rsidRPr="00775168" w:rsidRDefault="00DF7F26">
      <w:pPr>
        <w:pStyle w:val="P68B1DB1-161"/>
        <w:rPr>
          <w:rFonts w:ascii="Times New Roman" w:hAnsi="Times New Roman" w:cs="Times New Roman"/>
        </w:rPr>
      </w:pPr>
      <w:bookmarkStart w:id="351" w:name="_Toc178589723"/>
      <w:r w:rsidRPr="00775168">
        <w:rPr>
          <w:rFonts w:ascii="Times New Roman" w:hAnsi="Times New Roman"/>
        </w:rPr>
        <w:lastRenderedPageBreak/>
        <w:t xml:space="preserve">13. </w:t>
      </w:r>
      <w:bookmarkEnd w:id="346"/>
      <w:bookmarkEnd w:id="347"/>
      <w:bookmarkEnd w:id="348"/>
      <w:r w:rsidRPr="00775168">
        <w:rPr>
          <w:rFonts w:ascii="Times New Roman" w:hAnsi="Times New Roman" w:hint="eastAsia"/>
        </w:rPr>
        <w:t>Publication of Study Results</w:t>
      </w:r>
      <w:bookmarkEnd w:id="351"/>
      <w:r w:rsidRPr="00775168">
        <w:rPr>
          <w:rFonts w:ascii="Times New Roman" w:hAnsi="Times New Roman" w:hint="eastAsia"/>
        </w:rPr>
        <w:t xml:space="preserve"> </w:t>
      </w:r>
      <w:bookmarkEnd w:id="349"/>
      <w:bookmarkEnd w:id="350"/>
    </w:p>
    <w:p w:rsidR="0040703B" w:rsidRDefault="00DF7F26">
      <w:pPr>
        <w:pStyle w:val="P68B1DB1-Default45"/>
        <w:spacing w:line="360" w:lineRule="auto"/>
        <w:ind w:firstLine="459"/>
        <w:jc w:val="both"/>
        <w:rPr>
          <w:rFonts w:hint="default"/>
        </w:rPr>
      </w:pPr>
      <w:r w:rsidRPr="00775168">
        <w:t xml:space="preserve">The ownership of study results shall be shared by the sponsor investigator and co-sponsor, Chia Tai Tianqing Pharmaceutical Group Co., Ltd. CHIA TAI TIANQING Pharmaceutical Group CO., LTD shall not limit the publication of any information collected or generated by the Investigator whether or not the result is favorable to the study drug. However, in order to prevent inadvertent disclosure of Confidential Information or unprotected inventions, the investigator should give the sponsor the opportunity to review any proposed publication or other form of publication before submission or publication. The Investigator should provide CHIA TAI TIANQING Pharmaceutical Group CO., LTD with the original manuscript, abstract or full text of any planned publication (poster, invited presentation or guest presentation) at least 30 days prior to submission for publication or other form of publication. If patenting is required to protect intellectual property rights, the Investigator shall agree to delay the release by no more than 60 days. Prior to publication, the investigator may be asked to remove any previously unpublished confidential information (other than study results). If the study is part of a multicenter study, the investigator agrees that the first publication is a comprehensive result of all sites. However, if the manuscript has not been submitted for publication of the comprehensive analysis within 12 months of completion or termination of the study at all sites, the investigator may independently publish the results based on other requirements in this section. </w:t>
      </w:r>
    </w:p>
    <w:p w:rsidR="0040703B" w:rsidRDefault="0040703B">
      <w:pPr>
        <w:widowControl/>
        <w:jc w:val="left"/>
        <w:rPr>
          <w:rFonts w:cs="宋体"/>
          <w:sz w:val="24"/>
        </w:rPr>
      </w:pPr>
      <w:r>
        <w:br w:type="page"/>
      </w:r>
    </w:p>
    <w:p w:rsidR="00743320" w:rsidRPr="00775168" w:rsidRDefault="00DF7F26">
      <w:pPr>
        <w:pStyle w:val="P68B1DB1-116"/>
        <w:rPr>
          <w:rFonts w:ascii="Times New Roman" w:hAnsi="Times New Roman" w:cs="Times New Roman" w:hint="default"/>
        </w:rPr>
      </w:pPr>
      <w:bookmarkStart w:id="352" w:name="_Toc178589724"/>
      <w:bookmarkStart w:id="353" w:name="_Toc512941747"/>
      <w:bookmarkStart w:id="354" w:name="_Toc512940993"/>
      <w:r w:rsidRPr="00775168">
        <w:rPr>
          <w:rFonts w:ascii="Times New Roman" w:hAnsi="Times New Roman"/>
        </w:rPr>
        <w:lastRenderedPageBreak/>
        <w:t>14</w:t>
      </w:r>
      <w:r w:rsidR="0040703B">
        <w:rPr>
          <w:rFonts w:ascii="Times New Roman" w:hAnsi="Times New Roman" w:hint="default"/>
        </w:rPr>
        <w:t xml:space="preserve">. </w:t>
      </w:r>
      <w:r w:rsidRPr="00775168">
        <w:rPr>
          <w:rFonts w:ascii="Times New Roman" w:hAnsi="Times New Roman"/>
        </w:rPr>
        <w:t xml:space="preserve">Clinical </w:t>
      </w:r>
      <w:r w:rsidR="0040703B">
        <w:rPr>
          <w:rFonts w:ascii="Times New Roman" w:hAnsi="Times New Roman" w:hint="default"/>
        </w:rPr>
        <w:t>S</w:t>
      </w:r>
      <w:r w:rsidRPr="00775168">
        <w:rPr>
          <w:rFonts w:ascii="Times New Roman" w:hAnsi="Times New Roman"/>
        </w:rPr>
        <w:t xml:space="preserve">tudy </w:t>
      </w:r>
      <w:r w:rsidR="0040703B">
        <w:rPr>
          <w:rFonts w:ascii="Times New Roman" w:hAnsi="Times New Roman" w:hint="default"/>
        </w:rPr>
        <w:t>P</w:t>
      </w:r>
      <w:r w:rsidRPr="00775168">
        <w:rPr>
          <w:rFonts w:ascii="Times New Roman" w:hAnsi="Times New Roman"/>
        </w:rPr>
        <w:t>rogress</w:t>
      </w:r>
      <w:bookmarkEnd w:id="352"/>
      <w:r w:rsidRPr="00775168">
        <w:rPr>
          <w:rFonts w:ascii="Times New Roman" w:hAnsi="Times New Roman"/>
        </w:rPr>
        <w:t xml:space="preserve"> </w:t>
      </w:r>
      <w:bookmarkEnd w:id="353"/>
      <w:bookmarkEnd w:id="354"/>
    </w:p>
    <w:p w:rsidR="00743320" w:rsidRPr="00775168" w:rsidRDefault="00DF7F26">
      <w:pPr>
        <w:pStyle w:val="P68B1DB1-Default45"/>
        <w:spacing w:line="360" w:lineRule="auto"/>
        <w:ind w:firstLine="459"/>
        <w:jc w:val="both"/>
        <w:rPr>
          <w:rFonts w:cs="Times New Roman" w:hint="default"/>
        </w:rPr>
      </w:pPr>
      <w:r w:rsidRPr="00775168">
        <w:t xml:space="preserve">Time of the first subject: September 2018; </w:t>
      </w:r>
    </w:p>
    <w:p w:rsidR="00743320" w:rsidRPr="00775168" w:rsidRDefault="00DF7F26">
      <w:pPr>
        <w:pStyle w:val="P68B1DB1-Default45"/>
        <w:spacing w:line="360" w:lineRule="auto"/>
        <w:ind w:firstLine="459"/>
        <w:jc w:val="both"/>
        <w:rPr>
          <w:rFonts w:cs="Times New Roman" w:hint="default"/>
        </w:rPr>
      </w:pPr>
      <w:r w:rsidRPr="00775168">
        <w:t xml:space="preserve">Estimated time for the last subject: September 2019; </w:t>
      </w:r>
    </w:p>
    <w:p w:rsidR="00743320" w:rsidRPr="00775168" w:rsidRDefault="00DF7F26">
      <w:pPr>
        <w:pStyle w:val="P68B1DB1-Default45"/>
        <w:spacing w:line="360" w:lineRule="auto"/>
        <w:ind w:firstLine="459"/>
        <w:jc w:val="both"/>
        <w:rPr>
          <w:rFonts w:cs="Times New Roman" w:hint="default"/>
        </w:rPr>
      </w:pPr>
      <w:r w:rsidRPr="00775168">
        <w:t xml:space="preserve">Estimated end time of study: September 2020; </w:t>
      </w:r>
    </w:p>
    <w:p w:rsidR="00743320" w:rsidRPr="00775168" w:rsidRDefault="00DF7F26">
      <w:pPr>
        <w:pStyle w:val="P68B1DB1-a033"/>
      </w:pPr>
      <w:bookmarkStart w:id="355" w:name="_Toc512941748"/>
      <w:bookmarkStart w:id="356" w:name="_Toc512940994"/>
      <w:r w:rsidRPr="00775168">
        <w:br w:type="page"/>
      </w:r>
    </w:p>
    <w:p w:rsidR="00743320" w:rsidRPr="00775168" w:rsidRDefault="00DF7F26">
      <w:pPr>
        <w:pStyle w:val="P68B1DB1-116"/>
        <w:rPr>
          <w:rFonts w:ascii="Times New Roman" w:hAnsi="Times New Roman" w:cs="Times New Roman" w:hint="default"/>
        </w:rPr>
      </w:pPr>
      <w:bookmarkStart w:id="357" w:name="_Toc178589725"/>
      <w:r w:rsidRPr="00775168">
        <w:rPr>
          <w:rFonts w:ascii="Times New Roman" w:hAnsi="Times New Roman"/>
        </w:rPr>
        <w:lastRenderedPageBreak/>
        <w:t>15</w:t>
      </w:r>
      <w:r w:rsidR="0040703B">
        <w:rPr>
          <w:rFonts w:ascii="Times New Roman" w:hAnsi="Times New Roman" w:hint="default"/>
        </w:rPr>
        <w:t xml:space="preserve">. </w:t>
      </w:r>
      <w:r w:rsidRPr="00775168">
        <w:rPr>
          <w:rFonts w:ascii="Times New Roman" w:hAnsi="Times New Roman"/>
        </w:rPr>
        <w:t xml:space="preserve">Study protocol </w:t>
      </w:r>
      <w:r w:rsidR="0040703B">
        <w:rPr>
          <w:rFonts w:ascii="Times New Roman" w:hAnsi="Times New Roman" w:hint="default"/>
        </w:rPr>
        <w:t>A</w:t>
      </w:r>
      <w:r w:rsidRPr="00775168">
        <w:rPr>
          <w:rFonts w:ascii="Times New Roman" w:hAnsi="Times New Roman"/>
        </w:rPr>
        <w:t xml:space="preserve">mendment and </w:t>
      </w:r>
      <w:r w:rsidR="0040703B">
        <w:rPr>
          <w:rFonts w:ascii="Times New Roman" w:hAnsi="Times New Roman" w:hint="default"/>
        </w:rPr>
        <w:t>A</w:t>
      </w:r>
      <w:r w:rsidRPr="00775168">
        <w:rPr>
          <w:rFonts w:ascii="Times New Roman" w:hAnsi="Times New Roman"/>
        </w:rPr>
        <w:t>pproval</w:t>
      </w:r>
      <w:bookmarkEnd w:id="357"/>
      <w:r w:rsidRPr="00775168">
        <w:rPr>
          <w:rFonts w:ascii="Times New Roman" w:hAnsi="Times New Roman"/>
        </w:rPr>
        <w:t xml:space="preserve"> </w:t>
      </w:r>
      <w:bookmarkEnd w:id="355"/>
      <w:bookmarkEnd w:id="356"/>
    </w:p>
    <w:p w:rsidR="0040703B"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The study protocol was jointly discussed and determined by the principal investigators participating in the clinical trial of each site. The study was implemented after approved by Chia Tai Tianqing Pharmaceutical Group Co., Ltd. and approved by the Ethics Committee of the leading site. During the clinical trial, any amendment to the trial protocol should be reported to the Ethics Committee for approval or filing. </w:t>
      </w:r>
    </w:p>
    <w:p w:rsidR="0040703B" w:rsidRDefault="0040703B">
      <w:pPr>
        <w:widowControl/>
        <w:jc w:val="left"/>
        <w:rPr>
          <w:sz w:val="24"/>
        </w:rPr>
      </w:pPr>
      <w:r>
        <w:br w:type="page"/>
      </w:r>
    </w:p>
    <w:p w:rsidR="00743320" w:rsidRPr="00775168" w:rsidRDefault="00DF7F26">
      <w:pPr>
        <w:pStyle w:val="P68B1DB1-116"/>
        <w:rPr>
          <w:rFonts w:ascii="Times New Roman" w:hAnsi="Times New Roman" w:cs="Times New Roman" w:hint="default"/>
        </w:rPr>
      </w:pPr>
      <w:bookmarkStart w:id="358" w:name="_Toc178589726"/>
      <w:bookmarkStart w:id="359" w:name="_Toc512940995"/>
      <w:bookmarkStart w:id="360" w:name="_Toc512941749"/>
      <w:bookmarkStart w:id="361" w:name="_Toc292713396"/>
      <w:bookmarkStart w:id="362" w:name="_Toc190163405"/>
      <w:bookmarkStart w:id="363" w:name="_Toc430282333"/>
      <w:r w:rsidRPr="00775168">
        <w:rPr>
          <w:rFonts w:ascii="Times New Roman" w:hAnsi="Times New Roman"/>
        </w:rPr>
        <w:lastRenderedPageBreak/>
        <w:t>16</w:t>
      </w:r>
      <w:r w:rsidR="0040703B">
        <w:rPr>
          <w:rFonts w:ascii="Times New Roman" w:hAnsi="Times New Roman" w:hint="default"/>
        </w:rPr>
        <w:t xml:space="preserve">. </w:t>
      </w:r>
      <w:r w:rsidRPr="00775168">
        <w:rPr>
          <w:rFonts w:ascii="Times New Roman" w:hAnsi="Times New Roman"/>
        </w:rPr>
        <w:t xml:space="preserve">Study </w:t>
      </w:r>
      <w:r w:rsidR="0040703B">
        <w:rPr>
          <w:rFonts w:ascii="Times New Roman" w:hAnsi="Times New Roman" w:hint="default"/>
        </w:rPr>
        <w:t>S</w:t>
      </w:r>
      <w:r w:rsidRPr="00775168">
        <w:rPr>
          <w:rFonts w:ascii="Times New Roman" w:hAnsi="Times New Roman"/>
        </w:rPr>
        <w:t xml:space="preserve">ite and </w:t>
      </w:r>
      <w:r w:rsidR="0040703B">
        <w:rPr>
          <w:rFonts w:ascii="Times New Roman" w:hAnsi="Times New Roman" w:hint="default"/>
        </w:rPr>
        <w:t>P</w:t>
      </w:r>
      <w:r w:rsidRPr="00775168">
        <w:rPr>
          <w:rFonts w:ascii="Times New Roman" w:hAnsi="Times New Roman"/>
        </w:rPr>
        <w:t>ersonnel</w:t>
      </w:r>
      <w:bookmarkEnd w:id="358"/>
      <w:r w:rsidRPr="00775168">
        <w:rPr>
          <w:rFonts w:ascii="Times New Roman" w:hAnsi="Times New Roman"/>
        </w:rPr>
        <w:t xml:space="preserve"> </w:t>
      </w:r>
      <w:bookmarkEnd w:id="359"/>
      <w:bookmarkEnd w:id="360"/>
      <w:bookmarkEnd w:id="361"/>
      <w:bookmarkEnd w:id="362"/>
      <w:bookmarkEnd w:id="363"/>
    </w:p>
    <w:p w:rsidR="00743320" w:rsidRPr="00775168" w:rsidRDefault="00DF7F26">
      <w:pPr>
        <w:pStyle w:val="P68B1DB1-265"/>
        <w:rPr>
          <w:rFonts w:ascii="Times New Roman" w:eastAsia="宋体" w:hAnsi="Times New Roman" w:cs="Times New Roman"/>
        </w:rPr>
      </w:pPr>
      <w:bookmarkStart w:id="364" w:name="_Toc190163406"/>
      <w:bookmarkStart w:id="365" w:name="_Toc178589727"/>
      <w:bookmarkStart w:id="366" w:name="_Toc512941750"/>
      <w:bookmarkStart w:id="367" w:name="_Toc512940996"/>
      <w:bookmarkStart w:id="368" w:name="_Toc292713397"/>
      <w:bookmarkStart w:id="369" w:name="_Toc430282334"/>
      <w:r w:rsidRPr="00775168">
        <w:rPr>
          <w:rFonts w:ascii="Times New Roman" w:eastAsia="宋体" w:hAnsi="Times New Roman" w:cs="宋体"/>
        </w:rPr>
        <w:t xml:space="preserve">16.1 </w:t>
      </w:r>
      <w:r w:rsidRPr="00775168">
        <w:rPr>
          <w:rFonts w:ascii="Times New Roman" w:eastAsia="宋体" w:hAnsi="Times New Roman" w:cs="宋体" w:hint="eastAsia"/>
        </w:rPr>
        <w:t xml:space="preserve">Study Site, Site Number, and Principal Investigator </w:t>
      </w:r>
      <w:bookmarkEnd w:id="364"/>
      <w:r w:rsidRPr="00775168">
        <w:rPr>
          <w:rFonts w:ascii="Times New Roman" w:eastAsia="宋体" w:hAnsi="Times New Roman" w:cs="宋体" w:hint="eastAsia"/>
        </w:rPr>
        <w:t>(Sort by Site Number)</w:t>
      </w:r>
      <w:bookmarkEnd w:id="365"/>
      <w:r w:rsidRPr="00775168">
        <w:rPr>
          <w:rFonts w:ascii="Times New Roman" w:eastAsia="宋体" w:hAnsi="Times New Roman" w:cs="宋体" w:hint="eastAsia"/>
        </w:rPr>
        <w:t xml:space="preserve"> </w:t>
      </w:r>
      <w:bookmarkEnd w:id="366"/>
      <w:bookmarkEnd w:id="367"/>
      <w:bookmarkEnd w:id="368"/>
      <w:bookmarkEnd w:id="369"/>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06"/>
        <w:gridCol w:w="2552"/>
        <w:gridCol w:w="1134"/>
        <w:gridCol w:w="1134"/>
      </w:tblGrid>
      <w:tr w:rsidR="00743320" w:rsidRPr="00775168" w:rsidTr="0040703B">
        <w:trPr>
          <w:trHeight w:val="533"/>
          <w:jc w:val="center"/>
        </w:trPr>
        <w:tc>
          <w:tcPr>
            <w:tcW w:w="4106" w:type="dxa"/>
            <w:vAlign w:val="center"/>
          </w:tcPr>
          <w:p w:rsidR="00743320" w:rsidRPr="00775168" w:rsidRDefault="00DF7F26">
            <w:pPr>
              <w:pStyle w:val="P68B1DB1-a017"/>
              <w:adjustRightInd w:val="0"/>
              <w:snapToGrid w:val="0"/>
              <w:jc w:val="center"/>
              <w:rPr>
                <w:rFonts w:hAnsi="Times New Roman" w:hint="default"/>
              </w:rPr>
            </w:pPr>
            <w:r w:rsidRPr="00775168">
              <w:rPr>
                <w:rFonts w:hAnsi="Times New Roman"/>
              </w:rPr>
              <w:t xml:space="preserve">Study site </w:t>
            </w:r>
          </w:p>
        </w:tc>
        <w:tc>
          <w:tcPr>
            <w:tcW w:w="2552" w:type="dxa"/>
            <w:vAlign w:val="center"/>
          </w:tcPr>
          <w:p w:rsidR="00743320" w:rsidRPr="00775168" w:rsidRDefault="00DF7F26">
            <w:pPr>
              <w:pStyle w:val="P68B1DB1-a017"/>
              <w:adjustRightInd w:val="0"/>
              <w:snapToGrid w:val="0"/>
              <w:jc w:val="center"/>
              <w:rPr>
                <w:rFonts w:hAnsi="Times New Roman" w:hint="default"/>
              </w:rPr>
            </w:pPr>
            <w:r w:rsidRPr="00775168">
              <w:rPr>
                <w:rFonts w:hAnsi="Times New Roman"/>
              </w:rPr>
              <w:t xml:space="preserve">Center No. </w:t>
            </w:r>
          </w:p>
        </w:tc>
        <w:tc>
          <w:tcPr>
            <w:tcW w:w="1134" w:type="dxa"/>
            <w:vAlign w:val="center"/>
          </w:tcPr>
          <w:p w:rsidR="00743320" w:rsidRPr="00775168" w:rsidRDefault="00DF7F26">
            <w:pPr>
              <w:pStyle w:val="P68B1DB1-a017"/>
              <w:adjustRightInd w:val="0"/>
              <w:snapToGrid w:val="0"/>
              <w:jc w:val="center"/>
              <w:rPr>
                <w:rFonts w:hAnsi="Times New Roman" w:hint="default"/>
              </w:rPr>
            </w:pPr>
            <w:r w:rsidRPr="00775168">
              <w:rPr>
                <w:rFonts w:hAnsi="Times New Roman"/>
              </w:rPr>
              <w:t xml:space="preserve">Investigator </w:t>
            </w:r>
          </w:p>
        </w:tc>
        <w:tc>
          <w:tcPr>
            <w:tcW w:w="1134" w:type="dxa"/>
            <w:vAlign w:val="center"/>
          </w:tcPr>
          <w:p w:rsidR="00743320" w:rsidRPr="00775168" w:rsidRDefault="00DF7F26">
            <w:pPr>
              <w:pStyle w:val="P68B1DB1-a017"/>
              <w:adjustRightInd w:val="0"/>
              <w:snapToGrid w:val="0"/>
              <w:jc w:val="center"/>
              <w:rPr>
                <w:rFonts w:hAnsi="Times New Roman" w:hint="default"/>
              </w:rPr>
            </w:pPr>
            <w:r w:rsidRPr="00775168">
              <w:rPr>
                <w:rFonts w:hAnsi="Times New Roman"/>
              </w:rPr>
              <w:t xml:space="preserve">Title </w:t>
            </w:r>
          </w:p>
        </w:tc>
      </w:tr>
      <w:tr w:rsidR="00743320" w:rsidRPr="00775168" w:rsidTr="0040703B">
        <w:trPr>
          <w:trHeight w:val="444"/>
          <w:jc w:val="center"/>
        </w:trPr>
        <w:tc>
          <w:tcPr>
            <w:tcW w:w="6658" w:type="dxa"/>
            <w:gridSpan w:val="2"/>
            <w:vAlign w:val="center"/>
          </w:tcPr>
          <w:p w:rsidR="00743320" w:rsidRPr="00775168" w:rsidRDefault="00D400E8" w:rsidP="00D400E8">
            <w:pPr>
              <w:pStyle w:val="P68B1DB1-a04"/>
              <w:jc w:val="center"/>
              <w:rPr>
                <w:rFonts w:ascii="Times New Roman" w:hAnsi="Times New Roman" w:hint="default"/>
              </w:rPr>
            </w:pPr>
            <w:r w:rsidRPr="00775168">
              <w:rPr>
                <w:rFonts w:ascii="Times New Roman" w:hAnsi="Times New Roman"/>
              </w:rPr>
              <w:t>Guangdong Provincial People</w:t>
            </w:r>
            <w:r w:rsidRPr="00775168">
              <w:rPr>
                <w:rFonts w:ascii="Times New Roman" w:hAnsi="Times New Roman" w:hint="default"/>
              </w:rPr>
              <w:t>”</w:t>
            </w:r>
            <w:r w:rsidRPr="00775168">
              <w:rPr>
                <w:rFonts w:ascii="Times New Roman" w:hAnsi="Times New Roman"/>
              </w:rPr>
              <w:t>s Hospital</w:t>
            </w:r>
            <w:r w:rsidR="00DF7F26" w:rsidRPr="00775168">
              <w:rPr>
                <w:rFonts w:ascii="Times New Roman" w:hAnsi="Times New Roman"/>
              </w:rPr>
              <w:t xml:space="preserve"> (leading site)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Wu Yilong </w:t>
            </w:r>
          </w:p>
        </w:tc>
        <w:tc>
          <w:tcPr>
            <w:tcW w:w="1134" w:type="dxa"/>
            <w:vAlign w:val="center"/>
          </w:tcPr>
          <w:p w:rsidR="00743320" w:rsidRPr="00775168" w:rsidRDefault="00DF7F26">
            <w:pPr>
              <w:pStyle w:val="P68B1DB1-a09"/>
              <w:jc w:val="center"/>
              <w:rPr>
                <w:rFonts w:hint="default"/>
              </w:rPr>
            </w:pPr>
            <w:r w:rsidRPr="00775168">
              <w:t xml:space="preserve">Professor </w:t>
            </w:r>
          </w:p>
        </w:tc>
      </w:tr>
      <w:tr w:rsidR="00743320" w:rsidRPr="00775168" w:rsidTr="0040703B">
        <w:trPr>
          <w:trHeight w:val="444"/>
          <w:jc w:val="center"/>
        </w:trPr>
        <w:tc>
          <w:tcPr>
            <w:tcW w:w="4106" w:type="dxa"/>
            <w:vAlign w:val="center"/>
          </w:tcPr>
          <w:p w:rsidR="00743320" w:rsidRPr="00775168" w:rsidRDefault="00D400E8" w:rsidP="00D400E8">
            <w:pPr>
              <w:pStyle w:val="P68B1DB1-a04"/>
              <w:widowControl/>
              <w:adjustRightInd w:val="0"/>
              <w:snapToGrid w:val="0"/>
              <w:rPr>
                <w:rFonts w:ascii="Times New Roman" w:hAnsi="Times New Roman" w:hint="default"/>
              </w:rPr>
            </w:pPr>
            <w:r w:rsidRPr="00775168">
              <w:rPr>
                <w:rFonts w:ascii="Times New Roman" w:hAnsi="Times New Roman"/>
              </w:rPr>
              <w:t>Guangdong Provincial People</w:t>
            </w:r>
            <w:r w:rsidRPr="00775168">
              <w:rPr>
                <w:rFonts w:ascii="Times New Roman" w:hAnsi="Times New Roman" w:hint="default"/>
              </w:rPr>
              <w:t>’</w:t>
            </w:r>
            <w:r w:rsidRPr="00775168">
              <w:rPr>
                <w:rFonts w:ascii="Times New Roman" w:hAnsi="Times New Roman"/>
              </w:rPr>
              <w:t>s Hospital</w:t>
            </w:r>
          </w:p>
        </w:tc>
        <w:tc>
          <w:tcPr>
            <w:tcW w:w="2552" w:type="dxa"/>
            <w:vAlign w:val="center"/>
          </w:tcPr>
          <w:p w:rsidR="00743320" w:rsidRPr="00775168" w:rsidRDefault="00DF7F26">
            <w:pPr>
              <w:pStyle w:val="P68B1DB1-a033"/>
              <w:jc w:val="center"/>
            </w:pPr>
            <w:r w:rsidRPr="00775168">
              <w:t xml:space="preserve">ALTER-L001-01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Chen Huajun </w:t>
            </w:r>
          </w:p>
        </w:tc>
        <w:tc>
          <w:tcPr>
            <w:tcW w:w="1134" w:type="dxa"/>
            <w:vAlign w:val="center"/>
          </w:tcPr>
          <w:p w:rsidR="00743320" w:rsidRPr="00775168" w:rsidRDefault="00DF7F26">
            <w:pPr>
              <w:pStyle w:val="P68B1DB1-a09"/>
              <w:jc w:val="center"/>
              <w:rPr>
                <w:rFonts w:hint="default"/>
              </w:rPr>
            </w:pPr>
            <w:r w:rsidRPr="00775168">
              <w:t xml:space="preserve">Professor </w:t>
            </w:r>
          </w:p>
        </w:tc>
      </w:tr>
      <w:tr w:rsidR="00743320" w:rsidRPr="00775168" w:rsidTr="0040703B">
        <w:trPr>
          <w:trHeight w:val="444"/>
          <w:jc w:val="center"/>
        </w:trPr>
        <w:tc>
          <w:tcPr>
            <w:tcW w:w="4106" w:type="dxa"/>
            <w:vAlign w:val="center"/>
          </w:tcPr>
          <w:p w:rsidR="00743320" w:rsidRPr="00775168" w:rsidRDefault="00DF7F26">
            <w:pPr>
              <w:pStyle w:val="P68B1DB1-a04"/>
              <w:widowControl/>
              <w:adjustRightInd w:val="0"/>
              <w:snapToGrid w:val="0"/>
              <w:rPr>
                <w:rFonts w:ascii="Times New Roman" w:hAnsi="Times New Roman" w:hint="default"/>
              </w:rPr>
            </w:pPr>
            <w:r w:rsidRPr="00775168">
              <w:rPr>
                <w:rFonts w:ascii="Times New Roman" w:hAnsi="Times New Roman"/>
              </w:rPr>
              <w:t xml:space="preserve">Jilin Cancer Hospital </w:t>
            </w:r>
          </w:p>
        </w:tc>
        <w:tc>
          <w:tcPr>
            <w:tcW w:w="2552" w:type="dxa"/>
            <w:vAlign w:val="center"/>
          </w:tcPr>
          <w:p w:rsidR="00743320" w:rsidRPr="00775168" w:rsidRDefault="00DF7F26">
            <w:pPr>
              <w:pStyle w:val="P68B1DB1-a033"/>
              <w:jc w:val="center"/>
            </w:pPr>
            <w:r w:rsidRPr="00775168">
              <w:t xml:space="preserve">ALTER-L001-02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Cheng Ying </w:t>
            </w:r>
          </w:p>
        </w:tc>
        <w:tc>
          <w:tcPr>
            <w:tcW w:w="1134" w:type="dxa"/>
            <w:vAlign w:val="center"/>
          </w:tcPr>
          <w:p w:rsidR="00743320" w:rsidRPr="00775168" w:rsidRDefault="00DF7F26">
            <w:pPr>
              <w:pStyle w:val="P68B1DB1-a09"/>
              <w:jc w:val="center"/>
              <w:rPr>
                <w:rFonts w:hint="default"/>
              </w:rPr>
            </w:pPr>
            <w:r w:rsidRPr="00775168">
              <w:t xml:space="preserve">Professor </w:t>
            </w:r>
          </w:p>
        </w:tc>
      </w:tr>
      <w:tr w:rsidR="00743320" w:rsidRPr="00775168" w:rsidTr="0040703B">
        <w:trPr>
          <w:trHeight w:val="444"/>
          <w:jc w:val="center"/>
        </w:trPr>
        <w:tc>
          <w:tcPr>
            <w:tcW w:w="4106" w:type="dxa"/>
            <w:vAlign w:val="center"/>
          </w:tcPr>
          <w:p w:rsidR="00743320" w:rsidRPr="00775168" w:rsidRDefault="00DF7F26">
            <w:pPr>
              <w:pStyle w:val="P68B1DB1-a04"/>
              <w:widowControl/>
              <w:adjustRightInd w:val="0"/>
              <w:snapToGrid w:val="0"/>
              <w:rPr>
                <w:rFonts w:ascii="Times New Roman" w:hAnsi="Times New Roman" w:hint="default"/>
              </w:rPr>
            </w:pPr>
            <w:r w:rsidRPr="00775168">
              <w:rPr>
                <w:rFonts w:ascii="Times New Roman" w:hAnsi="Times New Roman"/>
              </w:rPr>
              <w:t xml:space="preserve">Hunan Cancer Hospital </w:t>
            </w:r>
          </w:p>
        </w:tc>
        <w:tc>
          <w:tcPr>
            <w:tcW w:w="2552" w:type="dxa"/>
            <w:vAlign w:val="center"/>
          </w:tcPr>
          <w:p w:rsidR="00743320" w:rsidRPr="00775168" w:rsidRDefault="00DF7F26">
            <w:pPr>
              <w:pStyle w:val="P68B1DB1-a033"/>
              <w:jc w:val="center"/>
            </w:pPr>
            <w:r w:rsidRPr="00775168">
              <w:t xml:space="preserve">ALTER-L001-03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Yang Nong </w:t>
            </w:r>
          </w:p>
        </w:tc>
        <w:tc>
          <w:tcPr>
            <w:tcW w:w="1134" w:type="dxa"/>
            <w:vAlign w:val="center"/>
          </w:tcPr>
          <w:p w:rsidR="00743320" w:rsidRPr="00775168" w:rsidRDefault="00DF7F26">
            <w:pPr>
              <w:pStyle w:val="P68B1DB1-a09"/>
              <w:jc w:val="center"/>
              <w:rPr>
                <w:rFonts w:hint="default"/>
              </w:rPr>
            </w:pPr>
            <w:r w:rsidRPr="00775168">
              <w:t xml:space="preserve">Professor </w:t>
            </w:r>
          </w:p>
        </w:tc>
      </w:tr>
      <w:tr w:rsidR="00743320" w:rsidRPr="00775168" w:rsidTr="0040703B">
        <w:trPr>
          <w:trHeight w:val="444"/>
          <w:jc w:val="center"/>
        </w:trPr>
        <w:tc>
          <w:tcPr>
            <w:tcW w:w="4106" w:type="dxa"/>
            <w:vAlign w:val="center"/>
          </w:tcPr>
          <w:p w:rsidR="00743320" w:rsidRPr="00775168" w:rsidRDefault="00DF7F26">
            <w:pPr>
              <w:pStyle w:val="P68B1DB1-a04"/>
              <w:widowControl/>
              <w:adjustRightInd w:val="0"/>
              <w:snapToGrid w:val="0"/>
              <w:rPr>
                <w:rFonts w:ascii="Times New Roman" w:hAnsi="Times New Roman" w:hint="default"/>
              </w:rPr>
            </w:pPr>
            <w:r w:rsidRPr="00775168">
              <w:rPr>
                <w:rFonts w:ascii="Times New Roman" w:hAnsi="Times New Roman"/>
              </w:rPr>
              <w:t xml:space="preserve">Zhejiang Cancer Hospital </w:t>
            </w:r>
          </w:p>
        </w:tc>
        <w:tc>
          <w:tcPr>
            <w:tcW w:w="2552" w:type="dxa"/>
            <w:vAlign w:val="center"/>
          </w:tcPr>
          <w:p w:rsidR="00743320" w:rsidRPr="00775168" w:rsidRDefault="00DF7F26">
            <w:pPr>
              <w:pStyle w:val="P68B1DB1-a033"/>
              <w:jc w:val="center"/>
            </w:pPr>
            <w:r w:rsidRPr="00775168">
              <w:t xml:space="preserve">ALTER-L001-04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Fan Yun </w:t>
            </w:r>
          </w:p>
        </w:tc>
        <w:tc>
          <w:tcPr>
            <w:tcW w:w="1134" w:type="dxa"/>
            <w:vAlign w:val="center"/>
          </w:tcPr>
          <w:p w:rsidR="00743320" w:rsidRPr="00775168" w:rsidRDefault="00DF7F26">
            <w:pPr>
              <w:pStyle w:val="P68B1DB1-a09"/>
              <w:jc w:val="center"/>
              <w:rPr>
                <w:rFonts w:hint="default"/>
              </w:rPr>
            </w:pPr>
            <w:r w:rsidRPr="00775168">
              <w:t xml:space="preserve">Professor </w:t>
            </w:r>
          </w:p>
        </w:tc>
      </w:tr>
      <w:tr w:rsidR="00743320" w:rsidRPr="00775168" w:rsidTr="0040703B">
        <w:trPr>
          <w:trHeight w:val="444"/>
          <w:jc w:val="center"/>
        </w:trPr>
        <w:tc>
          <w:tcPr>
            <w:tcW w:w="4106" w:type="dxa"/>
            <w:vAlign w:val="center"/>
          </w:tcPr>
          <w:p w:rsidR="00743320" w:rsidRPr="00775168" w:rsidRDefault="00D400E8">
            <w:pPr>
              <w:pStyle w:val="P68B1DB1-a04"/>
              <w:widowControl/>
              <w:adjustRightInd w:val="0"/>
              <w:snapToGrid w:val="0"/>
              <w:rPr>
                <w:rFonts w:ascii="Times New Roman" w:hAnsi="Times New Roman" w:hint="default"/>
              </w:rPr>
            </w:pPr>
            <w:r w:rsidRPr="00775168">
              <w:rPr>
                <w:rFonts w:ascii="Times New Roman" w:hAnsi="Times New Roman" w:hint="default"/>
              </w:rPr>
              <w:t>Tangdu</w:t>
            </w:r>
            <w:r w:rsidR="00DF7F26" w:rsidRPr="00775168">
              <w:rPr>
                <w:rFonts w:ascii="Times New Roman" w:hAnsi="Times New Roman"/>
              </w:rPr>
              <w:t xml:space="preserve"> Hospital </w:t>
            </w:r>
          </w:p>
        </w:tc>
        <w:tc>
          <w:tcPr>
            <w:tcW w:w="2552" w:type="dxa"/>
            <w:vAlign w:val="center"/>
          </w:tcPr>
          <w:p w:rsidR="00743320" w:rsidRPr="00775168" w:rsidRDefault="00DF7F26">
            <w:pPr>
              <w:pStyle w:val="P68B1DB1-a033"/>
              <w:jc w:val="center"/>
            </w:pPr>
            <w:r w:rsidRPr="00775168">
              <w:t xml:space="preserve">ALTER-L001-05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Helong Zhang </w:t>
            </w:r>
          </w:p>
        </w:tc>
        <w:tc>
          <w:tcPr>
            <w:tcW w:w="1134" w:type="dxa"/>
            <w:vAlign w:val="center"/>
          </w:tcPr>
          <w:p w:rsidR="00743320" w:rsidRPr="00775168" w:rsidRDefault="00DF7F26">
            <w:pPr>
              <w:pStyle w:val="P68B1DB1-a09"/>
              <w:jc w:val="center"/>
              <w:rPr>
                <w:rFonts w:hint="default"/>
              </w:rPr>
            </w:pPr>
            <w:r w:rsidRPr="00775168">
              <w:t xml:space="preserve">Professor </w:t>
            </w:r>
          </w:p>
        </w:tc>
      </w:tr>
      <w:tr w:rsidR="00743320" w:rsidRPr="00775168" w:rsidTr="0040703B">
        <w:trPr>
          <w:trHeight w:val="444"/>
          <w:jc w:val="center"/>
        </w:trPr>
        <w:tc>
          <w:tcPr>
            <w:tcW w:w="4106" w:type="dxa"/>
            <w:vAlign w:val="center"/>
          </w:tcPr>
          <w:p w:rsidR="00743320" w:rsidRPr="00775168" w:rsidRDefault="00DF7F26" w:rsidP="00D400E8">
            <w:pPr>
              <w:pStyle w:val="P68B1DB1-a04"/>
              <w:widowControl/>
              <w:adjustRightInd w:val="0"/>
              <w:snapToGrid w:val="0"/>
              <w:rPr>
                <w:rFonts w:ascii="Times New Roman" w:hAnsi="Times New Roman" w:hint="default"/>
              </w:rPr>
            </w:pPr>
            <w:r w:rsidRPr="00775168">
              <w:rPr>
                <w:rFonts w:ascii="Times New Roman" w:hAnsi="Times New Roman"/>
              </w:rPr>
              <w:t>The First Affiliated Hospi</w:t>
            </w:r>
            <w:r w:rsidR="00D400E8" w:rsidRPr="00775168">
              <w:rPr>
                <w:rFonts w:ascii="Times New Roman" w:hAnsi="Times New Roman"/>
              </w:rPr>
              <w:t>tal of Guangzhou University of</w:t>
            </w:r>
            <w:r w:rsidRPr="00775168">
              <w:rPr>
                <w:rFonts w:ascii="Times New Roman" w:hAnsi="Times New Roman"/>
              </w:rPr>
              <w:t xml:space="preserve"> Chinese Medicine </w:t>
            </w:r>
          </w:p>
        </w:tc>
        <w:tc>
          <w:tcPr>
            <w:tcW w:w="2552" w:type="dxa"/>
            <w:vAlign w:val="center"/>
          </w:tcPr>
          <w:p w:rsidR="00743320" w:rsidRPr="00775168" w:rsidRDefault="00DF7F26">
            <w:pPr>
              <w:pStyle w:val="P68B1DB1-a033"/>
              <w:jc w:val="center"/>
            </w:pPr>
            <w:r w:rsidRPr="00775168">
              <w:t xml:space="preserve">ALTER-L001-06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Lin Lizhu </w:t>
            </w:r>
          </w:p>
        </w:tc>
        <w:tc>
          <w:tcPr>
            <w:tcW w:w="1134" w:type="dxa"/>
            <w:vAlign w:val="center"/>
          </w:tcPr>
          <w:p w:rsidR="00743320" w:rsidRPr="00775168" w:rsidRDefault="00DF7F26">
            <w:pPr>
              <w:pStyle w:val="P68B1DB1-a09"/>
              <w:jc w:val="center"/>
              <w:rPr>
                <w:rFonts w:hint="default"/>
              </w:rPr>
            </w:pPr>
            <w:r w:rsidRPr="00775168">
              <w:t xml:space="preserve">Professor </w:t>
            </w:r>
          </w:p>
        </w:tc>
      </w:tr>
      <w:tr w:rsidR="00743320" w:rsidRPr="00775168" w:rsidTr="0040703B">
        <w:trPr>
          <w:trHeight w:val="444"/>
          <w:jc w:val="center"/>
        </w:trPr>
        <w:tc>
          <w:tcPr>
            <w:tcW w:w="4106" w:type="dxa"/>
            <w:vAlign w:val="center"/>
          </w:tcPr>
          <w:p w:rsidR="00743320" w:rsidRPr="00775168" w:rsidRDefault="00DF7F26">
            <w:pPr>
              <w:pStyle w:val="P68B1DB1-a04"/>
              <w:widowControl/>
              <w:adjustRightInd w:val="0"/>
              <w:snapToGrid w:val="0"/>
              <w:rPr>
                <w:rFonts w:ascii="Times New Roman" w:hAnsi="Times New Roman" w:hint="default"/>
              </w:rPr>
            </w:pPr>
            <w:r w:rsidRPr="00775168">
              <w:rPr>
                <w:rFonts w:ascii="Times New Roman" w:hAnsi="Times New Roman"/>
              </w:rPr>
              <w:t xml:space="preserve">Henan Cancer Hospital </w:t>
            </w:r>
          </w:p>
        </w:tc>
        <w:tc>
          <w:tcPr>
            <w:tcW w:w="2552" w:type="dxa"/>
            <w:vAlign w:val="center"/>
          </w:tcPr>
          <w:p w:rsidR="00743320" w:rsidRPr="00775168" w:rsidRDefault="00DF7F26">
            <w:pPr>
              <w:pStyle w:val="P68B1DB1-a033"/>
              <w:jc w:val="center"/>
            </w:pPr>
            <w:r w:rsidRPr="00775168">
              <w:t xml:space="preserve">ALTER-L001-07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Zhiyong Ma </w:t>
            </w:r>
          </w:p>
        </w:tc>
        <w:tc>
          <w:tcPr>
            <w:tcW w:w="1134" w:type="dxa"/>
            <w:vAlign w:val="center"/>
          </w:tcPr>
          <w:p w:rsidR="00743320" w:rsidRPr="00775168" w:rsidRDefault="00DF7F26">
            <w:pPr>
              <w:pStyle w:val="P68B1DB1-a09"/>
              <w:jc w:val="center"/>
              <w:rPr>
                <w:rFonts w:hint="default"/>
              </w:rPr>
            </w:pPr>
            <w:r w:rsidRPr="00775168">
              <w:t xml:space="preserve">Professor </w:t>
            </w:r>
          </w:p>
        </w:tc>
      </w:tr>
      <w:tr w:rsidR="00743320" w:rsidRPr="00775168" w:rsidTr="0040703B">
        <w:trPr>
          <w:trHeight w:val="444"/>
          <w:jc w:val="center"/>
        </w:trPr>
        <w:tc>
          <w:tcPr>
            <w:tcW w:w="4106" w:type="dxa"/>
            <w:vAlign w:val="center"/>
          </w:tcPr>
          <w:p w:rsidR="00743320" w:rsidRPr="00775168" w:rsidRDefault="00DF7F26">
            <w:pPr>
              <w:pStyle w:val="P68B1DB1-a04"/>
              <w:widowControl/>
              <w:adjustRightInd w:val="0"/>
              <w:snapToGrid w:val="0"/>
              <w:rPr>
                <w:rFonts w:ascii="Times New Roman" w:hAnsi="Times New Roman" w:hint="default"/>
              </w:rPr>
            </w:pPr>
            <w:r w:rsidRPr="00775168">
              <w:rPr>
                <w:rFonts w:ascii="Times New Roman" w:hAnsi="Times New Roman"/>
              </w:rPr>
              <w:t xml:space="preserve">Peking University Cancer Hospital </w:t>
            </w:r>
          </w:p>
        </w:tc>
        <w:tc>
          <w:tcPr>
            <w:tcW w:w="2552" w:type="dxa"/>
            <w:vAlign w:val="center"/>
          </w:tcPr>
          <w:p w:rsidR="00743320" w:rsidRPr="00775168" w:rsidRDefault="00DF7F26">
            <w:pPr>
              <w:pStyle w:val="P68B1DB1-a033"/>
              <w:jc w:val="center"/>
            </w:pPr>
            <w:r w:rsidRPr="00775168">
              <w:t xml:space="preserve">ALTER-L001-08 </w:t>
            </w:r>
          </w:p>
        </w:tc>
        <w:tc>
          <w:tcPr>
            <w:tcW w:w="1134" w:type="dxa"/>
            <w:vAlign w:val="center"/>
          </w:tcPr>
          <w:p w:rsidR="00743320" w:rsidRPr="00775168" w:rsidRDefault="00DF7F26">
            <w:pPr>
              <w:pStyle w:val="P68B1DB1-a04"/>
              <w:adjustRightInd w:val="0"/>
              <w:snapToGrid w:val="0"/>
              <w:jc w:val="center"/>
              <w:rPr>
                <w:rFonts w:ascii="Times New Roman" w:hAnsi="Times New Roman" w:hint="default"/>
              </w:rPr>
            </w:pPr>
            <w:r w:rsidRPr="00775168">
              <w:rPr>
                <w:rFonts w:ascii="Times New Roman" w:hAnsi="Times New Roman"/>
              </w:rPr>
              <w:t xml:space="preserve">Wang Ziping </w:t>
            </w:r>
          </w:p>
        </w:tc>
        <w:tc>
          <w:tcPr>
            <w:tcW w:w="1134" w:type="dxa"/>
            <w:vAlign w:val="center"/>
          </w:tcPr>
          <w:p w:rsidR="00743320" w:rsidRPr="00775168" w:rsidRDefault="00DF7F26">
            <w:pPr>
              <w:pStyle w:val="P68B1DB1-a09"/>
              <w:jc w:val="center"/>
              <w:rPr>
                <w:rFonts w:hint="default"/>
              </w:rPr>
            </w:pPr>
            <w:r w:rsidRPr="00775168">
              <w:t xml:space="preserve">Professor </w:t>
            </w:r>
          </w:p>
        </w:tc>
      </w:tr>
    </w:tbl>
    <w:p w:rsidR="00743320" w:rsidRPr="00775168" w:rsidRDefault="00743320">
      <w:pPr>
        <w:rPr>
          <w:b/>
          <w:sz w:val="24"/>
        </w:rPr>
      </w:pPr>
      <w:bookmarkStart w:id="370" w:name="_Toc190163407"/>
    </w:p>
    <w:p w:rsidR="00743320" w:rsidRPr="00775168" w:rsidRDefault="00DF7F26">
      <w:pPr>
        <w:pStyle w:val="P68B1DB1-265"/>
        <w:rPr>
          <w:rFonts w:ascii="Times New Roman" w:eastAsia="宋体" w:hAnsi="Times New Roman" w:cs="Times New Roman"/>
        </w:rPr>
      </w:pPr>
      <w:bookmarkStart w:id="371" w:name="_Toc178589728"/>
      <w:bookmarkStart w:id="372" w:name="_Toc512940997"/>
      <w:bookmarkStart w:id="373" w:name="_Toc430282335"/>
      <w:bookmarkStart w:id="374" w:name="_Toc292713398"/>
      <w:bookmarkStart w:id="375" w:name="_Toc512941751"/>
      <w:r w:rsidRPr="00775168">
        <w:rPr>
          <w:rFonts w:ascii="Times New Roman" w:eastAsia="宋体" w:hAnsi="Times New Roman" w:cs="宋体"/>
        </w:rPr>
        <w:t xml:space="preserve">16.2 Leading </w:t>
      </w:r>
      <w:r w:rsidR="0040703B">
        <w:rPr>
          <w:rFonts w:ascii="Times New Roman" w:eastAsia="宋体" w:hAnsi="Times New Roman" w:cs="宋体"/>
        </w:rPr>
        <w:t>S</w:t>
      </w:r>
      <w:r w:rsidRPr="00775168">
        <w:rPr>
          <w:rFonts w:ascii="Times New Roman" w:eastAsia="宋体" w:hAnsi="Times New Roman" w:cs="宋体"/>
        </w:rPr>
        <w:t xml:space="preserve">ite and </w:t>
      </w:r>
      <w:r w:rsidR="0089050C">
        <w:rPr>
          <w:rFonts w:ascii="Times New Roman" w:eastAsia="宋体" w:hAnsi="Times New Roman" w:cs="宋体"/>
        </w:rPr>
        <w:t>R</w:t>
      </w:r>
      <w:r w:rsidR="0089050C" w:rsidRPr="0089050C">
        <w:rPr>
          <w:rFonts w:ascii="Times New Roman" w:eastAsia="宋体" w:hAnsi="Times New Roman" w:cs="宋体"/>
        </w:rPr>
        <w:t xml:space="preserve">esponsible </w:t>
      </w:r>
      <w:r w:rsidR="0089050C">
        <w:rPr>
          <w:rFonts w:ascii="Times New Roman" w:eastAsia="宋体" w:hAnsi="Times New Roman" w:cs="宋体"/>
        </w:rPr>
        <w:t>P</w:t>
      </w:r>
      <w:r w:rsidR="0089050C" w:rsidRPr="0089050C">
        <w:rPr>
          <w:rFonts w:ascii="Times New Roman" w:eastAsia="宋体" w:hAnsi="Times New Roman" w:cs="宋体"/>
        </w:rPr>
        <w:t>erson</w:t>
      </w:r>
      <w:bookmarkEnd w:id="371"/>
      <w:r w:rsidRPr="00775168">
        <w:rPr>
          <w:rFonts w:ascii="Times New Roman" w:eastAsia="宋体" w:hAnsi="Times New Roman" w:cs="宋体"/>
        </w:rPr>
        <w:t xml:space="preserve"> </w:t>
      </w:r>
      <w:bookmarkEnd w:id="370"/>
      <w:bookmarkEnd w:id="372"/>
      <w:bookmarkEnd w:id="373"/>
      <w:bookmarkEnd w:id="374"/>
      <w:bookmarkEnd w:id="375"/>
    </w:p>
    <w:p w:rsidR="00743320" w:rsidRPr="00775168" w:rsidRDefault="0040703B">
      <w:pPr>
        <w:pStyle w:val="P68B1DB1-a023"/>
        <w:spacing w:line="360" w:lineRule="auto"/>
        <w:ind w:firstLineChars="200" w:firstLine="480"/>
        <w:rPr>
          <w:rFonts w:hAnsi="Times New Roman" w:hint="default"/>
        </w:rPr>
      </w:pPr>
      <w:r>
        <w:rPr>
          <w:rFonts w:hAnsi="Times New Roman" w:hint="default"/>
        </w:rPr>
        <w:t>S</w:t>
      </w:r>
      <w:r w:rsidR="00DF7F26" w:rsidRPr="00775168">
        <w:rPr>
          <w:rFonts w:hAnsi="Times New Roman"/>
        </w:rPr>
        <w:t xml:space="preserve">ite: </w:t>
      </w:r>
      <w:r w:rsidR="00D400E8" w:rsidRPr="00775168">
        <w:rPr>
          <w:rFonts w:hAnsi="Times New Roman"/>
        </w:rPr>
        <w:t>Guangdong Provincial People</w:t>
      </w:r>
      <w:r w:rsidR="00D400E8" w:rsidRPr="00775168">
        <w:rPr>
          <w:rFonts w:hAnsi="Times New Roman" w:hint="default"/>
        </w:rPr>
        <w:t>’</w:t>
      </w:r>
      <w:r w:rsidR="00D400E8" w:rsidRPr="00775168">
        <w:rPr>
          <w:rFonts w:hAnsi="Times New Roman"/>
        </w:rPr>
        <w:t>s Hospital</w:t>
      </w:r>
      <w:r w:rsidR="00DF7F26" w:rsidRPr="00775168">
        <w:rPr>
          <w:rFonts w:hAnsi="Times New Roman"/>
        </w:rPr>
        <w:t xml:space="preserve"> </w:t>
      </w:r>
    </w:p>
    <w:p w:rsidR="00743320" w:rsidRPr="00775168" w:rsidRDefault="00DF7F26">
      <w:pPr>
        <w:pStyle w:val="31"/>
      </w:pPr>
      <w:r w:rsidRPr="00775168">
        <w:rPr>
          <w:rFonts w:hint="eastAsia"/>
        </w:rPr>
        <w:t xml:space="preserve">Address: </w:t>
      </w:r>
      <w:r w:rsidR="00D400E8" w:rsidRPr="00775168">
        <w:t>106 Zhongshan 2nd Road</w:t>
      </w:r>
      <w:r w:rsidRPr="00775168">
        <w:rPr>
          <w:rFonts w:hint="eastAsia"/>
        </w:rPr>
        <w:t xml:space="preserve">, Yuexiu District, Guangzhou, Guangdong </w:t>
      </w:r>
    </w:p>
    <w:p w:rsidR="00743320" w:rsidRPr="00775168" w:rsidRDefault="00DF7F26">
      <w:pPr>
        <w:pStyle w:val="31"/>
      </w:pPr>
      <w:r w:rsidRPr="00775168">
        <w:rPr>
          <w:rFonts w:hint="eastAsia"/>
        </w:rPr>
        <w:t xml:space="preserve">Post code: 510080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Responsible person: Yilong Wu </w:t>
      </w:r>
    </w:p>
    <w:p w:rsidR="00743320" w:rsidRPr="00775168" w:rsidRDefault="00DF7F26">
      <w:pPr>
        <w:pStyle w:val="P68B1DB1-a024"/>
        <w:spacing w:line="360" w:lineRule="auto"/>
        <w:ind w:firstLineChars="200" w:firstLine="480"/>
        <w:rPr>
          <w:rFonts w:hint="default"/>
        </w:rPr>
      </w:pPr>
      <w:r w:rsidRPr="00775168">
        <w:t xml:space="preserve">E-mail: syylwu@live.cn </w:t>
      </w:r>
    </w:p>
    <w:p w:rsidR="00743320" w:rsidRPr="00775168" w:rsidRDefault="00DF7F26">
      <w:pPr>
        <w:pStyle w:val="P68B1DB1-265"/>
        <w:rPr>
          <w:rFonts w:ascii="Times New Roman" w:eastAsia="宋体" w:hAnsi="Times New Roman" w:cs="Times New Roman"/>
        </w:rPr>
      </w:pPr>
      <w:bookmarkStart w:id="376" w:name="_Toc178589729"/>
      <w:bookmarkStart w:id="377" w:name="_Toc512940998"/>
      <w:bookmarkStart w:id="378" w:name="_Toc430282336"/>
      <w:bookmarkStart w:id="379" w:name="_Toc512941752"/>
      <w:bookmarkStart w:id="380" w:name="_Toc292713399"/>
      <w:bookmarkStart w:id="381" w:name="_Toc190163408"/>
      <w:r w:rsidRPr="00775168">
        <w:rPr>
          <w:rFonts w:ascii="Times New Roman" w:eastAsia="宋体" w:hAnsi="Times New Roman" w:cs="宋体"/>
        </w:rPr>
        <w:t xml:space="preserve">16.3 Study Statistics </w:t>
      </w:r>
      <w:r w:rsidR="0089050C">
        <w:rPr>
          <w:rFonts w:ascii="Times New Roman" w:eastAsia="宋体" w:hAnsi="Times New Roman" w:cs="宋体"/>
        </w:rPr>
        <w:t>Institution</w:t>
      </w:r>
      <w:bookmarkEnd w:id="376"/>
      <w:r w:rsidRPr="00775168">
        <w:rPr>
          <w:rFonts w:ascii="Times New Roman" w:eastAsia="宋体" w:hAnsi="Times New Roman" w:cs="宋体"/>
        </w:rPr>
        <w:t xml:space="preserve"> </w:t>
      </w:r>
      <w:bookmarkEnd w:id="377"/>
      <w:bookmarkEnd w:id="378"/>
      <w:bookmarkEnd w:id="379"/>
      <w:bookmarkEnd w:id="380"/>
    </w:p>
    <w:p w:rsidR="00743320" w:rsidRPr="00775168" w:rsidRDefault="0089050C">
      <w:pPr>
        <w:pStyle w:val="P68B1DB1-a024"/>
        <w:spacing w:line="360" w:lineRule="auto"/>
        <w:ind w:firstLineChars="200" w:firstLine="480"/>
        <w:rPr>
          <w:rFonts w:hint="default"/>
        </w:rPr>
      </w:pPr>
      <w:r>
        <w:rPr>
          <w:rFonts w:cs="宋体"/>
        </w:rPr>
        <w:t>Institution</w:t>
      </w:r>
      <w:r w:rsidR="00DF7F26" w:rsidRPr="00775168">
        <w:t xml:space="preserve">: </w:t>
      </w:r>
      <w:r w:rsidRPr="0089050C">
        <w:t>Chia Tai Tianqing Pharmaceutical Group Co., Ltd.</w:t>
      </w:r>
    </w:p>
    <w:p w:rsidR="00743320" w:rsidRPr="00775168" w:rsidRDefault="00DF7F26">
      <w:pPr>
        <w:pStyle w:val="P68B1DB1-a024"/>
        <w:spacing w:line="360" w:lineRule="auto"/>
        <w:ind w:firstLineChars="200" w:firstLine="480"/>
        <w:rPr>
          <w:rFonts w:hint="default"/>
        </w:rPr>
      </w:pPr>
      <w:r w:rsidRPr="00775168">
        <w:t xml:space="preserve">Address: </w:t>
      </w:r>
      <w:r w:rsidR="0089050C" w:rsidRPr="00775168">
        <w:t xml:space="preserve">Building 9, </w:t>
      </w:r>
      <w:r w:rsidR="0089050C">
        <w:t>699-8</w:t>
      </w:r>
      <w:r w:rsidR="0089050C" w:rsidRPr="00775168">
        <w:t xml:space="preserve"> Xuanwu Avenue, Xuanwu District, Nanjing</w:t>
      </w:r>
    </w:p>
    <w:p w:rsidR="00743320" w:rsidRPr="00775168" w:rsidRDefault="00DF7F26">
      <w:pPr>
        <w:pStyle w:val="P68B1DB1-a024"/>
        <w:spacing w:line="360" w:lineRule="auto"/>
        <w:ind w:firstLineChars="200" w:firstLine="480"/>
        <w:rPr>
          <w:rFonts w:hint="default"/>
        </w:rPr>
      </w:pPr>
      <w:r w:rsidRPr="00775168">
        <w:t xml:space="preserve">Post code: </w:t>
      </w:r>
      <w:r w:rsidR="0089050C" w:rsidRPr="00775168">
        <w:t>210023</w:t>
      </w:r>
    </w:p>
    <w:p w:rsidR="00743320" w:rsidRPr="00775168" w:rsidRDefault="00DF7F26">
      <w:pPr>
        <w:pStyle w:val="P68B1DB1-265"/>
        <w:rPr>
          <w:rFonts w:ascii="Times New Roman" w:eastAsia="宋体" w:hAnsi="Times New Roman" w:cs="Times New Roman"/>
        </w:rPr>
      </w:pPr>
      <w:bookmarkStart w:id="382" w:name="_Toc178589730"/>
      <w:bookmarkStart w:id="383" w:name="_Toc430282337"/>
      <w:bookmarkStart w:id="384" w:name="_Toc512941753"/>
      <w:bookmarkStart w:id="385" w:name="_Toc292713400"/>
      <w:bookmarkStart w:id="386" w:name="_Toc512940999"/>
      <w:r w:rsidRPr="00775168">
        <w:rPr>
          <w:rFonts w:ascii="Times New Roman" w:eastAsia="宋体" w:hAnsi="Times New Roman" w:cs="宋体"/>
        </w:rPr>
        <w:t>16.4 Co-organizers and Responsible Person</w:t>
      </w:r>
      <w:bookmarkEnd w:id="382"/>
      <w:r w:rsidRPr="00775168">
        <w:rPr>
          <w:rFonts w:ascii="Times New Roman" w:eastAsia="宋体" w:hAnsi="Times New Roman" w:cs="宋体"/>
        </w:rPr>
        <w:t xml:space="preserve"> </w:t>
      </w:r>
      <w:bookmarkEnd w:id="381"/>
      <w:bookmarkEnd w:id="383"/>
      <w:bookmarkEnd w:id="384"/>
      <w:bookmarkEnd w:id="385"/>
      <w:bookmarkEnd w:id="386"/>
    </w:p>
    <w:p w:rsidR="00743320" w:rsidRPr="00775168" w:rsidRDefault="0089050C">
      <w:pPr>
        <w:pStyle w:val="P68B1DB1-a023"/>
        <w:spacing w:line="360" w:lineRule="auto"/>
        <w:ind w:firstLineChars="200" w:firstLine="480"/>
        <w:rPr>
          <w:rFonts w:hAnsi="Times New Roman" w:hint="default"/>
        </w:rPr>
      </w:pPr>
      <w:r>
        <w:rPr>
          <w:rFonts w:hAnsi="Times New Roman" w:cs="宋体"/>
        </w:rPr>
        <w:t>Institution</w:t>
      </w:r>
      <w:r w:rsidR="00DF7F26" w:rsidRPr="00775168">
        <w:rPr>
          <w:rFonts w:hAnsi="Times New Roman"/>
        </w:rPr>
        <w:t xml:space="preserve">: CHIA TAI TIANQING Pharmaceutical Group CO., LTD. </w:t>
      </w:r>
    </w:p>
    <w:p w:rsidR="00743320" w:rsidRPr="00775168" w:rsidRDefault="00DF7F26">
      <w:pPr>
        <w:pStyle w:val="31"/>
      </w:pPr>
      <w:r w:rsidRPr="00775168">
        <w:rPr>
          <w:rFonts w:hint="eastAsia"/>
        </w:rPr>
        <w:lastRenderedPageBreak/>
        <w:t xml:space="preserve">Address: Building 9, </w:t>
      </w:r>
      <w:r w:rsidR="0089050C">
        <w:rPr>
          <w:rFonts w:hint="eastAsia"/>
        </w:rPr>
        <w:t>699-8</w:t>
      </w:r>
      <w:r w:rsidRPr="00775168">
        <w:rPr>
          <w:rFonts w:hint="eastAsia"/>
        </w:rPr>
        <w:t xml:space="preserve"> Xuanwu Avenue, Xuanwu District, Nanjing </w:t>
      </w:r>
    </w:p>
    <w:p w:rsidR="00743320" w:rsidRPr="00775168" w:rsidRDefault="00DF7F26">
      <w:pPr>
        <w:pStyle w:val="P68B1DB1-a023"/>
        <w:spacing w:line="360" w:lineRule="auto"/>
        <w:ind w:firstLineChars="200" w:firstLine="480"/>
        <w:rPr>
          <w:rFonts w:hAnsi="Times New Roman" w:hint="default"/>
        </w:rPr>
      </w:pPr>
      <w:r w:rsidRPr="00775168">
        <w:rPr>
          <w:rFonts w:hAnsi="Times New Roman"/>
        </w:rPr>
        <w:t xml:space="preserve">Post code: 210023 </w:t>
      </w:r>
    </w:p>
    <w:p w:rsidR="00743320" w:rsidRPr="00775168" w:rsidRDefault="00DF7F26">
      <w:pPr>
        <w:pStyle w:val="P68B1DB1-a017"/>
        <w:spacing w:line="360" w:lineRule="auto"/>
        <w:ind w:firstLineChars="200" w:firstLine="480"/>
        <w:rPr>
          <w:rFonts w:hAnsi="Times New Roman" w:hint="default"/>
        </w:rPr>
      </w:pPr>
      <w:r w:rsidRPr="00775168">
        <w:rPr>
          <w:rFonts w:hAnsi="Times New Roman"/>
        </w:rPr>
        <w:t xml:space="preserve">Responsible person: Yi </w:t>
      </w:r>
      <w:r w:rsidR="003A58EF" w:rsidRPr="00775168">
        <w:rPr>
          <w:rFonts w:hAnsi="Times New Roman"/>
        </w:rPr>
        <w:t>Wang</w:t>
      </w:r>
    </w:p>
    <w:p w:rsidR="00743320" w:rsidRPr="00775168" w:rsidRDefault="00DF7F26">
      <w:pPr>
        <w:pStyle w:val="31"/>
      </w:pPr>
      <w:r w:rsidRPr="00775168">
        <w:rPr>
          <w:rFonts w:hint="eastAsia"/>
        </w:rPr>
        <w:t xml:space="preserve">Hand Machine: 18351895546 </w:t>
      </w:r>
    </w:p>
    <w:p w:rsidR="00743320" w:rsidRPr="00775168" w:rsidRDefault="00DF7F26">
      <w:pPr>
        <w:pStyle w:val="31"/>
      </w:pPr>
      <w:r w:rsidRPr="00775168">
        <w:rPr>
          <w:rFonts w:hint="eastAsia"/>
        </w:rPr>
        <w:t xml:space="preserve">E-mail: YI.WANG1CTTQ.COM </w:t>
      </w:r>
    </w:p>
    <w:p w:rsidR="003A58EF" w:rsidRPr="00775168" w:rsidRDefault="003A58EF">
      <w:pPr>
        <w:widowControl/>
        <w:jc w:val="left"/>
        <w:rPr>
          <w:sz w:val="24"/>
        </w:rPr>
      </w:pPr>
      <w:r w:rsidRPr="00775168">
        <w:br w:type="page"/>
      </w:r>
    </w:p>
    <w:p w:rsidR="00743320" w:rsidRPr="00775168" w:rsidRDefault="00DF7F26">
      <w:pPr>
        <w:pStyle w:val="P68B1DB1-116"/>
        <w:ind w:firstLine="0"/>
        <w:rPr>
          <w:rFonts w:ascii="Times New Roman" w:hAnsi="Times New Roman" w:cs="Times New Roman" w:hint="default"/>
        </w:rPr>
      </w:pPr>
      <w:bookmarkStart w:id="387" w:name="_Toc178589731"/>
      <w:bookmarkStart w:id="388" w:name="_Toc512941755"/>
      <w:bookmarkStart w:id="389" w:name="_Toc512941001"/>
      <w:r w:rsidRPr="00775168">
        <w:rPr>
          <w:rFonts w:ascii="Times New Roman" w:hAnsi="Times New Roman"/>
        </w:rPr>
        <w:lastRenderedPageBreak/>
        <w:t>Appendix I Physical Status Scoring Criteria (ECOG)</w:t>
      </w:r>
      <w:bookmarkEnd w:id="387"/>
      <w:r w:rsidRPr="00775168">
        <w:rPr>
          <w:rFonts w:ascii="Times New Roman" w:hAnsi="Times New Roman"/>
        </w:rPr>
        <w:t xml:space="preserve"> </w:t>
      </w:r>
      <w:bookmarkEnd w:id="388"/>
      <w:bookmarkEnd w:id="389"/>
    </w:p>
    <w:p w:rsidR="00743320" w:rsidRPr="00775168" w:rsidRDefault="00743320">
      <w:pPr>
        <w:jc w:val="center"/>
      </w:pPr>
    </w:p>
    <w:p w:rsidR="00743320" w:rsidRPr="00775168" w:rsidRDefault="00DF7F26">
      <w:pPr>
        <w:pStyle w:val="P68B1DB1-a024"/>
        <w:jc w:val="center"/>
        <w:rPr>
          <w:rFonts w:hint="default"/>
        </w:rPr>
      </w:pPr>
      <w:r w:rsidRPr="00775168">
        <w:t xml:space="preserve">(Eastern Cooperative Oncology Group) </w:t>
      </w:r>
    </w:p>
    <w:tbl>
      <w:tblPr>
        <w:tblW w:w="88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86"/>
        <w:gridCol w:w="7443"/>
      </w:tblGrid>
      <w:tr w:rsidR="00743320" w:rsidRPr="00775168">
        <w:trPr>
          <w:trHeight w:val="613"/>
          <w:jc w:val="center"/>
        </w:trPr>
        <w:tc>
          <w:tcPr>
            <w:tcW w:w="1386" w:type="dxa"/>
            <w:vAlign w:val="center"/>
          </w:tcPr>
          <w:p w:rsidR="00743320" w:rsidRPr="00775168" w:rsidRDefault="00DF7F26">
            <w:pPr>
              <w:pStyle w:val="P68B1DB1-TableParagraph10"/>
              <w:spacing w:before="66"/>
              <w:ind w:left="115"/>
              <w:jc w:val="center"/>
              <w:rPr>
                <w:rFonts w:ascii="Times New Roman" w:hAnsi="Times New Roman" w:cs="Times New Roman" w:hint="default"/>
              </w:rPr>
            </w:pPr>
            <w:r w:rsidRPr="00775168">
              <w:rPr>
                <w:rFonts w:ascii="Times New Roman" w:hAnsi="Times New Roman"/>
              </w:rPr>
              <w:t xml:space="preserve">Activity score </w:t>
            </w:r>
          </w:p>
        </w:tc>
        <w:tc>
          <w:tcPr>
            <w:tcW w:w="7443" w:type="dxa"/>
            <w:vAlign w:val="center"/>
          </w:tcPr>
          <w:p w:rsidR="00743320" w:rsidRPr="00775168" w:rsidRDefault="00DF7F26">
            <w:pPr>
              <w:pStyle w:val="P68B1DB1-TableParagraph10"/>
              <w:spacing w:before="66"/>
              <w:ind w:left="349"/>
              <w:jc w:val="center"/>
              <w:rPr>
                <w:rFonts w:ascii="Times New Roman" w:hAnsi="Times New Roman" w:cs="Times New Roman" w:hint="default"/>
              </w:rPr>
            </w:pPr>
            <w:r w:rsidRPr="00775168">
              <w:rPr>
                <w:rFonts w:ascii="Times New Roman" w:hAnsi="Times New Roman"/>
              </w:rPr>
              <w:t xml:space="preserve">DESCRIPTION </w:t>
            </w:r>
          </w:p>
        </w:tc>
      </w:tr>
      <w:tr w:rsidR="00743320" w:rsidRPr="00775168">
        <w:trPr>
          <w:trHeight w:val="469"/>
          <w:jc w:val="center"/>
        </w:trPr>
        <w:tc>
          <w:tcPr>
            <w:tcW w:w="1386" w:type="dxa"/>
            <w:vAlign w:val="center"/>
          </w:tcPr>
          <w:p w:rsidR="00743320" w:rsidRPr="00775168" w:rsidRDefault="00DF7F26">
            <w:pPr>
              <w:pStyle w:val="P68B1DB1-TableParagraph109"/>
              <w:spacing w:before="106"/>
              <w:ind w:left="115"/>
              <w:jc w:val="center"/>
              <w:rPr>
                <w:rFonts w:ascii="Times New Roman" w:hAnsi="Times New Roman"/>
              </w:rPr>
            </w:pPr>
            <w:r w:rsidRPr="00775168">
              <w:rPr>
                <w:rFonts w:ascii="Times New Roman" w:hAnsi="Times New Roman"/>
              </w:rPr>
              <w:t xml:space="preserve">0 </w:t>
            </w:r>
          </w:p>
        </w:tc>
        <w:tc>
          <w:tcPr>
            <w:tcW w:w="7443" w:type="dxa"/>
            <w:vAlign w:val="center"/>
          </w:tcPr>
          <w:p w:rsidR="00743320" w:rsidRPr="00775168" w:rsidRDefault="00DF7F26">
            <w:pPr>
              <w:pStyle w:val="P68B1DB1-TableParagraph10"/>
              <w:spacing w:line="439" w:lineRule="exact"/>
              <w:ind w:left="349"/>
              <w:rPr>
                <w:rFonts w:ascii="Times New Roman" w:hAnsi="Times New Roman" w:cs="Times New Roman" w:hint="default"/>
              </w:rPr>
            </w:pPr>
            <w:r w:rsidRPr="00775168">
              <w:rPr>
                <w:rFonts w:ascii="Times New Roman" w:hAnsi="Times New Roman"/>
              </w:rPr>
              <w:t xml:space="preserve">Asymptomatic, fully active, able to carry on unrestricted activity. </w:t>
            </w:r>
          </w:p>
        </w:tc>
      </w:tr>
      <w:tr w:rsidR="00743320" w:rsidRPr="00775168">
        <w:trPr>
          <w:trHeight w:val="929"/>
          <w:jc w:val="center"/>
        </w:trPr>
        <w:tc>
          <w:tcPr>
            <w:tcW w:w="1386" w:type="dxa"/>
            <w:vAlign w:val="center"/>
          </w:tcPr>
          <w:p w:rsidR="00743320" w:rsidRPr="00775168" w:rsidRDefault="00DF7F26">
            <w:pPr>
              <w:pStyle w:val="P68B1DB1-TableParagraph110"/>
              <w:spacing w:before="105"/>
              <w:ind w:left="115"/>
              <w:jc w:val="center"/>
              <w:rPr>
                <w:rFonts w:ascii="Times New Roman" w:hAnsi="Times New Roman"/>
              </w:rPr>
            </w:pPr>
            <w:r w:rsidRPr="00775168">
              <w:rPr>
                <w:rFonts w:ascii="Times New Roman" w:hAnsi="Times New Roman"/>
              </w:rPr>
              <w:t xml:space="preserve">1 </w:t>
            </w:r>
          </w:p>
        </w:tc>
        <w:tc>
          <w:tcPr>
            <w:tcW w:w="7443" w:type="dxa"/>
            <w:vAlign w:val="center"/>
          </w:tcPr>
          <w:p w:rsidR="00743320" w:rsidRPr="00775168" w:rsidRDefault="00DF7F26">
            <w:pPr>
              <w:pStyle w:val="P68B1DB1-TableParagraph10"/>
              <w:spacing w:line="438" w:lineRule="exact"/>
              <w:ind w:left="349"/>
              <w:rPr>
                <w:rFonts w:ascii="Times New Roman" w:hAnsi="Times New Roman" w:cs="Times New Roman" w:hint="default"/>
              </w:rPr>
            </w:pPr>
            <w:r w:rsidRPr="00775168">
              <w:rPr>
                <w:rFonts w:ascii="Times New Roman" w:hAnsi="Times New Roman"/>
              </w:rPr>
              <w:t xml:space="preserve">Symptomatic, able to walk at all, restricted in physically strenuous activity, able to carry out work of a light or sedentary nature, e.g., light house work, office work. </w:t>
            </w:r>
          </w:p>
        </w:tc>
      </w:tr>
      <w:tr w:rsidR="00743320" w:rsidRPr="00775168">
        <w:trPr>
          <w:trHeight w:val="944"/>
          <w:jc w:val="center"/>
        </w:trPr>
        <w:tc>
          <w:tcPr>
            <w:tcW w:w="1386" w:type="dxa"/>
            <w:vAlign w:val="center"/>
          </w:tcPr>
          <w:p w:rsidR="00743320" w:rsidRPr="00775168" w:rsidRDefault="00DF7F26">
            <w:pPr>
              <w:pStyle w:val="P68B1DB1-TableParagraph110"/>
              <w:spacing w:before="111"/>
              <w:ind w:left="115"/>
              <w:jc w:val="center"/>
              <w:rPr>
                <w:rFonts w:ascii="Times New Roman" w:hAnsi="Times New Roman"/>
              </w:rPr>
            </w:pPr>
            <w:r w:rsidRPr="00775168">
              <w:rPr>
                <w:rFonts w:ascii="Times New Roman" w:hAnsi="Times New Roman"/>
              </w:rPr>
              <w:t xml:space="preserve">2 </w:t>
            </w:r>
          </w:p>
        </w:tc>
        <w:tc>
          <w:tcPr>
            <w:tcW w:w="7443" w:type="dxa"/>
            <w:vAlign w:val="center"/>
          </w:tcPr>
          <w:p w:rsidR="00743320" w:rsidRPr="00775168" w:rsidRDefault="00DF7F26">
            <w:pPr>
              <w:pStyle w:val="P68B1DB1-TableParagraph10"/>
              <w:spacing w:line="444" w:lineRule="exact"/>
              <w:ind w:left="349"/>
              <w:rPr>
                <w:rFonts w:ascii="Times New Roman" w:hAnsi="Times New Roman" w:cs="Times New Roman" w:hint="default"/>
              </w:rPr>
            </w:pPr>
            <w:r w:rsidRPr="00775168">
              <w:rPr>
                <w:rFonts w:ascii="Times New Roman" w:hAnsi="Times New Roman"/>
              </w:rPr>
              <w:t xml:space="preserve">Symptomatic, ambulatory, capable of all self-care but unable to carry out any physical activity; up and about more than 50% of waking hours (&lt; 50% of daytime confined to bed). </w:t>
            </w:r>
          </w:p>
        </w:tc>
      </w:tr>
      <w:tr w:rsidR="00743320" w:rsidRPr="00775168">
        <w:trPr>
          <w:trHeight w:val="928"/>
          <w:jc w:val="center"/>
        </w:trPr>
        <w:tc>
          <w:tcPr>
            <w:tcW w:w="1386" w:type="dxa"/>
            <w:vAlign w:val="center"/>
          </w:tcPr>
          <w:p w:rsidR="00743320" w:rsidRPr="00775168" w:rsidRDefault="00DF7F26">
            <w:pPr>
              <w:pStyle w:val="P68B1DB1-TableParagraph110"/>
              <w:spacing w:before="103"/>
              <w:ind w:left="115"/>
              <w:jc w:val="center"/>
              <w:rPr>
                <w:rFonts w:ascii="Times New Roman" w:hAnsi="Times New Roman"/>
              </w:rPr>
            </w:pPr>
            <w:r w:rsidRPr="00775168">
              <w:rPr>
                <w:rFonts w:ascii="Times New Roman" w:hAnsi="Times New Roman"/>
              </w:rPr>
              <w:t xml:space="preserve">3 </w:t>
            </w:r>
          </w:p>
        </w:tc>
        <w:tc>
          <w:tcPr>
            <w:tcW w:w="7443" w:type="dxa"/>
            <w:vAlign w:val="center"/>
          </w:tcPr>
          <w:p w:rsidR="00743320" w:rsidRPr="00775168" w:rsidRDefault="00DF7F26">
            <w:pPr>
              <w:pStyle w:val="P68B1DB1-TableParagraph10"/>
              <w:spacing w:line="436" w:lineRule="exact"/>
              <w:ind w:left="349"/>
              <w:rPr>
                <w:rFonts w:ascii="Times New Roman" w:hAnsi="Times New Roman" w:cs="Times New Roman" w:hint="default"/>
              </w:rPr>
            </w:pPr>
            <w:r w:rsidRPr="00775168">
              <w:rPr>
                <w:rFonts w:ascii="Times New Roman" w:hAnsi="Times New Roman"/>
              </w:rPr>
              <w:t xml:space="preserve">Symptomatic, limited self-care, confined to bed or chair &gt; 50% of waking hours, but not yet bedridden. </w:t>
            </w:r>
          </w:p>
        </w:tc>
      </w:tr>
      <w:tr w:rsidR="00743320" w:rsidRPr="00775168">
        <w:trPr>
          <w:trHeight w:val="474"/>
          <w:jc w:val="center"/>
        </w:trPr>
        <w:tc>
          <w:tcPr>
            <w:tcW w:w="1386" w:type="dxa"/>
            <w:vAlign w:val="center"/>
          </w:tcPr>
          <w:p w:rsidR="00743320" w:rsidRPr="00775168" w:rsidRDefault="00DF7F26">
            <w:pPr>
              <w:pStyle w:val="P68B1DB1-TableParagraph110"/>
              <w:spacing w:before="111"/>
              <w:ind w:left="115"/>
              <w:jc w:val="center"/>
              <w:rPr>
                <w:rFonts w:ascii="Times New Roman" w:hAnsi="Times New Roman"/>
              </w:rPr>
            </w:pPr>
            <w:r w:rsidRPr="00775168">
              <w:rPr>
                <w:rFonts w:ascii="Times New Roman" w:hAnsi="Times New Roman"/>
              </w:rPr>
              <w:t xml:space="preserve">4 </w:t>
            </w:r>
          </w:p>
        </w:tc>
        <w:tc>
          <w:tcPr>
            <w:tcW w:w="7443" w:type="dxa"/>
            <w:vAlign w:val="center"/>
          </w:tcPr>
          <w:p w:rsidR="00743320" w:rsidRPr="00775168" w:rsidRDefault="00DF7F26">
            <w:pPr>
              <w:pStyle w:val="P68B1DB1-TableParagraph10"/>
              <w:spacing w:line="444" w:lineRule="exact"/>
              <w:ind w:left="349"/>
              <w:rPr>
                <w:rFonts w:ascii="Times New Roman" w:hAnsi="Times New Roman" w:cs="Times New Roman" w:hint="default"/>
              </w:rPr>
            </w:pPr>
            <w:r w:rsidRPr="00775168">
              <w:rPr>
                <w:rFonts w:ascii="Times New Roman" w:hAnsi="Times New Roman"/>
              </w:rPr>
              <w:t xml:space="preserve">Completely disabled, cannot carry on any selfcare, totally confined to bed. </w:t>
            </w:r>
          </w:p>
        </w:tc>
      </w:tr>
      <w:tr w:rsidR="00743320" w:rsidRPr="00775168">
        <w:trPr>
          <w:trHeight w:val="465"/>
          <w:jc w:val="center"/>
        </w:trPr>
        <w:tc>
          <w:tcPr>
            <w:tcW w:w="1386" w:type="dxa"/>
            <w:vAlign w:val="center"/>
          </w:tcPr>
          <w:p w:rsidR="00743320" w:rsidRPr="00775168" w:rsidRDefault="00DF7F26">
            <w:pPr>
              <w:pStyle w:val="P68B1DB1-TableParagraph110"/>
              <w:spacing w:before="105"/>
              <w:ind w:left="115"/>
              <w:jc w:val="center"/>
              <w:rPr>
                <w:rFonts w:ascii="Times New Roman" w:hAnsi="Times New Roman"/>
              </w:rPr>
            </w:pPr>
            <w:r w:rsidRPr="00775168">
              <w:rPr>
                <w:rFonts w:ascii="Times New Roman" w:hAnsi="Times New Roman"/>
              </w:rPr>
              <w:t xml:space="preserve">5 </w:t>
            </w:r>
          </w:p>
        </w:tc>
        <w:tc>
          <w:tcPr>
            <w:tcW w:w="7443" w:type="dxa"/>
            <w:vAlign w:val="center"/>
          </w:tcPr>
          <w:p w:rsidR="00743320" w:rsidRPr="00775168" w:rsidRDefault="00DF7F26">
            <w:pPr>
              <w:pStyle w:val="P68B1DB1-TableParagraph10"/>
              <w:spacing w:line="438" w:lineRule="exact"/>
              <w:ind w:left="349"/>
              <w:rPr>
                <w:rFonts w:ascii="Times New Roman" w:hAnsi="Times New Roman" w:cs="Times New Roman" w:hint="default"/>
              </w:rPr>
            </w:pPr>
            <w:r w:rsidRPr="00775168">
              <w:rPr>
                <w:rFonts w:ascii="Times New Roman" w:hAnsi="Times New Roman"/>
              </w:rPr>
              <w:t xml:space="preserve">Death. </w:t>
            </w:r>
          </w:p>
        </w:tc>
      </w:tr>
    </w:tbl>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jc w:val="center"/>
        <w:rPr>
          <w:sz w:val="24"/>
        </w:rPr>
      </w:pPr>
    </w:p>
    <w:p w:rsidR="00743320" w:rsidRPr="00775168" w:rsidRDefault="00743320">
      <w:pPr>
        <w:rPr>
          <w:sz w:val="24"/>
        </w:rPr>
      </w:pPr>
    </w:p>
    <w:p w:rsidR="00743320" w:rsidRPr="00775168" w:rsidRDefault="00743320">
      <w:pPr>
        <w:jc w:val="left"/>
        <w:rPr>
          <w:b/>
          <w:sz w:val="24"/>
        </w:rPr>
      </w:pPr>
    </w:p>
    <w:p w:rsidR="003A58EF" w:rsidRPr="00775168" w:rsidRDefault="003A58EF">
      <w:pPr>
        <w:widowControl/>
        <w:jc w:val="left"/>
        <w:rPr>
          <w:b/>
          <w:sz w:val="24"/>
        </w:rPr>
      </w:pPr>
      <w:r w:rsidRPr="00775168">
        <w:rPr>
          <w:b/>
          <w:sz w:val="24"/>
        </w:rPr>
        <w:br w:type="page"/>
      </w:r>
    </w:p>
    <w:p w:rsidR="00743320" w:rsidRPr="00775168" w:rsidRDefault="0089050C">
      <w:pPr>
        <w:pStyle w:val="P68B1DB1-116"/>
        <w:rPr>
          <w:rFonts w:ascii="Times New Roman" w:hAnsi="Times New Roman" w:cs="Times New Roman" w:hint="default"/>
        </w:rPr>
      </w:pPr>
      <w:bookmarkStart w:id="390" w:name="_Toc178589732"/>
      <w:bookmarkStart w:id="391" w:name="_Toc512941756"/>
      <w:bookmarkStart w:id="392" w:name="_Toc512941002"/>
      <w:r>
        <w:rPr>
          <w:rFonts w:ascii="Times New Roman" w:hAnsi="Times New Roman"/>
        </w:rPr>
        <w:lastRenderedPageBreak/>
        <w:t>Appendix II</w:t>
      </w:r>
      <w:r w:rsidR="00DF7F26" w:rsidRPr="00775168">
        <w:rPr>
          <w:rFonts w:ascii="Times New Roman" w:hAnsi="Times New Roman"/>
        </w:rPr>
        <w:t xml:space="preserve"> Grading of cardiac insufficiency</w:t>
      </w:r>
      <w:bookmarkEnd w:id="390"/>
      <w:r w:rsidR="00DF7F26" w:rsidRPr="00775168">
        <w:rPr>
          <w:rFonts w:ascii="Times New Roman" w:hAnsi="Times New Roman"/>
        </w:rPr>
        <w:t xml:space="preserve"> </w:t>
      </w:r>
      <w:bookmarkEnd w:id="391"/>
      <w:bookmarkEnd w:id="392"/>
    </w:p>
    <w:p w:rsidR="00743320" w:rsidRPr="00775168" w:rsidRDefault="00743320">
      <w:pPr>
        <w:jc w:val="left"/>
        <w:rPr>
          <w:b/>
          <w:sz w:val="24"/>
        </w:rPr>
      </w:pP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According to the Ninth Revision of the New York Heart Association (NYHA) 1994 </w:t>
      </w:r>
    </w:p>
    <w:p w:rsidR="00743320" w:rsidRPr="00775168" w:rsidRDefault="00DF7F26">
      <w:pPr>
        <w:pStyle w:val="P68B1DB1-a017"/>
        <w:adjustRightInd w:val="0"/>
        <w:snapToGrid w:val="0"/>
        <w:spacing w:line="360" w:lineRule="auto"/>
        <w:ind w:firstLineChars="200" w:firstLine="480"/>
        <w:rPr>
          <w:rFonts w:hAnsi="Times New Roman" w:hint="default"/>
        </w:rPr>
      </w:pPr>
      <w:r w:rsidRPr="00775168">
        <w:rPr>
          <w:rFonts w:hAnsi="Times New Roman"/>
        </w:rPr>
        <w:t>①</w:t>
      </w:r>
      <w:r w:rsidRPr="00775168">
        <w:rPr>
          <w:rFonts w:hAnsi="Times New Roman"/>
        </w:rPr>
        <w:t xml:space="preserve"> Cardiac function grade I: suffering from heart disease, but physical activity is not limited, and general physical activity does not cause excessive fatigue, palpitation, dyspnea or angina pectoris. ( Compensated cardiac function); </w:t>
      </w:r>
    </w:p>
    <w:p w:rsidR="00743320" w:rsidRPr="00775168" w:rsidRDefault="00DF7F26">
      <w:pPr>
        <w:pStyle w:val="P68B1DB1-a017"/>
        <w:adjustRightInd w:val="0"/>
        <w:snapToGrid w:val="0"/>
        <w:spacing w:line="360" w:lineRule="auto"/>
        <w:ind w:firstLineChars="200" w:firstLine="480"/>
        <w:rPr>
          <w:rFonts w:hAnsi="Times New Roman" w:hint="default"/>
        </w:rPr>
      </w:pPr>
      <w:r w:rsidRPr="00775168">
        <w:rPr>
          <w:rFonts w:hAnsi="Times New Roman"/>
        </w:rPr>
        <w:t>②</w:t>
      </w:r>
      <w:r w:rsidRPr="00775168">
        <w:rPr>
          <w:rFonts w:hAnsi="Times New Roman"/>
        </w:rPr>
        <w:t xml:space="preserve"> Cardiac function grade II (mild): suffering from heart disease, slightly limited physical activity, asymptomatic at rest, and comfortable, but general physical activity will cause fatigue, palpitation, dyspnea or angina pectoris. ( I </w:t>
      </w:r>
      <w:r w:rsidRPr="00775168">
        <w:rPr>
          <w:rFonts w:hAnsi="Times New Roman"/>
        </w:rPr>
        <w:t>°</w:t>
      </w:r>
      <w:r w:rsidRPr="00775168">
        <w:rPr>
          <w:rFonts w:hAnsi="Times New Roman"/>
        </w:rPr>
        <w:t xml:space="preserve"> heart failure); </w:t>
      </w:r>
    </w:p>
    <w:p w:rsidR="00743320" w:rsidRPr="00775168" w:rsidRDefault="00DF7F26">
      <w:pPr>
        <w:pStyle w:val="P68B1DB1-a017"/>
        <w:adjustRightInd w:val="0"/>
        <w:snapToGrid w:val="0"/>
        <w:spacing w:line="360" w:lineRule="auto"/>
        <w:ind w:firstLineChars="200" w:firstLine="480"/>
        <w:rPr>
          <w:rFonts w:hAnsi="Times New Roman" w:hint="default"/>
        </w:rPr>
      </w:pPr>
      <w:r w:rsidRPr="00775168">
        <w:rPr>
          <w:rFonts w:hAnsi="Times New Roman"/>
        </w:rPr>
        <w:t>③</w:t>
      </w:r>
      <w:r w:rsidRPr="00775168">
        <w:rPr>
          <w:rFonts w:hAnsi="Times New Roman"/>
        </w:rPr>
        <w:t xml:space="preserve"> Cardiac function grade III (moderate): suffering from heart disease, limited physical activity, asymptomatic at rest, and comfortable, but generally mild physical activity will cause fatigue, palpitation, dyspnea or angina pectoris. ( II </w:t>
      </w:r>
      <w:r w:rsidRPr="00775168">
        <w:rPr>
          <w:rFonts w:hAnsi="Times New Roman"/>
        </w:rPr>
        <w:t>°</w:t>
      </w:r>
      <w:r w:rsidRPr="00775168">
        <w:rPr>
          <w:rFonts w:hAnsi="Times New Roman"/>
        </w:rPr>
        <w:t xml:space="preserve"> heart failure); </w:t>
      </w:r>
    </w:p>
    <w:p w:rsidR="00743320" w:rsidRPr="00775168" w:rsidRDefault="00DF7F26">
      <w:pPr>
        <w:pStyle w:val="P68B1DB1-a017"/>
        <w:adjustRightInd w:val="0"/>
        <w:snapToGrid w:val="0"/>
        <w:spacing w:line="360" w:lineRule="auto"/>
        <w:ind w:firstLineChars="200" w:firstLine="480"/>
        <w:rPr>
          <w:rFonts w:hAnsi="Times New Roman" w:hint="default"/>
        </w:rPr>
      </w:pPr>
      <w:r w:rsidRPr="00775168">
        <w:rPr>
          <w:rFonts w:hAnsi="Times New Roman"/>
        </w:rPr>
        <w:t>④</w:t>
      </w:r>
      <w:r w:rsidRPr="00775168">
        <w:rPr>
          <w:rFonts w:hAnsi="Times New Roman"/>
        </w:rPr>
        <w:t xml:space="preserve"> Cardiac function grade IV (severe): suffering from heart disease, complete loss of physical ability, heart failure symptoms or angina pectoris may still exist at rest, that is, dyspnea and fatigue, and any physical activity will aggravate the symptoms. That is, mild activity can aggravate dyspnea and fatigue (III </w:t>
      </w:r>
      <w:r w:rsidRPr="00775168">
        <w:rPr>
          <w:rFonts w:hAnsi="Times New Roman"/>
        </w:rPr>
        <w:t>°</w:t>
      </w:r>
      <w:r w:rsidRPr="00775168">
        <w:rPr>
          <w:rFonts w:hAnsi="Times New Roman"/>
        </w:rPr>
        <w:t xml:space="preserve"> heart failure) </w:t>
      </w: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743320">
      <w:pPr>
        <w:adjustRightInd w:val="0"/>
        <w:snapToGrid w:val="0"/>
        <w:spacing w:line="360" w:lineRule="auto"/>
        <w:ind w:firstLineChars="200" w:firstLine="480"/>
        <w:rPr>
          <w:sz w:val="24"/>
        </w:rPr>
      </w:pPr>
    </w:p>
    <w:p w:rsidR="00743320" w:rsidRPr="00775168" w:rsidRDefault="00DF7F26">
      <w:pPr>
        <w:pStyle w:val="P68B1DB1-116"/>
        <w:rPr>
          <w:rFonts w:ascii="Times New Roman" w:hAnsi="Times New Roman" w:cs="Times New Roman" w:hint="default"/>
        </w:rPr>
      </w:pPr>
      <w:bookmarkStart w:id="393" w:name="_Toc178589733"/>
      <w:bookmarkStart w:id="394" w:name="_Toc512941757"/>
      <w:bookmarkStart w:id="395" w:name="_Toc512941003"/>
      <w:r w:rsidRPr="00775168">
        <w:rPr>
          <w:rFonts w:ascii="Times New Roman" w:hAnsi="Times New Roman"/>
        </w:rPr>
        <w:lastRenderedPageBreak/>
        <w:t>Appendix III TNM staging of lung cancer (extracted from Chinese Guidelines for Diagnosis and Treatment of Primary Lung Cancer)</w:t>
      </w:r>
      <w:bookmarkEnd w:id="393"/>
      <w:r w:rsidRPr="00775168">
        <w:rPr>
          <w:rFonts w:ascii="Times New Roman" w:hAnsi="Times New Roman"/>
        </w:rPr>
        <w:t xml:space="preserve"> </w:t>
      </w:r>
      <w:bookmarkEnd w:id="394"/>
      <w:bookmarkEnd w:id="395"/>
    </w:p>
    <w:p w:rsidR="00743320" w:rsidRPr="00775168" w:rsidRDefault="00DF7F26">
      <w:pPr>
        <w:pStyle w:val="P68B1DB1-a031"/>
        <w:adjustRightInd w:val="0"/>
        <w:snapToGrid w:val="0"/>
        <w:spacing w:line="360" w:lineRule="auto"/>
        <w:ind w:firstLineChars="200" w:firstLine="482"/>
        <w:rPr>
          <w:rFonts w:hAnsi="Times New Roman" w:hint="default"/>
        </w:rPr>
      </w:pPr>
      <w:r w:rsidRPr="00775168">
        <w:rPr>
          <w:rFonts w:hAnsi="Times New Roman"/>
        </w:rPr>
        <w:t xml:space="preserve">Aberrant cell lung cancer: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At present, the TNM staging of cell lung cancer uses the International Association for the Study of Lung Cancer (IASLC) 2009 seventh edition staging criteria (IASLC 2009).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Definition of T, N, and M in TNM staging of lung cancer.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(1) Primary tumor (T).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TX: tumors in which the primary tumor cannot be assessed, or cancer cells are found on sputum and bronchial washings but are not visible on imaging or bronchoscopy.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T0: No evidence of primary tumor.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Tis: carcinoma in situ.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T1: The maximum diameter of the tumor was </w:t>
      </w:r>
      <w:r w:rsidRPr="00775168">
        <w:rPr>
          <w:rFonts w:hAnsi="Times New Roman"/>
        </w:rPr>
        <w:t>≤</w:t>
      </w:r>
      <w:r w:rsidRPr="00775168">
        <w:rPr>
          <w:rFonts w:hAnsi="Times New Roman"/>
        </w:rPr>
        <w:t xml:space="preserve"> 3 cm, surrounded by the lung or visceral pleura, and bronchoscopic tumor invasion did not extend beyond the lobar bronchi (i.e., did not involve the main bronchi).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T1a: The maximum diameter of tumor is </w:t>
      </w:r>
      <w:r w:rsidRPr="00775168">
        <w:rPr>
          <w:rFonts w:hAnsi="Times New Roman"/>
        </w:rPr>
        <w:t>≤</w:t>
      </w:r>
      <w:r w:rsidRPr="00775168">
        <w:rPr>
          <w:rFonts w:hAnsi="Times New Roman"/>
        </w:rPr>
        <w:t xml:space="preserve"> 2 cm. T1b: Maximum tumor diameter &gt; 2 cm and </w:t>
      </w:r>
      <w:r w:rsidRPr="00775168">
        <w:rPr>
          <w:rFonts w:hAnsi="Times New Roman"/>
        </w:rPr>
        <w:t>≤</w:t>
      </w:r>
      <w:r w:rsidRPr="00775168">
        <w:rPr>
          <w:rFonts w:hAnsi="Times New Roman"/>
        </w:rPr>
        <w:t xml:space="preserve"> 3 cm.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T2: Tumor size or extent consistent with any of the following: tumor measuring &gt; 3 cm in greatest dimension; not exceeding 7 cm; involving main bronchus, but </w:t>
      </w:r>
      <w:r w:rsidRPr="00775168">
        <w:rPr>
          <w:rFonts w:hAnsi="Times New Roman"/>
        </w:rPr>
        <w:t>≥</w:t>
      </w:r>
      <w:r w:rsidRPr="00775168">
        <w:rPr>
          <w:rFonts w:hAnsi="Times New Roman"/>
        </w:rPr>
        <w:t xml:space="preserve"> 2 cm from the process; involving visceral pleura; atelectasis or obstructive pneumonia extending into hilum but not involving whole lung.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T2a: Tumor </w:t>
      </w:r>
      <w:r w:rsidRPr="00775168">
        <w:rPr>
          <w:rFonts w:hAnsi="Times New Roman"/>
        </w:rPr>
        <w:t>≤</w:t>
      </w:r>
      <w:r w:rsidRPr="00775168">
        <w:rPr>
          <w:rFonts w:hAnsi="Times New Roman"/>
        </w:rPr>
        <w:t xml:space="preserve"> 5 cm in greatest dimension and meets any of the following: Tumor &gt; 3 cm in greatest dimension; involves main bronchus but is </w:t>
      </w:r>
      <w:r w:rsidRPr="00775168">
        <w:rPr>
          <w:rFonts w:hAnsi="Times New Roman"/>
        </w:rPr>
        <w:t>≥</w:t>
      </w:r>
      <w:r w:rsidRPr="00775168">
        <w:rPr>
          <w:rFonts w:hAnsi="Times New Roman"/>
        </w:rPr>
        <w:t xml:space="preserve"> 2 cm from the process; involves visceral pleura; atelectasis or obstructive pneumonia extending into the hilum but does not involve the entire lung.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T2b: Maximum tumor diameter &gt; 5 cm and </w:t>
      </w:r>
      <w:r w:rsidRPr="00775168">
        <w:rPr>
          <w:rFonts w:hAnsi="Times New Roman"/>
        </w:rPr>
        <w:t>≤</w:t>
      </w:r>
      <w:r w:rsidRPr="00775168">
        <w:rPr>
          <w:rFonts w:hAnsi="Times New Roman"/>
        </w:rPr>
        <w:t xml:space="preserve"> 7 cm.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T3: Any tumor of any size that has directly invaded one of the following structures: chest wall (including suprapulmonary grooves), diaphragm, mediastinal pleura, pericardium; or the tumor is located in the main bronchus within 2 cm from the rumen, but has not yet involved the rumen; or atelectasis or obstructive pneumonia in the whole lung. The maximum diameter of the tumor was &gt; 7 cm; single or multiple satellite lesions in the same lobe as the primary tumor.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T4: Tumor of any size that has directly invaded one of the following structures: mediastinum, heart, great vessels, trachea, esophagus, recurrent laryngeal nerve, vertebral body, and rumen; or single or multiple lesions in different lobes from the primary tumor.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(2) Regional lymph nodes (N).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t xml:space="preserve">NX: Regional lymph nodes not evaluable. N0: No regional lymph node metastasis. </w:t>
      </w:r>
    </w:p>
    <w:p w:rsidR="00743320" w:rsidRPr="00775168" w:rsidRDefault="00DF7F26">
      <w:pPr>
        <w:pStyle w:val="P68B1DB1-a023"/>
        <w:adjustRightInd w:val="0"/>
        <w:snapToGrid w:val="0"/>
        <w:spacing w:line="360" w:lineRule="auto"/>
        <w:ind w:firstLineChars="200" w:firstLine="480"/>
        <w:rPr>
          <w:rFonts w:hAnsi="Times New Roman" w:hint="default"/>
        </w:rPr>
      </w:pPr>
      <w:r w:rsidRPr="00775168">
        <w:rPr>
          <w:rFonts w:hAnsi="Times New Roman"/>
        </w:rPr>
        <w:lastRenderedPageBreak/>
        <w:t xml:space="preserve">N1: metastasis to ipsilateral parabronchial lymph nodes and/or ipsilateral hilar lymph nodes, and intrapulmonary lymph nodes, including direct invasion by the primary tumor. </w:t>
      </w:r>
    </w:p>
    <w:p w:rsidR="00743320" w:rsidRPr="00775168" w:rsidRDefault="00DF7F26">
      <w:pPr>
        <w:pStyle w:val="P68B1DB1-a023"/>
        <w:adjustRightInd w:val="0"/>
        <w:snapToGrid w:val="0"/>
        <w:spacing w:line="360" w:lineRule="auto"/>
        <w:ind w:leftChars="200" w:left="420"/>
        <w:jc w:val="left"/>
        <w:rPr>
          <w:rFonts w:hAnsi="Times New Roman" w:hint="default"/>
        </w:rPr>
      </w:pPr>
      <w:r w:rsidRPr="00775168">
        <w:rPr>
          <w:rFonts w:hAnsi="Times New Roman"/>
        </w:rPr>
        <w:t xml:space="preserve">N2: Metastases to ipsilateral mediastinal and/or subcarinal lymph nodes. N3: Metastasis to mediastinal, hilar, ipsilateral, or scalene, or supraclavicular lymph nodes.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(3) Distant metastasis (M). MX: Distant metastases cannot be assessed. M0: No flip. M1: Distant metastasis.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M1a: pleural dissemination (including malignant pleural effusion, malignant pericardial effusion, pleural metastatic nodules); metastatic nodules in the lobe of the lung.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M1b: Extrathoracic distant metastasis. </w:t>
      </w:r>
    </w:p>
    <w:p w:rsidR="00743320" w:rsidRPr="00775168" w:rsidRDefault="00DF7F26">
      <w:pPr>
        <w:pStyle w:val="P68B1DB1-a017"/>
        <w:adjustRightInd w:val="0"/>
        <w:snapToGrid w:val="0"/>
        <w:spacing w:line="360" w:lineRule="auto"/>
        <w:ind w:firstLineChars="200" w:firstLine="480"/>
        <w:jc w:val="left"/>
        <w:rPr>
          <w:rFonts w:hAnsi="Times New Roman" w:hint="default"/>
        </w:rPr>
      </w:pPr>
      <w:r w:rsidRPr="00775168">
        <w:rPr>
          <w:rFonts w:hAnsi="Times New Roman"/>
        </w:rPr>
        <w:t xml:space="preserve">Most patients with lung cancer have pleural effusion (or pericardial effusion) caused by tumors. However, if multiple cytological examinations of pleural effusion (or pericardial effusion) fail to find cancer cells, and pleural effusion (or pericardial effusion) is non-bloody or non-exudative, it is clinically judged that the pleural effusion (or pericardial effusion) is not related to the tumor, and this type of pleural effusion (or pericardial effusion) does not affect the stage. </w:t>
      </w:r>
    </w:p>
    <w:p w:rsidR="00743320" w:rsidRPr="00775168" w:rsidRDefault="00743320">
      <w:pPr>
        <w:adjustRightInd w:val="0"/>
        <w:snapToGrid w:val="0"/>
        <w:spacing w:line="360" w:lineRule="auto"/>
        <w:ind w:firstLineChars="200" w:firstLine="480"/>
        <w:jc w:val="left"/>
        <w:rPr>
          <w:sz w:val="24"/>
        </w:rPr>
      </w:pP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2. TNM staging of lung cancer (IASLC 2009). </w:t>
      </w:r>
    </w:p>
    <w:p w:rsidR="00743320" w:rsidRPr="00775168" w:rsidRDefault="00743320">
      <w:pPr>
        <w:adjustRightInd w:val="0"/>
        <w:snapToGrid w:val="0"/>
        <w:spacing w:line="360" w:lineRule="auto"/>
        <w:ind w:firstLineChars="200" w:firstLine="480"/>
        <w:jc w:val="left"/>
        <w:rPr>
          <w:sz w:val="24"/>
        </w:rPr>
      </w:pPr>
    </w:p>
    <w:tbl>
      <w:tblPr>
        <w:tblW w:w="6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78"/>
        <w:gridCol w:w="4722"/>
      </w:tblGrid>
      <w:tr w:rsidR="00743320" w:rsidRPr="00775168">
        <w:trPr>
          <w:trHeight w:val="293"/>
          <w:jc w:val="center"/>
        </w:trPr>
        <w:tc>
          <w:tcPr>
            <w:tcW w:w="1578" w:type="dxa"/>
            <w:vAlign w:val="center"/>
          </w:tcPr>
          <w:p w:rsidR="00743320" w:rsidRPr="00775168" w:rsidRDefault="00743320">
            <w:pPr>
              <w:pStyle w:val="TableParagraph"/>
              <w:jc w:val="center"/>
              <w:rPr>
                <w:rFonts w:ascii="Times New Roman" w:hAnsi="Times New Roman" w:cs="Times New Roman"/>
              </w:rPr>
            </w:pPr>
          </w:p>
        </w:tc>
        <w:tc>
          <w:tcPr>
            <w:tcW w:w="4722" w:type="dxa"/>
            <w:vAlign w:val="center"/>
          </w:tcPr>
          <w:p w:rsidR="00743320" w:rsidRPr="00775168" w:rsidRDefault="00DF7F26">
            <w:pPr>
              <w:pStyle w:val="P68B1DB1-TableParagraph111"/>
              <w:spacing w:line="274" w:lineRule="exact"/>
              <w:ind w:left="117"/>
              <w:jc w:val="center"/>
              <w:rPr>
                <w:rFonts w:ascii="Times New Roman" w:hAnsi="Times New Roman" w:cs="Times New Roman"/>
              </w:rPr>
            </w:pPr>
            <w:r w:rsidRPr="00775168">
              <w:rPr>
                <w:rFonts w:ascii="Times New Roman" w:hAnsi="Times New Roman" w:hint="eastAsia"/>
              </w:rPr>
              <w:t xml:space="preserve">TNM staging of lung cancer (IASLC 2009) </w:t>
            </w:r>
          </w:p>
        </w:tc>
      </w:tr>
      <w:tr w:rsidR="00743320" w:rsidRPr="00775168">
        <w:trPr>
          <w:trHeight w:val="520"/>
          <w:jc w:val="center"/>
        </w:trPr>
        <w:tc>
          <w:tcPr>
            <w:tcW w:w="1578" w:type="dxa"/>
            <w:vAlign w:val="center"/>
          </w:tcPr>
          <w:p w:rsidR="00743320" w:rsidRPr="00775168" w:rsidRDefault="00DF7F26">
            <w:pPr>
              <w:pStyle w:val="P68B1DB1-TableParagraph112"/>
              <w:spacing w:before="104" w:line="396" w:lineRule="exact"/>
              <w:ind w:left="734"/>
              <w:jc w:val="center"/>
              <w:rPr>
                <w:rFonts w:ascii="Times New Roman" w:hAnsi="Times New Roman" w:cs="Times New Roman" w:hint="default"/>
              </w:rPr>
            </w:pPr>
            <w:r w:rsidRPr="00775168">
              <w:rPr>
                <w:rFonts w:ascii="Times New Roman" w:hAnsi="Times New Roman"/>
              </w:rPr>
              <w:t xml:space="preserve">Phase </w:t>
            </w:r>
          </w:p>
        </w:tc>
        <w:tc>
          <w:tcPr>
            <w:tcW w:w="4722" w:type="dxa"/>
            <w:vAlign w:val="center"/>
          </w:tcPr>
          <w:p w:rsidR="00743320" w:rsidRPr="00775168" w:rsidRDefault="00743320">
            <w:pPr>
              <w:pStyle w:val="TableParagraph"/>
              <w:spacing w:before="6"/>
              <w:jc w:val="center"/>
              <w:rPr>
                <w:rFonts w:ascii="Times New Roman" w:hAnsi="Times New Roman" w:cs="Times New Roman"/>
                <w:sz w:val="10"/>
              </w:rPr>
            </w:pPr>
          </w:p>
          <w:p w:rsidR="00743320" w:rsidRPr="00775168" w:rsidRDefault="00DF7F26">
            <w:pPr>
              <w:pStyle w:val="P68B1DB1-TableParagraph113"/>
              <w:spacing w:before="1"/>
              <w:ind w:left="2265" w:right="1950"/>
              <w:jc w:val="center"/>
              <w:rPr>
                <w:rFonts w:hAnsi="Times New Roman"/>
              </w:rPr>
            </w:pPr>
            <w:r w:rsidRPr="00775168">
              <w:rPr>
                <w:rFonts w:hAnsi="Times New Roman"/>
              </w:rPr>
              <w:t xml:space="preserve">TNM </w:t>
            </w:r>
          </w:p>
        </w:tc>
      </w:tr>
      <w:tr w:rsidR="00743320" w:rsidRPr="00775168">
        <w:trPr>
          <w:trHeight w:val="611"/>
          <w:jc w:val="center"/>
        </w:trPr>
        <w:tc>
          <w:tcPr>
            <w:tcW w:w="1578" w:type="dxa"/>
            <w:vAlign w:val="center"/>
          </w:tcPr>
          <w:p w:rsidR="00743320" w:rsidRPr="00775168" w:rsidRDefault="00DF7F26">
            <w:pPr>
              <w:pStyle w:val="P68B1DB1-TableParagraph112"/>
              <w:spacing w:before="104"/>
              <w:ind w:left="108"/>
              <w:jc w:val="center"/>
              <w:rPr>
                <w:rFonts w:ascii="Times New Roman" w:hAnsi="Times New Roman" w:cs="Times New Roman" w:hint="default"/>
              </w:rPr>
            </w:pPr>
            <w:r w:rsidRPr="00775168">
              <w:rPr>
                <w:rFonts w:ascii="Times New Roman" w:hAnsi="Times New Roman"/>
              </w:rPr>
              <w:t xml:space="preserve">Invisible lung cancer </w:t>
            </w:r>
          </w:p>
        </w:tc>
        <w:tc>
          <w:tcPr>
            <w:tcW w:w="4722" w:type="dxa"/>
            <w:vAlign w:val="center"/>
          </w:tcPr>
          <w:p w:rsidR="00743320" w:rsidRPr="00775168" w:rsidRDefault="00DF7F26">
            <w:pPr>
              <w:pStyle w:val="P68B1DB1-TableParagraph111"/>
              <w:spacing w:before="104"/>
              <w:ind w:left="421"/>
              <w:jc w:val="center"/>
              <w:rPr>
                <w:rFonts w:ascii="Times New Roman" w:hAnsi="Times New Roman" w:cs="Times New Roman"/>
              </w:rPr>
            </w:pPr>
            <w:r w:rsidRPr="00775168">
              <w:rPr>
                <w:rFonts w:ascii="Times New Roman" w:eastAsia="Times New Roman" w:hAnsi="Times New Roman" w:cs="Times New Roman"/>
              </w:rPr>
              <w:t xml:space="preserve">Tx, N0, M0 </w:t>
            </w:r>
          </w:p>
        </w:tc>
      </w:tr>
      <w:tr w:rsidR="00743320" w:rsidRPr="00775168">
        <w:trPr>
          <w:trHeight w:val="519"/>
          <w:jc w:val="center"/>
        </w:trPr>
        <w:tc>
          <w:tcPr>
            <w:tcW w:w="1578" w:type="dxa"/>
            <w:vAlign w:val="center"/>
          </w:tcPr>
          <w:p w:rsidR="00743320" w:rsidRPr="00775168" w:rsidRDefault="00DF7F26">
            <w:pPr>
              <w:pStyle w:val="P68B1DB1-TableParagraph113"/>
              <w:spacing w:before="127"/>
              <w:ind w:left="108"/>
              <w:jc w:val="center"/>
              <w:rPr>
                <w:rFonts w:hAnsi="Times New Roman"/>
              </w:rPr>
            </w:pPr>
            <w:r w:rsidRPr="00775168">
              <w:rPr>
                <w:rFonts w:hAnsi="Times New Roman"/>
              </w:rPr>
              <w:t xml:space="preserve">0 </w:t>
            </w:r>
          </w:p>
        </w:tc>
        <w:tc>
          <w:tcPr>
            <w:tcW w:w="4722" w:type="dxa"/>
            <w:vAlign w:val="center"/>
          </w:tcPr>
          <w:p w:rsidR="00743320" w:rsidRPr="00775168" w:rsidRDefault="00DF7F26">
            <w:pPr>
              <w:pStyle w:val="P68B1DB1-TableParagraph111"/>
              <w:spacing w:before="13"/>
              <w:ind w:left="421"/>
              <w:jc w:val="center"/>
              <w:rPr>
                <w:rFonts w:ascii="Times New Roman" w:hAnsi="Times New Roman" w:cs="Times New Roman"/>
              </w:rPr>
            </w:pPr>
            <w:r w:rsidRPr="00775168">
              <w:rPr>
                <w:rFonts w:ascii="Times New Roman" w:hAnsi="Times New Roman" w:hint="eastAsia"/>
              </w:rPr>
              <w:t xml:space="preserve">Tis, N0, M0 </w:t>
            </w:r>
          </w:p>
        </w:tc>
      </w:tr>
      <w:tr w:rsidR="00743320" w:rsidRPr="00775168">
        <w:trPr>
          <w:trHeight w:val="519"/>
          <w:jc w:val="center"/>
        </w:trPr>
        <w:tc>
          <w:tcPr>
            <w:tcW w:w="1578" w:type="dxa"/>
            <w:vAlign w:val="center"/>
          </w:tcPr>
          <w:p w:rsidR="00743320" w:rsidRPr="00775168" w:rsidRDefault="00DF7F26">
            <w:pPr>
              <w:pStyle w:val="P68B1DB1-TableParagraph113"/>
              <w:spacing w:before="126"/>
              <w:ind w:left="108"/>
              <w:jc w:val="center"/>
              <w:rPr>
                <w:rFonts w:hAnsi="Times New Roman"/>
              </w:rPr>
            </w:pPr>
            <w:r w:rsidRPr="00775168">
              <w:rPr>
                <w:rFonts w:hAnsi="Times New Roman"/>
              </w:rPr>
              <w:t xml:space="preserve">IA </w:t>
            </w:r>
          </w:p>
        </w:tc>
        <w:tc>
          <w:tcPr>
            <w:tcW w:w="4722" w:type="dxa"/>
            <w:vAlign w:val="center"/>
          </w:tcPr>
          <w:p w:rsidR="00743320" w:rsidRPr="00775168" w:rsidRDefault="00DF7F26">
            <w:pPr>
              <w:pStyle w:val="TableParagraph"/>
              <w:spacing w:before="13"/>
              <w:ind w:left="421"/>
              <w:jc w:val="center"/>
              <w:rPr>
                <w:rFonts w:ascii="Times New Roman" w:eastAsia="Times New Roman" w:hAnsi="Times New Roman" w:cs="Times New Roman"/>
                <w:sz w:val="14"/>
              </w:rPr>
            </w:pPr>
            <w:r w:rsidRPr="00775168">
              <w:rPr>
                <w:rFonts w:ascii="Times New Roman" w:eastAsia="Times New Roman" w:hAnsi="Times New Roman" w:cs="Times New Roman"/>
                <w:position w:val="3"/>
                <w:sz w:val="21"/>
              </w:rPr>
              <w:t xml:space="preserve">T1a, b, N0, M0 </w:t>
            </w:r>
          </w:p>
        </w:tc>
      </w:tr>
      <w:tr w:rsidR="00743320" w:rsidRPr="00775168">
        <w:trPr>
          <w:trHeight w:val="521"/>
          <w:jc w:val="center"/>
        </w:trPr>
        <w:tc>
          <w:tcPr>
            <w:tcW w:w="1578" w:type="dxa"/>
            <w:vAlign w:val="center"/>
          </w:tcPr>
          <w:p w:rsidR="00743320" w:rsidRPr="00775168" w:rsidRDefault="00DF7F26">
            <w:pPr>
              <w:pStyle w:val="P68B1DB1-TableParagraph113"/>
              <w:spacing w:before="127"/>
              <w:ind w:left="108"/>
              <w:jc w:val="center"/>
              <w:rPr>
                <w:rFonts w:hAnsi="Times New Roman"/>
              </w:rPr>
            </w:pPr>
            <w:r w:rsidRPr="00775168">
              <w:rPr>
                <w:rFonts w:hAnsi="Times New Roman"/>
              </w:rPr>
              <w:t xml:space="preserve">IB </w:t>
            </w:r>
          </w:p>
        </w:tc>
        <w:tc>
          <w:tcPr>
            <w:tcW w:w="4722" w:type="dxa"/>
            <w:vAlign w:val="center"/>
          </w:tcPr>
          <w:p w:rsidR="00743320" w:rsidRPr="00775168" w:rsidRDefault="00DF7F26">
            <w:pPr>
              <w:pStyle w:val="P68B1DB1-TableParagraph111"/>
              <w:spacing w:before="13"/>
              <w:ind w:left="421"/>
              <w:jc w:val="center"/>
              <w:rPr>
                <w:rFonts w:ascii="Times New Roman" w:hAnsi="Times New Roman" w:cs="Times New Roman"/>
              </w:rPr>
            </w:pPr>
            <w:r w:rsidRPr="00775168">
              <w:rPr>
                <w:rFonts w:ascii="Times New Roman" w:eastAsia="Times New Roman" w:hAnsi="Times New Roman" w:cs="Times New Roman"/>
              </w:rPr>
              <w:t xml:space="preserve">T2a, N0, M0 </w:t>
            </w:r>
          </w:p>
        </w:tc>
      </w:tr>
      <w:tr w:rsidR="00743320" w:rsidRPr="00775168">
        <w:trPr>
          <w:trHeight w:val="519"/>
          <w:jc w:val="center"/>
        </w:trPr>
        <w:tc>
          <w:tcPr>
            <w:tcW w:w="1578" w:type="dxa"/>
            <w:vAlign w:val="center"/>
          </w:tcPr>
          <w:p w:rsidR="00743320" w:rsidRPr="00775168" w:rsidRDefault="00DF7F26">
            <w:pPr>
              <w:pStyle w:val="P68B1DB1-TableParagraph113"/>
              <w:spacing w:before="128"/>
              <w:ind w:left="108"/>
              <w:jc w:val="center"/>
              <w:rPr>
                <w:rFonts w:hAnsi="Times New Roman"/>
              </w:rPr>
            </w:pPr>
            <w:r w:rsidRPr="00775168">
              <w:rPr>
                <w:rFonts w:hAnsi="Times New Roman"/>
              </w:rPr>
              <w:t xml:space="preserve">IIA </w:t>
            </w:r>
          </w:p>
        </w:tc>
        <w:tc>
          <w:tcPr>
            <w:tcW w:w="4722" w:type="dxa"/>
            <w:vAlign w:val="center"/>
          </w:tcPr>
          <w:p w:rsidR="00743320" w:rsidRPr="00775168" w:rsidRDefault="00DF7F26">
            <w:pPr>
              <w:pStyle w:val="TableParagraph"/>
              <w:spacing w:before="14"/>
              <w:ind w:left="421"/>
              <w:jc w:val="center"/>
              <w:rPr>
                <w:rFonts w:ascii="Times New Roman" w:eastAsia="Times New Roman" w:hAnsi="Times New Roman" w:cs="Times New Roman"/>
                <w:sz w:val="14"/>
              </w:rPr>
            </w:pPr>
            <w:r w:rsidRPr="00775168">
              <w:rPr>
                <w:rFonts w:ascii="Times New Roman" w:eastAsia="Times New Roman" w:hAnsi="Times New Roman" w:cs="Times New Roman"/>
                <w:position w:val="3"/>
                <w:sz w:val="21"/>
              </w:rPr>
              <w:t xml:space="preserve">T1a, b, N1, M0 </w:t>
            </w:r>
          </w:p>
        </w:tc>
      </w:tr>
      <w:tr w:rsidR="00743320" w:rsidRPr="00775168">
        <w:trPr>
          <w:trHeight w:val="519"/>
          <w:jc w:val="center"/>
        </w:trPr>
        <w:tc>
          <w:tcPr>
            <w:tcW w:w="1578" w:type="dxa"/>
            <w:vAlign w:val="center"/>
          </w:tcPr>
          <w:p w:rsidR="00743320" w:rsidRPr="00775168" w:rsidRDefault="00743320">
            <w:pPr>
              <w:pStyle w:val="TableParagraph"/>
              <w:jc w:val="center"/>
              <w:rPr>
                <w:rFonts w:ascii="Times New Roman" w:hAnsi="Times New Roman" w:cs="Times New Roman"/>
              </w:rPr>
            </w:pPr>
          </w:p>
        </w:tc>
        <w:tc>
          <w:tcPr>
            <w:tcW w:w="4722" w:type="dxa"/>
            <w:vAlign w:val="center"/>
          </w:tcPr>
          <w:p w:rsidR="00743320" w:rsidRPr="00775168" w:rsidRDefault="00DF7F26">
            <w:pPr>
              <w:pStyle w:val="P68B1DB1-TableParagraph111"/>
              <w:spacing w:before="12"/>
              <w:ind w:left="421"/>
              <w:jc w:val="center"/>
              <w:rPr>
                <w:rFonts w:ascii="Times New Roman" w:hAnsi="Times New Roman" w:cs="Times New Roman"/>
              </w:rPr>
            </w:pPr>
            <w:r w:rsidRPr="00775168">
              <w:rPr>
                <w:rFonts w:ascii="Times New Roman" w:eastAsia="Times New Roman" w:hAnsi="Times New Roman" w:cs="Times New Roman"/>
              </w:rPr>
              <w:t xml:space="preserve">T2a, N1, M0 </w:t>
            </w:r>
          </w:p>
        </w:tc>
      </w:tr>
      <w:tr w:rsidR="00743320" w:rsidRPr="00775168">
        <w:trPr>
          <w:trHeight w:val="520"/>
          <w:jc w:val="center"/>
        </w:trPr>
        <w:tc>
          <w:tcPr>
            <w:tcW w:w="1578" w:type="dxa"/>
            <w:vAlign w:val="center"/>
          </w:tcPr>
          <w:p w:rsidR="00743320" w:rsidRPr="00775168" w:rsidRDefault="00743320">
            <w:pPr>
              <w:pStyle w:val="TableParagraph"/>
              <w:jc w:val="center"/>
              <w:rPr>
                <w:rFonts w:ascii="Times New Roman" w:hAnsi="Times New Roman" w:cs="Times New Roman"/>
              </w:rPr>
            </w:pPr>
          </w:p>
        </w:tc>
        <w:tc>
          <w:tcPr>
            <w:tcW w:w="4722" w:type="dxa"/>
            <w:vAlign w:val="center"/>
          </w:tcPr>
          <w:p w:rsidR="00743320" w:rsidRPr="00775168" w:rsidRDefault="00DF7F26">
            <w:pPr>
              <w:pStyle w:val="P68B1DB1-TableParagraph111"/>
              <w:spacing w:before="13"/>
              <w:ind w:left="421"/>
              <w:jc w:val="center"/>
              <w:rPr>
                <w:rFonts w:ascii="Times New Roman" w:hAnsi="Times New Roman" w:cs="Times New Roman"/>
              </w:rPr>
            </w:pPr>
            <w:r w:rsidRPr="00775168">
              <w:rPr>
                <w:rFonts w:ascii="Times New Roman" w:eastAsia="Times New Roman" w:hAnsi="Times New Roman" w:cs="Times New Roman"/>
              </w:rPr>
              <w:t xml:space="preserve">T2b, N0, M0 </w:t>
            </w:r>
          </w:p>
        </w:tc>
      </w:tr>
      <w:tr w:rsidR="00743320" w:rsidRPr="00775168">
        <w:trPr>
          <w:trHeight w:val="519"/>
          <w:jc w:val="center"/>
        </w:trPr>
        <w:tc>
          <w:tcPr>
            <w:tcW w:w="1578" w:type="dxa"/>
            <w:vAlign w:val="center"/>
          </w:tcPr>
          <w:p w:rsidR="00743320" w:rsidRPr="00775168" w:rsidRDefault="00DF7F26">
            <w:pPr>
              <w:pStyle w:val="P68B1DB1-TableParagraph113"/>
              <w:spacing w:before="127"/>
              <w:ind w:left="108"/>
              <w:jc w:val="center"/>
              <w:rPr>
                <w:rFonts w:hAnsi="Times New Roman"/>
              </w:rPr>
            </w:pPr>
            <w:r w:rsidRPr="00775168">
              <w:rPr>
                <w:rFonts w:hAnsi="Times New Roman"/>
              </w:rPr>
              <w:t xml:space="preserve">IIB </w:t>
            </w:r>
          </w:p>
        </w:tc>
        <w:tc>
          <w:tcPr>
            <w:tcW w:w="4722" w:type="dxa"/>
            <w:vAlign w:val="center"/>
          </w:tcPr>
          <w:p w:rsidR="00743320" w:rsidRPr="00775168" w:rsidRDefault="00DF7F26">
            <w:pPr>
              <w:pStyle w:val="P68B1DB1-TableParagraph111"/>
              <w:spacing w:before="13"/>
              <w:ind w:left="421"/>
              <w:jc w:val="center"/>
              <w:rPr>
                <w:rFonts w:ascii="Times New Roman" w:hAnsi="Times New Roman" w:cs="Times New Roman"/>
              </w:rPr>
            </w:pPr>
            <w:r w:rsidRPr="00775168">
              <w:rPr>
                <w:rFonts w:ascii="Times New Roman" w:eastAsia="Times New Roman" w:hAnsi="Times New Roman" w:cs="Times New Roman"/>
              </w:rPr>
              <w:t xml:space="preserve">T2, N1, M0 </w:t>
            </w:r>
          </w:p>
        </w:tc>
      </w:tr>
      <w:tr w:rsidR="00743320" w:rsidRPr="00775168">
        <w:trPr>
          <w:trHeight w:val="519"/>
          <w:jc w:val="center"/>
        </w:trPr>
        <w:tc>
          <w:tcPr>
            <w:tcW w:w="1578" w:type="dxa"/>
            <w:vAlign w:val="center"/>
          </w:tcPr>
          <w:p w:rsidR="00743320" w:rsidRPr="00775168" w:rsidRDefault="00743320">
            <w:pPr>
              <w:pStyle w:val="TableParagraph"/>
              <w:jc w:val="center"/>
              <w:rPr>
                <w:rFonts w:ascii="Times New Roman" w:hAnsi="Times New Roman" w:cs="Times New Roman"/>
              </w:rPr>
            </w:pPr>
          </w:p>
        </w:tc>
        <w:tc>
          <w:tcPr>
            <w:tcW w:w="4722" w:type="dxa"/>
            <w:vAlign w:val="center"/>
          </w:tcPr>
          <w:p w:rsidR="00743320" w:rsidRPr="00775168" w:rsidRDefault="00DF7F26">
            <w:pPr>
              <w:pStyle w:val="P68B1DB1-TableParagraph111"/>
              <w:spacing w:before="12"/>
              <w:ind w:left="421"/>
              <w:jc w:val="center"/>
              <w:rPr>
                <w:rFonts w:ascii="Times New Roman" w:hAnsi="Times New Roman" w:cs="Times New Roman"/>
              </w:rPr>
            </w:pPr>
            <w:r w:rsidRPr="00775168">
              <w:rPr>
                <w:rFonts w:ascii="Times New Roman" w:eastAsia="Times New Roman" w:hAnsi="Times New Roman" w:cs="Times New Roman"/>
              </w:rPr>
              <w:t xml:space="preserve">T3, N0, M0 </w:t>
            </w:r>
          </w:p>
        </w:tc>
      </w:tr>
      <w:tr w:rsidR="00743320" w:rsidRPr="00775168">
        <w:trPr>
          <w:trHeight w:val="521"/>
          <w:jc w:val="center"/>
        </w:trPr>
        <w:tc>
          <w:tcPr>
            <w:tcW w:w="1578" w:type="dxa"/>
            <w:vAlign w:val="center"/>
          </w:tcPr>
          <w:p w:rsidR="00743320" w:rsidRPr="00775168" w:rsidRDefault="00DF7F26">
            <w:pPr>
              <w:pStyle w:val="P68B1DB1-TableParagraph113"/>
              <w:spacing w:before="127"/>
              <w:ind w:left="108"/>
              <w:jc w:val="center"/>
              <w:rPr>
                <w:rFonts w:hAnsi="Times New Roman"/>
              </w:rPr>
            </w:pPr>
            <w:r w:rsidRPr="00775168">
              <w:rPr>
                <w:rFonts w:hAnsi="Times New Roman"/>
              </w:rPr>
              <w:t xml:space="preserve">IIIA </w:t>
            </w:r>
          </w:p>
        </w:tc>
        <w:tc>
          <w:tcPr>
            <w:tcW w:w="4722" w:type="dxa"/>
            <w:vAlign w:val="center"/>
          </w:tcPr>
          <w:p w:rsidR="00743320" w:rsidRPr="00775168" w:rsidRDefault="00DF7F26">
            <w:pPr>
              <w:pStyle w:val="P68B1DB1-TableParagraph111"/>
              <w:spacing w:before="13"/>
              <w:ind w:left="421"/>
              <w:jc w:val="center"/>
              <w:rPr>
                <w:rFonts w:ascii="Times New Roman" w:hAnsi="Times New Roman" w:cs="Times New Roman"/>
              </w:rPr>
            </w:pPr>
            <w:r w:rsidRPr="00775168">
              <w:rPr>
                <w:rFonts w:ascii="Times New Roman" w:eastAsia="Times New Roman" w:hAnsi="Times New Roman" w:cs="Times New Roman"/>
              </w:rPr>
              <w:t xml:space="preserve">T1, N2, M0 </w:t>
            </w:r>
          </w:p>
        </w:tc>
      </w:tr>
      <w:tr w:rsidR="00743320" w:rsidRPr="00775168">
        <w:trPr>
          <w:trHeight w:val="519"/>
          <w:jc w:val="center"/>
        </w:trPr>
        <w:tc>
          <w:tcPr>
            <w:tcW w:w="1578" w:type="dxa"/>
            <w:vAlign w:val="center"/>
          </w:tcPr>
          <w:p w:rsidR="00743320" w:rsidRPr="00775168" w:rsidRDefault="00743320">
            <w:pPr>
              <w:pStyle w:val="TableParagraph"/>
              <w:jc w:val="center"/>
              <w:rPr>
                <w:rFonts w:ascii="Times New Roman" w:hAnsi="Times New Roman" w:cs="Times New Roman"/>
              </w:rPr>
            </w:pPr>
          </w:p>
        </w:tc>
        <w:tc>
          <w:tcPr>
            <w:tcW w:w="4722" w:type="dxa"/>
            <w:vAlign w:val="center"/>
          </w:tcPr>
          <w:p w:rsidR="00743320" w:rsidRPr="00775168" w:rsidRDefault="00DF7F26">
            <w:pPr>
              <w:pStyle w:val="P68B1DB1-TableParagraph111"/>
              <w:spacing w:before="13"/>
              <w:ind w:left="421"/>
              <w:jc w:val="center"/>
              <w:rPr>
                <w:rFonts w:ascii="Times New Roman" w:hAnsi="Times New Roman" w:cs="Times New Roman"/>
              </w:rPr>
            </w:pPr>
            <w:r w:rsidRPr="00775168">
              <w:rPr>
                <w:rFonts w:ascii="Times New Roman" w:eastAsia="Times New Roman" w:hAnsi="Times New Roman" w:cs="Times New Roman"/>
              </w:rPr>
              <w:t xml:space="preserve">T2, N2, M0 </w:t>
            </w:r>
          </w:p>
        </w:tc>
      </w:tr>
      <w:tr w:rsidR="00743320" w:rsidRPr="00775168">
        <w:trPr>
          <w:trHeight w:val="383"/>
          <w:jc w:val="center"/>
        </w:trPr>
        <w:tc>
          <w:tcPr>
            <w:tcW w:w="1578" w:type="dxa"/>
            <w:vAlign w:val="center"/>
          </w:tcPr>
          <w:p w:rsidR="00743320" w:rsidRPr="00775168" w:rsidRDefault="00743320">
            <w:pPr>
              <w:pStyle w:val="TableParagraph"/>
              <w:jc w:val="center"/>
              <w:rPr>
                <w:rFonts w:ascii="Times New Roman" w:hAnsi="Times New Roman" w:cs="Times New Roman"/>
              </w:rPr>
            </w:pPr>
          </w:p>
        </w:tc>
        <w:tc>
          <w:tcPr>
            <w:tcW w:w="4722" w:type="dxa"/>
            <w:vAlign w:val="center"/>
          </w:tcPr>
          <w:p w:rsidR="00743320" w:rsidRPr="00775168" w:rsidRDefault="00DF7F26">
            <w:pPr>
              <w:pStyle w:val="P68B1DB1-TableParagraph114"/>
              <w:spacing w:before="12" w:line="352" w:lineRule="exact"/>
              <w:ind w:left="421"/>
              <w:jc w:val="center"/>
              <w:rPr>
                <w:rFonts w:eastAsia="Times New Roman" w:hAnsi="Times New Roman" w:cs="Times New Roman" w:hint="default"/>
              </w:rPr>
            </w:pPr>
            <w:r w:rsidRPr="00775168">
              <w:rPr>
                <w:rFonts w:hAnsi="Times New Roman"/>
              </w:rPr>
              <w:t xml:space="preserve">T3, N1, M0 </w:t>
            </w:r>
          </w:p>
        </w:tc>
      </w:tr>
      <w:tr w:rsidR="00743320" w:rsidRPr="00775168">
        <w:trPr>
          <w:trHeight w:val="383"/>
          <w:jc w:val="center"/>
        </w:trPr>
        <w:tc>
          <w:tcPr>
            <w:tcW w:w="1578" w:type="dxa"/>
            <w:vAlign w:val="center"/>
          </w:tcPr>
          <w:p w:rsidR="00743320" w:rsidRPr="00775168" w:rsidRDefault="00743320">
            <w:pPr>
              <w:pStyle w:val="TableParagraph"/>
              <w:jc w:val="center"/>
              <w:rPr>
                <w:rFonts w:ascii="Times New Roman" w:hAnsi="Times New Roman" w:cs="Times New Roman"/>
                <w:sz w:val="18"/>
              </w:rPr>
            </w:pPr>
          </w:p>
        </w:tc>
        <w:tc>
          <w:tcPr>
            <w:tcW w:w="4722" w:type="dxa"/>
            <w:vAlign w:val="center"/>
          </w:tcPr>
          <w:p w:rsidR="00743320" w:rsidRPr="00775168" w:rsidRDefault="00DF7F26">
            <w:pPr>
              <w:pStyle w:val="P68B1DB1-TableParagraph114"/>
              <w:spacing w:before="12" w:line="352" w:lineRule="exact"/>
              <w:ind w:left="421"/>
              <w:jc w:val="center"/>
              <w:rPr>
                <w:rFonts w:eastAsia="Times New Roman" w:hAnsi="Times New Roman" w:cs="Times New Roman" w:hint="default"/>
              </w:rPr>
            </w:pPr>
            <w:r w:rsidRPr="00775168">
              <w:rPr>
                <w:rFonts w:hAnsi="Times New Roman"/>
              </w:rPr>
              <w:t xml:space="preserve">T3, N2, M0 </w:t>
            </w:r>
          </w:p>
        </w:tc>
      </w:tr>
      <w:tr w:rsidR="00743320" w:rsidRPr="00775168">
        <w:trPr>
          <w:trHeight w:val="383"/>
          <w:jc w:val="center"/>
        </w:trPr>
        <w:tc>
          <w:tcPr>
            <w:tcW w:w="1578" w:type="dxa"/>
            <w:vAlign w:val="center"/>
          </w:tcPr>
          <w:p w:rsidR="00743320" w:rsidRPr="00775168" w:rsidRDefault="00743320">
            <w:pPr>
              <w:pStyle w:val="TableParagraph"/>
              <w:jc w:val="center"/>
              <w:rPr>
                <w:rFonts w:ascii="Times New Roman" w:hAnsi="Times New Roman" w:cs="Times New Roman"/>
                <w:sz w:val="18"/>
              </w:rPr>
            </w:pPr>
          </w:p>
        </w:tc>
        <w:tc>
          <w:tcPr>
            <w:tcW w:w="4722" w:type="dxa"/>
            <w:vAlign w:val="center"/>
          </w:tcPr>
          <w:p w:rsidR="00743320" w:rsidRPr="00775168" w:rsidRDefault="00DF7F26">
            <w:pPr>
              <w:pStyle w:val="P68B1DB1-TableParagraph114"/>
              <w:spacing w:before="12" w:line="352" w:lineRule="exact"/>
              <w:ind w:left="421"/>
              <w:jc w:val="center"/>
              <w:rPr>
                <w:rFonts w:eastAsia="Times New Roman" w:hAnsi="Times New Roman" w:cs="Times New Roman" w:hint="default"/>
              </w:rPr>
            </w:pPr>
            <w:r w:rsidRPr="00775168">
              <w:rPr>
                <w:rFonts w:hAnsi="Times New Roman"/>
              </w:rPr>
              <w:t xml:space="preserve">T4, N0, M0 </w:t>
            </w:r>
          </w:p>
        </w:tc>
      </w:tr>
      <w:tr w:rsidR="00743320" w:rsidRPr="00775168">
        <w:trPr>
          <w:trHeight w:val="383"/>
          <w:jc w:val="center"/>
        </w:trPr>
        <w:tc>
          <w:tcPr>
            <w:tcW w:w="1578" w:type="dxa"/>
            <w:vAlign w:val="center"/>
          </w:tcPr>
          <w:p w:rsidR="00743320" w:rsidRPr="00775168" w:rsidRDefault="00743320">
            <w:pPr>
              <w:pStyle w:val="TableParagraph"/>
              <w:jc w:val="center"/>
              <w:rPr>
                <w:rFonts w:ascii="Times New Roman" w:hAnsi="Times New Roman" w:cs="Times New Roman"/>
                <w:sz w:val="18"/>
              </w:rPr>
            </w:pPr>
          </w:p>
        </w:tc>
        <w:tc>
          <w:tcPr>
            <w:tcW w:w="4722" w:type="dxa"/>
            <w:vAlign w:val="center"/>
          </w:tcPr>
          <w:p w:rsidR="00743320" w:rsidRPr="00775168" w:rsidRDefault="00DF7F26">
            <w:pPr>
              <w:pStyle w:val="P68B1DB1-TableParagraph114"/>
              <w:spacing w:before="12" w:line="352" w:lineRule="exact"/>
              <w:ind w:left="421"/>
              <w:jc w:val="center"/>
              <w:rPr>
                <w:rFonts w:eastAsia="Times New Roman" w:hAnsi="Times New Roman" w:cs="Times New Roman" w:hint="default"/>
              </w:rPr>
            </w:pPr>
            <w:r w:rsidRPr="00775168">
              <w:rPr>
                <w:rFonts w:hAnsi="Times New Roman"/>
              </w:rPr>
              <w:t xml:space="preserve">T4, N1, M0 </w:t>
            </w:r>
          </w:p>
        </w:tc>
      </w:tr>
      <w:tr w:rsidR="00743320" w:rsidRPr="00775168">
        <w:trPr>
          <w:trHeight w:val="383"/>
          <w:jc w:val="center"/>
        </w:trPr>
        <w:tc>
          <w:tcPr>
            <w:tcW w:w="1578" w:type="dxa"/>
            <w:vAlign w:val="center"/>
          </w:tcPr>
          <w:p w:rsidR="00743320" w:rsidRPr="00775168" w:rsidRDefault="00DF7F26">
            <w:pPr>
              <w:pStyle w:val="P68B1DB1-TableParagraph113"/>
              <w:spacing w:before="127"/>
              <w:ind w:left="122"/>
              <w:jc w:val="center"/>
              <w:rPr>
                <w:rFonts w:hAnsi="Times New Roman"/>
              </w:rPr>
            </w:pPr>
            <w:r w:rsidRPr="00775168">
              <w:rPr>
                <w:rFonts w:hAnsi="Times New Roman"/>
              </w:rPr>
              <w:t xml:space="preserve">IIIB </w:t>
            </w:r>
          </w:p>
        </w:tc>
        <w:tc>
          <w:tcPr>
            <w:tcW w:w="4722" w:type="dxa"/>
            <w:vAlign w:val="center"/>
          </w:tcPr>
          <w:p w:rsidR="00743320" w:rsidRPr="00775168" w:rsidRDefault="00DF7F26">
            <w:pPr>
              <w:pStyle w:val="P68B1DB1-TableParagraph114"/>
              <w:spacing w:before="12" w:line="352" w:lineRule="exact"/>
              <w:ind w:left="421"/>
              <w:jc w:val="center"/>
              <w:rPr>
                <w:rFonts w:eastAsia="Times New Roman" w:hAnsi="Times New Roman" w:cs="Times New Roman" w:hint="default"/>
              </w:rPr>
            </w:pPr>
            <w:r w:rsidRPr="00775168">
              <w:rPr>
                <w:rFonts w:hAnsi="Times New Roman"/>
              </w:rPr>
              <w:t xml:space="preserve">T4, N2, M0 </w:t>
            </w:r>
          </w:p>
        </w:tc>
      </w:tr>
      <w:tr w:rsidR="00743320" w:rsidRPr="00775168">
        <w:trPr>
          <w:trHeight w:val="383"/>
          <w:jc w:val="center"/>
        </w:trPr>
        <w:tc>
          <w:tcPr>
            <w:tcW w:w="1578" w:type="dxa"/>
            <w:vAlign w:val="center"/>
          </w:tcPr>
          <w:p w:rsidR="00743320" w:rsidRPr="00775168" w:rsidRDefault="00743320">
            <w:pPr>
              <w:pStyle w:val="TableParagraph"/>
              <w:jc w:val="center"/>
              <w:rPr>
                <w:rFonts w:ascii="Times New Roman" w:hAnsi="Times New Roman" w:cs="Times New Roman"/>
                <w:sz w:val="18"/>
              </w:rPr>
            </w:pPr>
          </w:p>
        </w:tc>
        <w:tc>
          <w:tcPr>
            <w:tcW w:w="4722" w:type="dxa"/>
            <w:vAlign w:val="center"/>
          </w:tcPr>
          <w:p w:rsidR="00743320" w:rsidRPr="00775168" w:rsidRDefault="00DF7F26">
            <w:pPr>
              <w:pStyle w:val="P68B1DB1-TableParagraph114"/>
              <w:spacing w:before="12" w:line="352" w:lineRule="exact"/>
              <w:ind w:left="421"/>
              <w:jc w:val="center"/>
              <w:rPr>
                <w:rFonts w:eastAsia="Times New Roman" w:hAnsi="Times New Roman" w:cs="Times New Roman" w:hint="default"/>
              </w:rPr>
            </w:pPr>
            <w:r w:rsidRPr="00775168">
              <w:rPr>
                <w:rFonts w:hAnsi="Times New Roman"/>
              </w:rPr>
              <w:t xml:space="preserve">Any T, N3, M0 </w:t>
            </w:r>
          </w:p>
        </w:tc>
      </w:tr>
      <w:tr w:rsidR="00743320" w:rsidRPr="00775168">
        <w:trPr>
          <w:trHeight w:val="383"/>
          <w:jc w:val="center"/>
        </w:trPr>
        <w:tc>
          <w:tcPr>
            <w:tcW w:w="1578" w:type="dxa"/>
            <w:vAlign w:val="center"/>
          </w:tcPr>
          <w:p w:rsidR="00743320" w:rsidRPr="00775168" w:rsidRDefault="00DF7F26">
            <w:pPr>
              <w:pStyle w:val="P68B1DB1-TableParagraph113"/>
              <w:spacing w:before="126"/>
              <w:ind w:left="122"/>
              <w:jc w:val="center"/>
              <w:rPr>
                <w:rFonts w:hAnsi="Times New Roman"/>
              </w:rPr>
            </w:pPr>
            <w:r w:rsidRPr="00775168">
              <w:rPr>
                <w:rFonts w:hAnsi="Times New Roman"/>
              </w:rPr>
              <w:t xml:space="preserve">IV </w:t>
            </w:r>
          </w:p>
        </w:tc>
        <w:tc>
          <w:tcPr>
            <w:tcW w:w="4722" w:type="dxa"/>
            <w:vAlign w:val="center"/>
          </w:tcPr>
          <w:p w:rsidR="00743320" w:rsidRPr="00775168" w:rsidRDefault="00DF7F26">
            <w:pPr>
              <w:pStyle w:val="P68B1DB1-TableParagraph114"/>
              <w:spacing w:before="12" w:line="352" w:lineRule="exact"/>
              <w:ind w:left="421"/>
              <w:jc w:val="center"/>
              <w:rPr>
                <w:rFonts w:eastAsia="Times New Roman" w:hAnsi="Times New Roman" w:cs="Times New Roman" w:hint="default"/>
              </w:rPr>
            </w:pPr>
            <w:r w:rsidRPr="00775168">
              <w:rPr>
                <w:rFonts w:hAnsi="Times New Roman"/>
              </w:rPr>
              <w:t xml:space="preserve">Any T, any N, M1a, b </w:t>
            </w:r>
          </w:p>
        </w:tc>
      </w:tr>
    </w:tbl>
    <w:p w:rsidR="00743320" w:rsidRPr="00775168" w:rsidRDefault="00743320">
      <w:pPr>
        <w:adjustRightInd w:val="0"/>
        <w:snapToGrid w:val="0"/>
        <w:spacing w:line="360" w:lineRule="auto"/>
        <w:jc w:val="left"/>
        <w:rPr>
          <w:sz w:val="24"/>
        </w:rPr>
        <w:sectPr w:rsidR="00743320" w:rsidRPr="00775168">
          <w:type w:val="continuous"/>
          <w:pgSz w:w="11910" w:h="16840"/>
          <w:pgMar w:top="1120" w:right="960" w:bottom="1200" w:left="900" w:header="879" w:footer="1004" w:gutter="0"/>
          <w:cols w:space="720"/>
        </w:sectPr>
      </w:pPr>
    </w:p>
    <w:p w:rsidR="00743320" w:rsidRPr="00775168" w:rsidRDefault="00DF7F26">
      <w:pPr>
        <w:pStyle w:val="P68B1DB1-161"/>
        <w:rPr>
          <w:rFonts w:ascii="Times New Roman" w:hAnsi="Times New Roman"/>
        </w:rPr>
      </w:pPr>
      <w:bookmarkStart w:id="396" w:name="_Toc178589734"/>
      <w:bookmarkStart w:id="397" w:name="_Toc512941758"/>
      <w:bookmarkStart w:id="398" w:name="_Toc512941004"/>
      <w:r w:rsidRPr="00775168">
        <w:rPr>
          <w:rFonts w:ascii="Times New Roman" w:hAnsi="Times New Roman" w:hint="eastAsia"/>
        </w:rPr>
        <w:lastRenderedPageBreak/>
        <w:t>Appendix IV Creatinine Clearance Calculation</w:t>
      </w:r>
      <w:bookmarkEnd w:id="396"/>
      <w:r w:rsidRPr="00775168">
        <w:rPr>
          <w:rFonts w:ascii="Times New Roman" w:hAnsi="Times New Roman" w:hint="eastAsia"/>
        </w:rPr>
        <w:t xml:space="preserve"> </w:t>
      </w:r>
      <w:bookmarkEnd w:id="397"/>
      <w:bookmarkEnd w:id="398"/>
      <w:r w:rsidRPr="00775168">
        <w:rPr>
          <w:rFonts w:ascii="Times New Roman" w:hAnsi="Times New Roman"/>
        </w:rPr>
        <w:t xml:space="preserve"> </w:t>
      </w:r>
    </w:p>
    <w:p w:rsidR="00743320" w:rsidRPr="00775168" w:rsidRDefault="00DF7F26">
      <w:pPr>
        <w:pStyle w:val="P68B1DB1-a033"/>
        <w:jc w:val="center"/>
        <w:rPr>
          <w:b/>
        </w:rPr>
      </w:pPr>
      <w:r w:rsidRPr="00775168">
        <w:rPr>
          <w:b/>
        </w:rPr>
        <w:t xml:space="preserve">Creatinine clearance calculated by Cockcroft-Gault formula </w:t>
      </w:r>
    </w:p>
    <w:p w:rsidR="00743320" w:rsidRPr="00775168" w:rsidRDefault="00743320">
      <w:pPr>
        <w:spacing w:line="360" w:lineRule="auto"/>
        <w:rPr>
          <w:sz w:val="24"/>
        </w:rPr>
      </w:pPr>
    </w:p>
    <w:p w:rsidR="00743320" w:rsidRPr="00775168" w:rsidRDefault="00DF7F26">
      <w:pPr>
        <w:pStyle w:val="P68B1DB1-a024"/>
        <w:spacing w:line="360" w:lineRule="auto"/>
        <w:rPr>
          <w:rFonts w:hint="default"/>
        </w:rPr>
      </w:pPr>
      <w:r w:rsidRPr="00775168">
        <w:t xml:space="preserve">Serum creatinine concentration (mg/dL): </w:t>
      </w:r>
    </w:p>
    <w:tbl>
      <w:tblPr>
        <w:tblW w:w="7674" w:type="dxa"/>
        <w:tblInd w:w="2" w:type="dxa"/>
        <w:tblLayout w:type="fixed"/>
        <w:tblLook w:val="04A0" w:firstRow="1" w:lastRow="0" w:firstColumn="1" w:lastColumn="0" w:noHBand="0" w:noVBand="1"/>
      </w:tblPr>
      <w:tblGrid>
        <w:gridCol w:w="4612"/>
        <w:gridCol w:w="3062"/>
      </w:tblGrid>
      <w:tr w:rsidR="00743320" w:rsidRPr="00775168">
        <w:tc>
          <w:tcPr>
            <w:tcW w:w="4612" w:type="dxa"/>
            <w:vMerge w:val="restart"/>
            <w:vAlign w:val="center"/>
          </w:tcPr>
          <w:p w:rsidR="00743320" w:rsidRPr="00775168" w:rsidRDefault="00DF7F26">
            <w:pPr>
              <w:pStyle w:val="P68B1DB1-a024"/>
              <w:spacing w:line="360" w:lineRule="auto"/>
              <w:jc w:val="right"/>
              <w:rPr>
                <w:rFonts w:hint="default"/>
              </w:rPr>
            </w:pPr>
            <w:r w:rsidRPr="00775168">
              <w:t xml:space="preserve">Creatinine clearance (mL/min) for males = </w:t>
            </w:r>
          </w:p>
        </w:tc>
        <w:tc>
          <w:tcPr>
            <w:tcW w:w="3062" w:type="dxa"/>
            <w:tcBorders>
              <w:bottom w:val="single" w:sz="4" w:space="0" w:color="auto"/>
            </w:tcBorders>
          </w:tcPr>
          <w:p w:rsidR="00743320" w:rsidRPr="00775168" w:rsidRDefault="00DF7F26">
            <w:pPr>
              <w:pStyle w:val="P68B1DB1-a024"/>
              <w:spacing w:line="360" w:lineRule="auto"/>
              <w:jc w:val="center"/>
              <w:rPr>
                <w:rFonts w:hint="default"/>
              </w:rPr>
            </w:pPr>
            <w:r w:rsidRPr="00775168">
              <w:t xml:space="preserve">(140-age) </w:t>
            </w:r>
            <w:r w:rsidRPr="00775168">
              <w:t>×</w:t>
            </w:r>
            <w:r w:rsidRPr="00775168">
              <w:t xml:space="preserve"> (weight) a </w:t>
            </w:r>
          </w:p>
        </w:tc>
      </w:tr>
      <w:tr w:rsidR="00743320" w:rsidRPr="00775168">
        <w:tc>
          <w:tcPr>
            <w:tcW w:w="4612" w:type="dxa"/>
            <w:vMerge/>
          </w:tcPr>
          <w:p w:rsidR="00743320" w:rsidRPr="00775168" w:rsidRDefault="00743320">
            <w:pPr>
              <w:spacing w:line="360" w:lineRule="auto"/>
              <w:rPr>
                <w:sz w:val="24"/>
              </w:rPr>
            </w:pPr>
          </w:p>
        </w:tc>
        <w:tc>
          <w:tcPr>
            <w:tcW w:w="3062" w:type="dxa"/>
            <w:tcBorders>
              <w:top w:val="single" w:sz="4" w:space="0" w:color="auto"/>
            </w:tcBorders>
          </w:tcPr>
          <w:p w:rsidR="00743320" w:rsidRPr="00775168" w:rsidRDefault="00DF7F26">
            <w:pPr>
              <w:pStyle w:val="P68B1DB1-a024"/>
              <w:spacing w:line="360" w:lineRule="auto"/>
              <w:jc w:val="center"/>
              <w:rPr>
                <w:rFonts w:hint="default"/>
              </w:rPr>
            </w:pPr>
            <w:r w:rsidRPr="00775168">
              <w:t xml:space="preserve">72 </w:t>
            </w:r>
            <w:r w:rsidRPr="00775168">
              <w:t>×</w:t>
            </w:r>
            <w:r w:rsidRPr="00775168">
              <w:t xml:space="preserve"> serum creatinine </w:t>
            </w:r>
          </w:p>
        </w:tc>
      </w:tr>
    </w:tbl>
    <w:p w:rsidR="00743320" w:rsidRPr="00775168" w:rsidRDefault="00743320">
      <w:pPr>
        <w:spacing w:line="360" w:lineRule="auto"/>
        <w:rPr>
          <w:sz w:val="24"/>
        </w:rPr>
      </w:pPr>
    </w:p>
    <w:tbl>
      <w:tblPr>
        <w:tblW w:w="8472" w:type="dxa"/>
        <w:tblInd w:w="2" w:type="dxa"/>
        <w:tblLayout w:type="fixed"/>
        <w:tblLook w:val="04A0" w:firstRow="1" w:lastRow="0" w:firstColumn="1" w:lastColumn="0" w:noHBand="0" w:noVBand="1"/>
      </w:tblPr>
      <w:tblGrid>
        <w:gridCol w:w="4612"/>
        <w:gridCol w:w="3860"/>
      </w:tblGrid>
      <w:tr w:rsidR="00743320" w:rsidRPr="00775168">
        <w:tc>
          <w:tcPr>
            <w:tcW w:w="4612" w:type="dxa"/>
            <w:vMerge w:val="restart"/>
            <w:vAlign w:val="center"/>
          </w:tcPr>
          <w:p w:rsidR="00743320" w:rsidRPr="00775168" w:rsidRDefault="00DF7F26">
            <w:pPr>
              <w:pStyle w:val="P68B1DB1-a024"/>
              <w:spacing w:line="360" w:lineRule="auto"/>
              <w:jc w:val="right"/>
              <w:rPr>
                <w:rFonts w:hint="default"/>
              </w:rPr>
            </w:pPr>
            <w:r w:rsidRPr="00775168">
              <w:t xml:space="preserve">Creatinine clearance (mL/min) for females = </w:t>
            </w:r>
          </w:p>
        </w:tc>
        <w:tc>
          <w:tcPr>
            <w:tcW w:w="3860" w:type="dxa"/>
            <w:tcBorders>
              <w:bottom w:val="single" w:sz="4" w:space="0" w:color="auto"/>
            </w:tcBorders>
          </w:tcPr>
          <w:p w:rsidR="00743320" w:rsidRPr="00775168" w:rsidRDefault="00DF7F26">
            <w:pPr>
              <w:pStyle w:val="P68B1DB1-a024"/>
              <w:spacing w:line="360" w:lineRule="auto"/>
              <w:jc w:val="center"/>
              <w:rPr>
                <w:rFonts w:hint="default"/>
              </w:rPr>
            </w:pPr>
            <w:r w:rsidRPr="00775168">
              <w:t xml:space="preserve">0.85 </w:t>
            </w:r>
            <w:r w:rsidRPr="00775168">
              <w:t>×</w:t>
            </w:r>
            <w:r w:rsidRPr="00775168">
              <w:t xml:space="preserve"> (140-age) </w:t>
            </w:r>
            <w:r w:rsidRPr="00775168">
              <w:t>×</w:t>
            </w:r>
            <w:r w:rsidRPr="00775168">
              <w:t xml:space="preserve"> (weight) a </w:t>
            </w:r>
          </w:p>
        </w:tc>
      </w:tr>
      <w:tr w:rsidR="00743320" w:rsidRPr="00775168">
        <w:tc>
          <w:tcPr>
            <w:tcW w:w="4612" w:type="dxa"/>
            <w:vMerge/>
          </w:tcPr>
          <w:p w:rsidR="00743320" w:rsidRPr="00775168" w:rsidRDefault="00743320">
            <w:pPr>
              <w:spacing w:line="360" w:lineRule="auto"/>
              <w:rPr>
                <w:sz w:val="24"/>
              </w:rPr>
            </w:pPr>
          </w:p>
        </w:tc>
        <w:tc>
          <w:tcPr>
            <w:tcW w:w="3860" w:type="dxa"/>
            <w:tcBorders>
              <w:top w:val="single" w:sz="4" w:space="0" w:color="auto"/>
            </w:tcBorders>
          </w:tcPr>
          <w:p w:rsidR="00743320" w:rsidRPr="00775168" w:rsidRDefault="00DF7F26">
            <w:pPr>
              <w:pStyle w:val="P68B1DB1-a024"/>
              <w:spacing w:line="360" w:lineRule="auto"/>
              <w:jc w:val="center"/>
              <w:rPr>
                <w:rFonts w:hint="default"/>
              </w:rPr>
            </w:pPr>
            <w:r w:rsidRPr="00775168">
              <w:t xml:space="preserve">72 </w:t>
            </w:r>
            <w:r w:rsidRPr="00775168">
              <w:t>×</w:t>
            </w:r>
            <w:r w:rsidRPr="00775168">
              <w:t xml:space="preserve"> serum creatinine </w:t>
            </w:r>
          </w:p>
        </w:tc>
      </w:tr>
    </w:tbl>
    <w:p w:rsidR="00743320" w:rsidRPr="00775168" w:rsidRDefault="00743320">
      <w:pPr>
        <w:spacing w:line="360" w:lineRule="auto"/>
        <w:rPr>
          <w:sz w:val="24"/>
        </w:rPr>
      </w:pPr>
    </w:p>
    <w:p w:rsidR="00743320" w:rsidRPr="00775168" w:rsidRDefault="00DF7F26">
      <w:pPr>
        <w:pStyle w:val="P68B1DB1-a024"/>
        <w:spacing w:line="360" w:lineRule="auto"/>
        <w:rPr>
          <w:rFonts w:hint="default"/>
        </w:rPr>
      </w:pPr>
      <w:r w:rsidRPr="00775168">
        <w:t xml:space="preserve">Serum creatinine concentration (i.e. </w:t>
      </w:r>
      <w:r w:rsidRPr="00775168">
        <w:sym w:font="Symbol" w:char="F06D"/>
      </w:r>
      <w:r w:rsidRPr="00775168">
        <w:t xml:space="preserve">mol/L): </w:t>
      </w:r>
    </w:p>
    <w:tbl>
      <w:tblPr>
        <w:tblW w:w="7905" w:type="dxa"/>
        <w:tblInd w:w="2" w:type="dxa"/>
        <w:tblLayout w:type="fixed"/>
        <w:tblLook w:val="04A0" w:firstRow="1" w:lastRow="0" w:firstColumn="1" w:lastColumn="0" w:noHBand="0" w:noVBand="1"/>
      </w:tblPr>
      <w:tblGrid>
        <w:gridCol w:w="4612"/>
        <w:gridCol w:w="3293"/>
      </w:tblGrid>
      <w:tr w:rsidR="00743320" w:rsidRPr="00775168">
        <w:tc>
          <w:tcPr>
            <w:tcW w:w="4612" w:type="dxa"/>
            <w:vMerge w:val="restart"/>
            <w:vAlign w:val="center"/>
          </w:tcPr>
          <w:p w:rsidR="00743320" w:rsidRPr="00775168" w:rsidRDefault="00DF7F26">
            <w:pPr>
              <w:pStyle w:val="P68B1DB1-a024"/>
              <w:spacing w:line="360" w:lineRule="auto"/>
              <w:jc w:val="right"/>
              <w:rPr>
                <w:rFonts w:hint="default"/>
              </w:rPr>
            </w:pPr>
            <w:r w:rsidRPr="00775168">
              <w:t xml:space="preserve">Creatinine clearance (mL/min) for males = </w:t>
            </w:r>
          </w:p>
        </w:tc>
        <w:tc>
          <w:tcPr>
            <w:tcW w:w="3293" w:type="dxa"/>
            <w:tcBorders>
              <w:bottom w:val="single" w:sz="4" w:space="0" w:color="auto"/>
            </w:tcBorders>
          </w:tcPr>
          <w:p w:rsidR="00743320" w:rsidRPr="00775168" w:rsidRDefault="00DF7F26">
            <w:pPr>
              <w:pStyle w:val="P68B1DB1-a024"/>
              <w:spacing w:line="360" w:lineRule="auto"/>
              <w:jc w:val="center"/>
              <w:rPr>
                <w:rFonts w:hint="default"/>
              </w:rPr>
            </w:pPr>
            <w:r w:rsidRPr="00775168">
              <w:t xml:space="preserve">(140-age) </w:t>
            </w:r>
            <w:r w:rsidRPr="00775168">
              <w:t>×</w:t>
            </w:r>
            <w:r w:rsidRPr="00775168">
              <w:t xml:space="preserve"> (weight) a </w:t>
            </w:r>
          </w:p>
        </w:tc>
      </w:tr>
      <w:tr w:rsidR="00743320" w:rsidRPr="00775168">
        <w:tc>
          <w:tcPr>
            <w:tcW w:w="4612" w:type="dxa"/>
            <w:vMerge/>
          </w:tcPr>
          <w:p w:rsidR="00743320" w:rsidRPr="00775168" w:rsidRDefault="00743320">
            <w:pPr>
              <w:spacing w:line="360" w:lineRule="auto"/>
              <w:rPr>
                <w:sz w:val="24"/>
              </w:rPr>
            </w:pPr>
          </w:p>
        </w:tc>
        <w:tc>
          <w:tcPr>
            <w:tcW w:w="3293" w:type="dxa"/>
            <w:tcBorders>
              <w:top w:val="single" w:sz="4" w:space="0" w:color="auto"/>
            </w:tcBorders>
          </w:tcPr>
          <w:p w:rsidR="00743320" w:rsidRPr="00775168" w:rsidRDefault="00DF7F26">
            <w:pPr>
              <w:pStyle w:val="P68B1DB1-a024"/>
              <w:spacing w:line="360" w:lineRule="auto"/>
              <w:jc w:val="center"/>
              <w:rPr>
                <w:rFonts w:hint="default"/>
              </w:rPr>
            </w:pPr>
            <w:r w:rsidRPr="00775168">
              <w:t xml:space="preserve">0.81 </w:t>
            </w:r>
            <w:r w:rsidRPr="00775168">
              <w:t>×</w:t>
            </w:r>
            <w:r w:rsidRPr="00775168">
              <w:t xml:space="preserve"> serum creatinine </w:t>
            </w:r>
          </w:p>
        </w:tc>
      </w:tr>
    </w:tbl>
    <w:p w:rsidR="00743320" w:rsidRPr="00775168" w:rsidRDefault="00743320">
      <w:pPr>
        <w:spacing w:line="360" w:lineRule="auto"/>
        <w:rPr>
          <w:sz w:val="24"/>
        </w:rPr>
      </w:pPr>
    </w:p>
    <w:tbl>
      <w:tblPr>
        <w:tblW w:w="8472" w:type="dxa"/>
        <w:tblInd w:w="2" w:type="dxa"/>
        <w:tblLayout w:type="fixed"/>
        <w:tblLook w:val="04A0" w:firstRow="1" w:lastRow="0" w:firstColumn="1" w:lastColumn="0" w:noHBand="0" w:noVBand="1"/>
      </w:tblPr>
      <w:tblGrid>
        <w:gridCol w:w="4612"/>
        <w:gridCol w:w="3860"/>
      </w:tblGrid>
      <w:tr w:rsidR="00743320" w:rsidRPr="00775168">
        <w:tc>
          <w:tcPr>
            <w:tcW w:w="4612" w:type="dxa"/>
            <w:vMerge w:val="restart"/>
            <w:vAlign w:val="center"/>
          </w:tcPr>
          <w:p w:rsidR="00743320" w:rsidRPr="00775168" w:rsidRDefault="00DF7F26">
            <w:pPr>
              <w:pStyle w:val="P68B1DB1-a024"/>
              <w:spacing w:line="360" w:lineRule="auto"/>
              <w:jc w:val="right"/>
              <w:rPr>
                <w:rFonts w:hint="default"/>
              </w:rPr>
            </w:pPr>
            <w:r w:rsidRPr="00775168">
              <w:t xml:space="preserve">Creatinine clearance (mL/min) for females = </w:t>
            </w:r>
          </w:p>
        </w:tc>
        <w:tc>
          <w:tcPr>
            <w:tcW w:w="3860" w:type="dxa"/>
            <w:tcBorders>
              <w:bottom w:val="single" w:sz="4" w:space="0" w:color="auto"/>
            </w:tcBorders>
          </w:tcPr>
          <w:p w:rsidR="00743320" w:rsidRPr="00775168" w:rsidRDefault="00DF7F26">
            <w:pPr>
              <w:pStyle w:val="P68B1DB1-a024"/>
              <w:spacing w:line="360" w:lineRule="auto"/>
              <w:jc w:val="center"/>
              <w:rPr>
                <w:rFonts w:hint="default"/>
              </w:rPr>
            </w:pPr>
            <w:r w:rsidRPr="00775168">
              <w:t xml:space="preserve">0.85 </w:t>
            </w:r>
            <w:r w:rsidRPr="00775168">
              <w:t>×</w:t>
            </w:r>
            <w:r w:rsidRPr="00775168">
              <w:t xml:space="preserve"> (140-age) </w:t>
            </w:r>
            <w:r w:rsidRPr="00775168">
              <w:t>×</w:t>
            </w:r>
            <w:r w:rsidRPr="00775168">
              <w:t xml:space="preserve"> (weight) a </w:t>
            </w:r>
          </w:p>
        </w:tc>
      </w:tr>
      <w:tr w:rsidR="00743320" w:rsidRPr="00775168">
        <w:tc>
          <w:tcPr>
            <w:tcW w:w="4612" w:type="dxa"/>
            <w:vMerge/>
          </w:tcPr>
          <w:p w:rsidR="00743320" w:rsidRPr="00775168" w:rsidRDefault="00743320">
            <w:pPr>
              <w:spacing w:line="360" w:lineRule="auto"/>
              <w:rPr>
                <w:sz w:val="24"/>
              </w:rPr>
            </w:pPr>
          </w:p>
        </w:tc>
        <w:tc>
          <w:tcPr>
            <w:tcW w:w="3860" w:type="dxa"/>
            <w:tcBorders>
              <w:top w:val="single" w:sz="4" w:space="0" w:color="auto"/>
            </w:tcBorders>
          </w:tcPr>
          <w:p w:rsidR="00743320" w:rsidRPr="00775168" w:rsidRDefault="00DF7F26">
            <w:pPr>
              <w:pStyle w:val="P68B1DB1-a024"/>
              <w:spacing w:line="360" w:lineRule="auto"/>
              <w:jc w:val="center"/>
              <w:rPr>
                <w:rFonts w:hint="default"/>
              </w:rPr>
            </w:pPr>
            <w:r w:rsidRPr="00775168">
              <w:t xml:space="preserve">0.81 </w:t>
            </w:r>
            <w:r w:rsidRPr="00775168">
              <w:t>×</w:t>
            </w:r>
            <w:r w:rsidRPr="00775168">
              <w:t xml:space="preserve"> serum creatinine </w:t>
            </w:r>
          </w:p>
        </w:tc>
      </w:tr>
    </w:tbl>
    <w:p w:rsidR="00743320" w:rsidRPr="00775168" w:rsidRDefault="00743320">
      <w:pPr>
        <w:spacing w:line="360" w:lineRule="auto"/>
        <w:rPr>
          <w:sz w:val="24"/>
        </w:rPr>
      </w:pPr>
    </w:p>
    <w:p w:rsidR="00743320" w:rsidRPr="00775168" w:rsidRDefault="00DF7F26">
      <w:pPr>
        <w:pStyle w:val="P68B1DB1-a024"/>
        <w:spacing w:line="360" w:lineRule="auto"/>
        <w:rPr>
          <w:rFonts w:hint="default"/>
        </w:rPr>
      </w:pPr>
      <w:r w:rsidRPr="00775168">
        <w:t xml:space="preserve">A Age is in years and weight is in KG. </w:t>
      </w: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480"/>
        <w:rPr>
          <w:rFonts w:ascii="Times New Roman" w:hAnsi="Times New Roman" w:cs="Times New Roman"/>
        </w:rPr>
      </w:pPr>
    </w:p>
    <w:p w:rsidR="00743320" w:rsidRPr="00775168" w:rsidRDefault="00743320">
      <w:pPr>
        <w:pStyle w:val="af7"/>
        <w:ind w:firstLineChars="0" w:firstLine="0"/>
        <w:rPr>
          <w:rFonts w:ascii="Times New Roman" w:hAnsi="Times New Roman" w:cs="Times New Roman"/>
        </w:rPr>
      </w:pPr>
    </w:p>
    <w:p w:rsidR="00743320" w:rsidRPr="00775168" w:rsidRDefault="00DF7F26">
      <w:pPr>
        <w:pStyle w:val="P68B1DB1-116"/>
        <w:rPr>
          <w:rFonts w:ascii="Times New Roman" w:hAnsi="Times New Roman" w:cs="Times New Roman" w:hint="default"/>
        </w:rPr>
      </w:pPr>
      <w:bookmarkStart w:id="399" w:name="_Toc178589735"/>
      <w:bookmarkStart w:id="400" w:name="_Toc512941005"/>
      <w:bookmarkStart w:id="401" w:name="_Toc512941759"/>
      <w:r w:rsidRPr="00775168">
        <w:rPr>
          <w:rFonts w:ascii="Times New Roman" w:hAnsi="Times New Roman"/>
        </w:rPr>
        <w:lastRenderedPageBreak/>
        <w:t xml:space="preserve">Appendix </w:t>
      </w:r>
      <w:r w:rsidR="003A58EF" w:rsidRPr="00775168">
        <w:rPr>
          <w:rFonts w:ascii="Times New Roman" w:hAnsi="Times New Roman" w:hint="default"/>
        </w:rPr>
        <w:t>V</w:t>
      </w:r>
      <w:r w:rsidRPr="00775168">
        <w:rPr>
          <w:rFonts w:ascii="Times New Roman" w:hAnsi="Times New Roman"/>
        </w:rPr>
        <w:t xml:space="preserve"> Quality of Life Scoring Scale</w:t>
      </w:r>
      <w:bookmarkEnd w:id="399"/>
      <w:r w:rsidRPr="00775168">
        <w:rPr>
          <w:rFonts w:ascii="Times New Roman" w:hAnsi="Times New Roman"/>
        </w:rPr>
        <w:t xml:space="preserve"> </w:t>
      </w:r>
      <w:bookmarkEnd w:id="400"/>
      <w:bookmarkEnd w:id="401"/>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EORTC QLQ-C30 (V3.0 Chinese Version) </w:t>
      </w:r>
    </w:p>
    <w:p w:rsidR="00743320" w:rsidRPr="00775168" w:rsidRDefault="00743320">
      <w:pPr>
        <w:adjustRightInd w:val="0"/>
        <w:snapToGrid w:val="0"/>
        <w:spacing w:line="360" w:lineRule="auto"/>
        <w:ind w:firstLineChars="200" w:firstLine="480"/>
        <w:jc w:val="left"/>
        <w:rPr>
          <w:sz w:val="24"/>
        </w:rPr>
      </w:pPr>
    </w:p>
    <w:p w:rsidR="00743320" w:rsidRPr="00775168" w:rsidRDefault="00DF7F26">
      <w:pPr>
        <w:pStyle w:val="P68B1DB1-a017"/>
        <w:adjustRightInd w:val="0"/>
        <w:snapToGrid w:val="0"/>
        <w:spacing w:line="360" w:lineRule="auto"/>
        <w:ind w:firstLineChars="200" w:firstLine="480"/>
        <w:jc w:val="left"/>
        <w:rPr>
          <w:rFonts w:hAnsi="Times New Roman" w:hint="default"/>
        </w:rPr>
      </w:pPr>
      <w:r w:rsidRPr="00775168">
        <w:rPr>
          <w:rFonts w:hAnsi="Times New Roman"/>
        </w:rPr>
        <w:t xml:space="preserve">We would like to know something about you and your physical condition and ask you to personally answer all of the questions below and circle the best response for you. These answers are not "right" or "wrong" and circle the one that suits you. The information you provide will be absolutely confidential. </w:t>
      </w:r>
    </w:p>
    <w:p w:rsidR="00743320" w:rsidRPr="00775168" w:rsidRDefault="00743320">
      <w:pPr>
        <w:adjustRightInd w:val="0"/>
        <w:snapToGrid w:val="0"/>
        <w:spacing w:line="360" w:lineRule="auto"/>
        <w:ind w:firstLineChars="200" w:firstLine="480"/>
        <w:jc w:val="left"/>
        <w:rPr>
          <w:sz w:val="24"/>
        </w:rPr>
      </w:pP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Signature of patient: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Date of birth: MM/DD/YY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Today's date: DD MMM YYYY </w:t>
      </w:r>
    </w:p>
    <w:tbl>
      <w:tblPr>
        <w:tblW w:w="9407" w:type="dxa"/>
        <w:jc w:val="center"/>
        <w:tblBorders>
          <w:top w:val="single" w:sz="4" w:space="0" w:color="auto"/>
          <w:bottom w:val="single" w:sz="4" w:space="0" w:color="auto"/>
        </w:tblBorders>
        <w:tblLayout w:type="fixed"/>
        <w:tblLook w:val="04A0" w:firstRow="1" w:lastRow="0" w:firstColumn="1" w:lastColumn="0" w:noHBand="0" w:noVBand="1"/>
      </w:tblPr>
      <w:tblGrid>
        <w:gridCol w:w="6249"/>
        <w:gridCol w:w="805"/>
        <w:gridCol w:w="805"/>
        <w:gridCol w:w="709"/>
        <w:gridCol w:w="839"/>
      </w:tblGrid>
      <w:tr w:rsidR="00743320" w:rsidRPr="00775168">
        <w:trPr>
          <w:trHeight w:val="315"/>
          <w:jc w:val="center"/>
        </w:trPr>
        <w:tc>
          <w:tcPr>
            <w:tcW w:w="6249" w:type="dxa"/>
            <w:tcBorders>
              <w:top w:val="single" w:sz="4" w:space="0" w:color="auto"/>
              <w:bottom w:val="single" w:sz="4" w:space="0" w:color="auto"/>
            </w:tcBorders>
            <w:vAlign w:val="center"/>
          </w:tcPr>
          <w:p w:rsidR="00743320" w:rsidRPr="00775168" w:rsidRDefault="00DF7F26">
            <w:pPr>
              <w:pStyle w:val="P68B1DB1-a049"/>
              <w:spacing w:line="320" w:lineRule="atLeast"/>
            </w:pPr>
            <w:r w:rsidRPr="00775168">
              <w:t xml:space="preserve">                                                                   </w:t>
            </w:r>
          </w:p>
        </w:tc>
        <w:tc>
          <w:tcPr>
            <w:tcW w:w="805" w:type="dxa"/>
            <w:tcBorders>
              <w:top w:val="single" w:sz="4" w:space="0" w:color="auto"/>
              <w:bottom w:val="single" w:sz="4" w:space="0" w:color="auto"/>
            </w:tcBorders>
          </w:tcPr>
          <w:p w:rsidR="00743320" w:rsidRPr="00775168" w:rsidRDefault="00DF7F26">
            <w:pPr>
              <w:pStyle w:val="P68B1DB1-a0115"/>
              <w:spacing w:line="320" w:lineRule="atLeast"/>
              <w:ind w:leftChars="-72" w:left="1" w:rightChars="-30" w:right="-63" w:hangingChars="72" w:hanging="152"/>
              <w:jc w:val="center"/>
              <w:rPr>
                <w:rFonts w:hAnsi="Times New Roman" w:hint="default"/>
              </w:rPr>
            </w:pPr>
            <w:r w:rsidRPr="00775168">
              <w:rPr>
                <w:rFonts w:hAnsi="Times New Roman"/>
              </w:rPr>
              <w:t xml:space="preserve">Not at all </w:t>
            </w:r>
          </w:p>
        </w:tc>
        <w:tc>
          <w:tcPr>
            <w:tcW w:w="805" w:type="dxa"/>
            <w:tcBorders>
              <w:top w:val="single" w:sz="4" w:space="0" w:color="auto"/>
              <w:bottom w:val="single" w:sz="4" w:space="0" w:color="auto"/>
            </w:tcBorders>
          </w:tcPr>
          <w:p w:rsidR="00743320" w:rsidRPr="00775168" w:rsidRDefault="00DF7F26">
            <w:pPr>
              <w:pStyle w:val="P68B1DB1-a0115"/>
              <w:spacing w:line="320" w:lineRule="atLeast"/>
              <w:ind w:leftChars="-73" w:left="-153" w:rightChars="-56" w:right="-118" w:firstLine="2"/>
              <w:jc w:val="center"/>
              <w:rPr>
                <w:rFonts w:hAnsi="Times New Roman" w:hint="default"/>
              </w:rPr>
            </w:pPr>
            <w:r w:rsidRPr="00775168">
              <w:rPr>
                <w:rFonts w:hAnsi="Times New Roman"/>
              </w:rPr>
              <w:t xml:space="preserve">A little </w:t>
            </w:r>
          </w:p>
        </w:tc>
        <w:tc>
          <w:tcPr>
            <w:tcW w:w="709" w:type="dxa"/>
            <w:tcBorders>
              <w:top w:val="single" w:sz="4" w:space="0" w:color="auto"/>
              <w:bottom w:val="single" w:sz="4" w:space="0" w:color="auto"/>
            </w:tcBorders>
          </w:tcPr>
          <w:p w:rsidR="00743320" w:rsidRPr="00775168" w:rsidRDefault="00DF7F26">
            <w:pPr>
              <w:pStyle w:val="P68B1DB1-a0115"/>
              <w:spacing w:line="320" w:lineRule="atLeast"/>
              <w:ind w:leftChars="-15" w:left="1" w:rightChars="-30" w:right="-63" w:hangingChars="15" w:hanging="32"/>
              <w:jc w:val="center"/>
              <w:rPr>
                <w:rFonts w:hAnsi="Times New Roman" w:hint="default"/>
              </w:rPr>
            </w:pPr>
            <w:r w:rsidRPr="00775168">
              <w:rPr>
                <w:rFonts w:hAnsi="Times New Roman"/>
              </w:rPr>
              <w:t xml:space="preserve">Many </w:t>
            </w:r>
          </w:p>
        </w:tc>
        <w:tc>
          <w:tcPr>
            <w:tcW w:w="839" w:type="dxa"/>
            <w:tcBorders>
              <w:top w:val="single" w:sz="4" w:space="0" w:color="auto"/>
              <w:bottom w:val="single" w:sz="4" w:space="0" w:color="auto"/>
            </w:tcBorders>
          </w:tcPr>
          <w:p w:rsidR="00743320" w:rsidRPr="00775168" w:rsidRDefault="00DF7F26">
            <w:pPr>
              <w:pStyle w:val="P68B1DB1-a0115"/>
              <w:spacing w:line="320" w:lineRule="atLeast"/>
              <w:ind w:leftChars="-30" w:rightChars="-30" w:right="-63" w:hangingChars="30" w:hanging="63"/>
              <w:jc w:val="center"/>
              <w:rPr>
                <w:rFonts w:hAnsi="Times New Roman" w:hint="default"/>
              </w:rPr>
            </w:pPr>
            <w:r w:rsidRPr="00775168">
              <w:rPr>
                <w:rFonts w:hAnsi="Times New Roman"/>
              </w:rPr>
              <w:t xml:space="preserve">Very </w:t>
            </w:r>
          </w:p>
        </w:tc>
      </w:tr>
      <w:tr w:rsidR="00743320" w:rsidRPr="00775168">
        <w:trPr>
          <w:trHeight w:val="315"/>
          <w:jc w:val="center"/>
        </w:trPr>
        <w:tc>
          <w:tcPr>
            <w:tcW w:w="6249" w:type="dxa"/>
            <w:tcBorders>
              <w:top w:val="single" w:sz="4" w:space="0" w:color="auto"/>
            </w:tcBorders>
            <w:vAlign w:val="center"/>
          </w:tcPr>
          <w:p w:rsidR="00743320" w:rsidRPr="00775168" w:rsidRDefault="00DF7F26">
            <w:pPr>
              <w:pStyle w:val="P68B1DB1-a0116"/>
              <w:widowControl/>
              <w:numPr>
                <w:ilvl w:val="0"/>
                <w:numId w:val="33"/>
              </w:numPr>
              <w:spacing w:line="320" w:lineRule="atLeast"/>
              <w:jc w:val="left"/>
              <w:rPr>
                <w:rFonts w:hint="default"/>
              </w:rPr>
            </w:pPr>
            <w:r w:rsidRPr="00775168">
              <w:t xml:space="preserve">Do you have trouble doing strenuous activities, such as a heavy shopping bag or a suitcase? </w:t>
            </w:r>
          </w:p>
        </w:tc>
        <w:tc>
          <w:tcPr>
            <w:tcW w:w="805" w:type="dxa"/>
            <w:tcBorders>
              <w:top w:val="single" w:sz="4" w:space="0" w:color="auto"/>
            </w:tcBorders>
            <w:vAlign w:val="bottom"/>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Borders>
              <w:top w:val="single" w:sz="4" w:space="0" w:color="auto"/>
            </w:tcBorders>
            <w:vAlign w:val="bottom"/>
          </w:tcPr>
          <w:p w:rsidR="00743320" w:rsidRPr="00775168" w:rsidRDefault="00DF7F26">
            <w:pPr>
              <w:spacing w:line="320" w:lineRule="atLeast"/>
              <w:ind w:leftChars="-72" w:rightChars="-56" w:right="-118" w:hangingChars="72" w:hanging="151"/>
              <w:jc w:val="center"/>
            </w:pPr>
            <w:r w:rsidRPr="00775168">
              <w:t xml:space="preserve">2 </w:t>
            </w:r>
          </w:p>
        </w:tc>
        <w:tc>
          <w:tcPr>
            <w:tcW w:w="709" w:type="dxa"/>
            <w:tcBorders>
              <w:top w:val="single" w:sz="4" w:space="0" w:color="auto"/>
            </w:tcBorders>
            <w:vAlign w:val="bottom"/>
          </w:tcPr>
          <w:p w:rsidR="00743320" w:rsidRPr="00775168" w:rsidRDefault="00DF7F26">
            <w:pPr>
              <w:spacing w:line="320" w:lineRule="atLeast"/>
              <w:ind w:leftChars="-15" w:rightChars="-30" w:right="-63" w:hangingChars="15" w:hanging="31"/>
              <w:jc w:val="center"/>
            </w:pPr>
            <w:r w:rsidRPr="00775168">
              <w:t xml:space="preserve">3 </w:t>
            </w:r>
          </w:p>
        </w:tc>
        <w:tc>
          <w:tcPr>
            <w:tcW w:w="839" w:type="dxa"/>
            <w:tcBorders>
              <w:top w:val="single" w:sz="4" w:space="0" w:color="auto"/>
            </w:tcBorders>
            <w:vAlign w:val="bottom"/>
          </w:tcPr>
          <w:p w:rsidR="00743320" w:rsidRPr="00775168" w:rsidRDefault="00DF7F26">
            <w:pPr>
              <w:spacing w:line="320" w:lineRule="atLeast"/>
              <w:ind w:leftChars="-30" w:rightChars="-30" w:right="-63" w:hangingChars="30" w:hanging="63"/>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Is it difficult to go far?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56" w:right="-118" w:hangingChars="72" w:hanging="151"/>
              <w:jc w:val="center"/>
            </w:pPr>
            <w:r w:rsidRPr="00775168">
              <w:t xml:space="preserve">2 </w:t>
            </w:r>
          </w:p>
        </w:tc>
        <w:tc>
          <w:tcPr>
            <w:tcW w:w="709" w:type="dxa"/>
          </w:tcPr>
          <w:p w:rsidR="00743320" w:rsidRPr="00775168" w:rsidRDefault="00DF7F26">
            <w:pPr>
              <w:spacing w:line="320" w:lineRule="atLeast"/>
              <w:ind w:leftChars="-15" w:rightChars="-30" w:right="-63" w:hangingChars="15" w:hanging="31"/>
              <w:jc w:val="center"/>
            </w:pPr>
            <w:r w:rsidRPr="00775168">
              <w:t xml:space="preserve">3 </w:t>
            </w:r>
          </w:p>
        </w:tc>
        <w:tc>
          <w:tcPr>
            <w:tcW w:w="839" w:type="dxa"/>
          </w:tcPr>
          <w:p w:rsidR="00743320" w:rsidRPr="00775168" w:rsidRDefault="00DF7F26">
            <w:pPr>
              <w:spacing w:line="320" w:lineRule="atLeast"/>
              <w:ind w:leftChars="-30" w:rightChars="-30" w:right="-63" w:hangingChars="30" w:hanging="63"/>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Is it difficult to walk a short distance outside the house?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56" w:right="-118" w:hangingChars="72" w:hanging="151"/>
              <w:jc w:val="center"/>
            </w:pPr>
            <w:r w:rsidRPr="00775168">
              <w:t xml:space="preserve">2 </w:t>
            </w:r>
          </w:p>
        </w:tc>
        <w:tc>
          <w:tcPr>
            <w:tcW w:w="709" w:type="dxa"/>
          </w:tcPr>
          <w:p w:rsidR="00743320" w:rsidRPr="00775168" w:rsidRDefault="00DF7F26">
            <w:pPr>
              <w:spacing w:line="320" w:lineRule="atLeast"/>
              <w:ind w:leftChars="-15" w:rightChars="-30" w:right="-63" w:hangingChars="15" w:hanging="31"/>
              <w:jc w:val="center"/>
            </w:pPr>
            <w:r w:rsidRPr="00775168">
              <w:t xml:space="preserve">3 </w:t>
            </w:r>
          </w:p>
        </w:tc>
        <w:tc>
          <w:tcPr>
            <w:tcW w:w="839" w:type="dxa"/>
          </w:tcPr>
          <w:p w:rsidR="00743320" w:rsidRPr="00775168" w:rsidRDefault="00DF7F26">
            <w:pPr>
              <w:spacing w:line="320" w:lineRule="atLeast"/>
              <w:ind w:leftChars="-30" w:rightChars="-30" w:right="-63" w:hangingChars="30" w:hanging="63"/>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Do you need to lie in bed or in a wheelchair during the day?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56" w:right="-118" w:hangingChars="72" w:hanging="151"/>
              <w:jc w:val="center"/>
            </w:pPr>
            <w:r w:rsidRPr="00775168">
              <w:t xml:space="preserve">2 </w:t>
            </w:r>
          </w:p>
        </w:tc>
        <w:tc>
          <w:tcPr>
            <w:tcW w:w="709" w:type="dxa"/>
          </w:tcPr>
          <w:p w:rsidR="00743320" w:rsidRPr="00775168" w:rsidRDefault="00DF7F26">
            <w:pPr>
              <w:spacing w:line="320" w:lineRule="atLeast"/>
              <w:ind w:leftChars="-15" w:rightChars="-30" w:right="-63" w:hangingChars="15" w:hanging="31"/>
              <w:jc w:val="center"/>
            </w:pPr>
            <w:r w:rsidRPr="00775168">
              <w:t xml:space="preserve">3 </w:t>
            </w:r>
          </w:p>
        </w:tc>
        <w:tc>
          <w:tcPr>
            <w:tcW w:w="839" w:type="dxa"/>
          </w:tcPr>
          <w:p w:rsidR="00743320" w:rsidRPr="00775168" w:rsidRDefault="00DF7F26">
            <w:pPr>
              <w:spacing w:line="320" w:lineRule="atLeast"/>
              <w:ind w:leftChars="-30" w:rightChars="-30" w:right="-63" w:hangingChars="30" w:hanging="63"/>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Do you need help eating, dressing, washing or using the toilet?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56" w:right="-118" w:hangingChars="72" w:hanging="151"/>
              <w:jc w:val="center"/>
            </w:pPr>
            <w:r w:rsidRPr="00775168">
              <w:t xml:space="preserve">2 </w:t>
            </w:r>
          </w:p>
        </w:tc>
        <w:tc>
          <w:tcPr>
            <w:tcW w:w="709" w:type="dxa"/>
          </w:tcPr>
          <w:p w:rsidR="00743320" w:rsidRPr="00775168" w:rsidRDefault="00DF7F26">
            <w:pPr>
              <w:spacing w:line="320" w:lineRule="atLeast"/>
              <w:ind w:leftChars="-15" w:rightChars="-30" w:right="-63" w:hangingChars="15" w:hanging="31"/>
              <w:jc w:val="center"/>
            </w:pPr>
            <w:r w:rsidRPr="00775168">
              <w:t xml:space="preserve">3 </w:t>
            </w:r>
          </w:p>
        </w:tc>
        <w:tc>
          <w:tcPr>
            <w:tcW w:w="839" w:type="dxa"/>
          </w:tcPr>
          <w:p w:rsidR="00743320" w:rsidRPr="00775168" w:rsidRDefault="00DF7F26">
            <w:pPr>
              <w:spacing w:line="320" w:lineRule="atLeast"/>
              <w:ind w:leftChars="-30" w:rightChars="-30" w:right="-63" w:hangingChars="30" w:hanging="63"/>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8"/>
              <w:widowControl/>
              <w:spacing w:line="320" w:lineRule="atLeast"/>
              <w:ind w:left="420"/>
              <w:jc w:val="left"/>
              <w:rPr>
                <w:rFonts w:hAnsi="Times New Roman" w:hint="default"/>
              </w:rPr>
            </w:pPr>
            <w:r w:rsidRPr="00775168">
              <w:rPr>
                <w:rFonts w:hAnsi="Times New Roman"/>
              </w:rPr>
              <w:lastRenderedPageBreak/>
              <w:t xml:space="preserve">In the past week </w:t>
            </w:r>
          </w:p>
        </w:tc>
        <w:tc>
          <w:tcPr>
            <w:tcW w:w="805" w:type="dxa"/>
          </w:tcPr>
          <w:p w:rsidR="00743320" w:rsidRPr="00775168" w:rsidRDefault="00DF7F26">
            <w:pPr>
              <w:pStyle w:val="P68B1DB1-a0115"/>
              <w:spacing w:line="320" w:lineRule="atLeast"/>
              <w:ind w:leftChars="-72" w:left="1" w:rightChars="-30" w:right="-63" w:hangingChars="72" w:hanging="152"/>
              <w:jc w:val="center"/>
              <w:rPr>
                <w:rFonts w:hAnsi="Times New Roman" w:hint="default"/>
              </w:rPr>
            </w:pPr>
            <w:r w:rsidRPr="00775168">
              <w:rPr>
                <w:rFonts w:hAnsi="Times New Roman"/>
              </w:rPr>
              <w:t xml:space="preserve">Not at all </w:t>
            </w:r>
          </w:p>
        </w:tc>
        <w:tc>
          <w:tcPr>
            <w:tcW w:w="805" w:type="dxa"/>
          </w:tcPr>
          <w:p w:rsidR="00743320" w:rsidRPr="00775168" w:rsidRDefault="00DF7F26">
            <w:pPr>
              <w:pStyle w:val="P68B1DB1-a0115"/>
              <w:spacing w:line="320" w:lineRule="atLeast"/>
              <w:ind w:leftChars="-72" w:left="1" w:rightChars="-56" w:right="-118" w:hangingChars="72" w:hanging="152"/>
              <w:jc w:val="center"/>
              <w:rPr>
                <w:rFonts w:hAnsi="Times New Roman" w:hint="default"/>
              </w:rPr>
            </w:pPr>
            <w:r w:rsidRPr="00775168">
              <w:rPr>
                <w:rFonts w:hAnsi="Times New Roman"/>
              </w:rPr>
              <w:t xml:space="preserve">A little </w:t>
            </w:r>
          </w:p>
        </w:tc>
        <w:tc>
          <w:tcPr>
            <w:tcW w:w="709" w:type="dxa"/>
          </w:tcPr>
          <w:p w:rsidR="00743320" w:rsidRPr="00775168" w:rsidRDefault="00DF7F26">
            <w:pPr>
              <w:pStyle w:val="P68B1DB1-a0115"/>
              <w:spacing w:line="320" w:lineRule="atLeast"/>
              <w:ind w:leftChars="-15" w:left="1" w:rightChars="-30" w:right="-63" w:hangingChars="15" w:hanging="32"/>
              <w:jc w:val="center"/>
              <w:rPr>
                <w:rFonts w:hAnsi="Times New Roman" w:hint="default"/>
              </w:rPr>
            </w:pPr>
            <w:r w:rsidRPr="00775168">
              <w:rPr>
                <w:rFonts w:hAnsi="Times New Roman"/>
              </w:rPr>
              <w:t xml:space="preserve">Many </w:t>
            </w:r>
          </w:p>
        </w:tc>
        <w:tc>
          <w:tcPr>
            <w:tcW w:w="839" w:type="dxa"/>
          </w:tcPr>
          <w:p w:rsidR="00743320" w:rsidRPr="00775168" w:rsidRDefault="00DF7F26">
            <w:pPr>
              <w:pStyle w:val="P68B1DB1-a0115"/>
              <w:spacing w:line="320" w:lineRule="atLeast"/>
              <w:ind w:leftChars="-30" w:rightChars="-30" w:right="-63" w:hangingChars="30" w:hanging="63"/>
              <w:jc w:val="center"/>
              <w:rPr>
                <w:rFonts w:hAnsi="Times New Roman" w:hint="default"/>
              </w:rPr>
            </w:pPr>
            <w:r w:rsidRPr="00775168">
              <w:rPr>
                <w:rFonts w:hAnsi="Times New Roman"/>
              </w:rPr>
              <w:t xml:space="preserve">Very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limited to doing your work or other daily activities?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limited to your hobbies or other leisure-time activities?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short of breath?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Have you ever had pain?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Do you need to rest?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having trouble sleeping?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Did you feel weak?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short of appetite?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lastRenderedPageBreak/>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lastRenderedPageBreak/>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lastRenderedPageBreak/>
              <w:t xml:space="preserve">Did you feel sick?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Have you vomited?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Have you ever been constipated?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Have you had diarrhea?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tired?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Does pain interfere with your daily activities?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lastRenderedPageBreak/>
              <w:t xml:space="preserve">Do you have trouble concentrating on doing things, like reading a newspaper or watching TV?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31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nervous?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31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anxious?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irritable?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Are you depressed?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Have you had trouble remembering?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Has your physical condition or medical treatment interfered with your family life?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Has your physical condition or medical treatment interfered with your social life?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6249" w:type="dxa"/>
            <w:vAlign w:val="center"/>
          </w:tcPr>
          <w:p w:rsidR="00743320" w:rsidRPr="00775168" w:rsidRDefault="00DF7F26">
            <w:pPr>
              <w:pStyle w:val="P68B1DB1-a0117"/>
              <w:widowControl/>
              <w:numPr>
                <w:ilvl w:val="0"/>
                <w:numId w:val="33"/>
              </w:numPr>
              <w:spacing w:line="320" w:lineRule="atLeast"/>
              <w:jc w:val="left"/>
              <w:rPr>
                <w:rFonts w:hAnsi="Times New Roman" w:hint="default"/>
              </w:rPr>
            </w:pPr>
            <w:r w:rsidRPr="00775168">
              <w:rPr>
                <w:rFonts w:hAnsi="Times New Roman"/>
              </w:rPr>
              <w:t xml:space="preserve">Have your physical condition or medical treatment caused you financial difficulties?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r w:rsidRPr="00775168">
              <w:rPr>
                <w:rFonts w:hAnsi="Times New Roman"/>
              </w:rPr>
              <w:t>…</w:t>
            </w:r>
            <w:r w:rsidRPr="00775168">
              <w:rPr>
                <w:rFonts w:hAnsi="Times New Roman"/>
              </w:rPr>
              <w:t xml:space="preserve">. </w:t>
            </w:r>
          </w:p>
        </w:tc>
        <w:tc>
          <w:tcPr>
            <w:tcW w:w="805" w:type="dxa"/>
          </w:tcPr>
          <w:p w:rsidR="00743320" w:rsidRPr="00775168" w:rsidRDefault="00DF7F26">
            <w:pPr>
              <w:spacing w:line="320" w:lineRule="atLeast"/>
              <w:ind w:leftChars="-72" w:rightChars="-30" w:right="-63" w:hangingChars="72" w:hanging="151"/>
              <w:jc w:val="center"/>
            </w:pPr>
            <w:r w:rsidRPr="00775168">
              <w:t xml:space="preserve">1 </w:t>
            </w:r>
          </w:p>
        </w:tc>
        <w:tc>
          <w:tcPr>
            <w:tcW w:w="805" w:type="dxa"/>
          </w:tcPr>
          <w:p w:rsidR="00743320" w:rsidRPr="00775168" w:rsidRDefault="00DF7F26">
            <w:pPr>
              <w:spacing w:line="320" w:lineRule="atLeast"/>
              <w:ind w:leftChars="-72" w:rightChars="-30" w:right="-63" w:hangingChars="72" w:hanging="151"/>
              <w:jc w:val="center"/>
            </w:pPr>
            <w:r w:rsidRPr="00775168">
              <w:t xml:space="preserve">2 </w:t>
            </w:r>
          </w:p>
        </w:tc>
        <w:tc>
          <w:tcPr>
            <w:tcW w:w="709" w:type="dxa"/>
          </w:tcPr>
          <w:p w:rsidR="00743320" w:rsidRPr="00775168" w:rsidRDefault="00DF7F26">
            <w:pPr>
              <w:spacing w:line="320" w:lineRule="atLeast"/>
              <w:ind w:leftChars="-72" w:rightChars="-30" w:right="-63" w:hangingChars="72" w:hanging="151"/>
              <w:jc w:val="center"/>
            </w:pPr>
            <w:r w:rsidRPr="00775168">
              <w:t xml:space="preserve">3 </w:t>
            </w:r>
          </w:p>
        </w:tc>
        <w:tc>
          <w:tcPr>
            <w:tcW w:w="839" w:type="dxa"/>
          </w:tcPr>
          <w:p w:rsidR="00743320" w:rsidRPr="00775168" w:rsidRDefault="00DF7F26">
            <w:pPr>
              <w:spacing w:line="320" w:lineRule="atLeast"/>
              <w:ind w:leftChars="-72" w:rightChars="-30" w:right="-63" w:hangingChars="72" w:hanging="151"/>
              <w:jc w:val="center"/>
            </w:pPr>
            <w:r w:rsidRPr="00775168">
              <w:t xml:space="preserve">4 </w:t>
            </w:r>
          </w:p>
        </w:tc>
      </w:tr>
      <w:tr w:rsidR="00743320" w:rsidRPr="00775168">
        <w:trPr>
          <w:trHeight w:val="285"/>
          <w:jc w:val="center"/>
        </w:trPr>
        <w:tc>
          <w:tcPr>
            <w:tcW w:w="9407" w:type="dxa"/>
            <w:gridSpan w:val="5"/>
            <w:vAlign w:val="center"/>
          </w:tcPr>
          <w:p w:rsidR="00743320" w:rsidRPr="00775168" w:rsidRDefault="00DF7F26">
            <w:pPr>
              <w:pStyle w:val="P68B1DB1-a098"/>
              <w:spacing w:line="320" w:lineRule="atLeast"/>
              <w:rPr>
                <w:rFonts w:hint="default"/>
              </w:rPr>
            </w:pPr>
            <w:r w:rsidRPr="00775168">
              <w:t xml:space="preserve">Circle the number from 1 to 7 that best matches your answer </w:t>
            </w:r>
          </w:p>
        </w:tc>
      </w:tr>
      <w:tr w:rsidR="00743320" w:rsidRPr="00775168">
        <w:trPr>
          <w:trHeight w:val="285"/>
          <w:jc w:val="center"/>
        </w:trPr>
        <w:tc>
          <w:tcPr>
            <w:tcW w:w="9407" w:type="dxa"/>
            <w:gridSpan w:val="5"/>
            <w:vAlign w:val="center"/>
          </w:tcPr>
          <w:p w:rsidR="00743320" w:rsidRPr="00775168" w:rsidRDefault="00DF7F26">
            <w:pPr>
              <w:pStyle w:val="P68B1DB1-a058"/>
              <w:spacing w:line="320" w:lineRule="atLeast"/>
              <w:rPr>
                <w:rFonts w:hint="default"/>
              </w:rPr>
            </w:pPr>
            <w:r w:rsidRPr="00775168">
              <w:t xml:space="preserve">29. how would you rate your general health last week? </w:t>
            </w:r>
          </w:p>
        </w:tc>
      </w:tr>
      <w:tr w:rsidR="00743320" w:rsidRPr="00775168">
        <w:trPr>
          <w:trHeight w:val="285"/>
          <w:jc w:val="center"/>
        </w:trPr>
        <w:tc>
          <w:tcPr>
            <w:tcW w:w="9407" w:type="dxa"/>
            <w:gridSpan w:val="5"/>
            <w:vAlign w:val="center"/>
          </w:tcPr>
          <w:p w:rsidR="00743320" w:rsidRPr="00775168" w:rsidRDefault="00DF7F26">
            <w:pPr>
              <w:tabs>
                <w:tab w:val="left" w:pos="360"/>
                <w:tab w:val="left" w:pos="480"/>
                <w:tab w:val="left" w:pos="1035"/>
                <w:tab w:val="left" w:pos="4800"/>
                <w:tab w:val="left" w:pos="5280"/>
              </w:tabs>
              <w:spacing w:line="320" w:lineRule="atLeast"/>
              <w:ind w:firstLine="420"/>
            </w:pPr>
            <w:r w:rsidRPr="00775168">
              <w:t xml:space="preserve">1 2 3 4 5 6 7 </w:t>
            </w:r>
          </w:p>
          <w:p w:rsidR="00743320" w:rsidRPr="00775168" w:rsidRDefault="00DF7F26">
            <w:pPr>
              <w:pStyle w:val="P68B1DB1-a058"/>
              <w:spacing w:line="320" w:lineRule="atLeast"/>
              <w:rPr>
                <w:rFonts w:hint="default"/>
              </w:rPr>
            </w:pPr>
            <w:r w:rsidRPr="00775168">
              <w:t xml:space="preserve">Very bad Very good </w:t>
            </w:r>
          </w:p>
        </w:tc>
      </w:tr>
      <w:tr w:rsidR="00743320" w:rsidRPr="00775168">
        <w:trPr>
          <w:trHeight w:val="285"/>
          <w:jc w:val="center"/>
        </w:trPr>
        <w:tc>
          <w:tcPr>
            <w:tcW w:w="9407" w:type="dxa"/>
            <w:gridSpan w:val="5"/>
            <w:vAlign w:val="center"/>
          </w:tcPr>
          <w:p w:rsidR="00743320" w:rsidRPr="00775168" w:rsidRDefault="00DF7F26">
            <w:pPr>
              <w:pStyle w:val="P68B1DB1-a058"/>
              <w:spacing w:line="320" w:lineRule="atLeast"/>
              <w:rPr>
                <w:rFonts w:hint="default"/>
              </w:rPr>
            </w:pPr>
            <w:r w:rsidRPr="00775168">
              <w:t xml:space="preserve">30. How would you rate your overall quality of life in the last week? </w:t>
            </w:r>
          </w:p>
        </w:tc>
      </w:tr>
      <w:tr w:rsidR="00743320" w:rsidRPr="00775168">
        <w:trPr>
          <w:trHeight w:val="285"/>
          <w:jc w:val="center"/>
        </w:trPr>
        <w:tc>
          <w:tcPr>
            <w:tcW w:w="9407" w:type="dxa"/>
            <w:gridSpan w:val="5"/>
            <w:tcBorders>
              <w:bottom w:val="single" w:sz="4" w:space="0" w:color="auto"/>
            </w:tcBorders>
            <w:vAlign w:val="center"/>
          </w:tcPr>
          <w:p w:rsidR="00743320" w:rsidRPr="00775168" w:rsidRDefault="00DF7F26">
            <w:pPr>
              <w:tabs>
                <w:tab w:val="left" w:pos="360"/>
                <w:tab w:val="left" w:pos="480"/>
                <w:tab w:val="left" w:pos="1035"/>
                <w:tab w:val="left" w:pos="4800"/>
                <w:tab w:val="left" w:pos="5280"/>
              </w:tabs>
              <w:spacing w:line="320" w:lineRule="atLeast"/>
              <w:ind w:firstLine="420"/>
            </w:pPr>
            <w:r w:rsidRPr="00775168">
              <w:t xml:space="preserve">1 2 3 4 5 6 7 </w:t>
            </w:r>
          </w:p>
          <w:p w:rsidR="00743320" w:rsidRPr="00775168" w:rsidRDefault="00DF7F26">
            <w:pPr>
              <w:pStyle w:val="P68B1DB1-a058"/>
              <w:spacing w:line="320" w:lineRule="atLeast"/>
              <w:rPr>
                <w:rFonts w:hint="default"/>
              </w:rPr>
            </w:pPr>
            <w:r w:rsidRPr="00775168">
              <w:t xml:space="preserve">Very bad Very good </w:t>
            </w:r>
          </w:p>
        </w:tc>
      </w:tr>
    </w:tbl>
    <w:p w:rsidR="00743320" w:rsidRPr="00775168" w:rsidRDefault="00743320">
      <w:pPr>
        <w:adjustRightInd w:val="0"/>
        <w:snapToGrid w:val="0"/>
        <w:spacing w:line="360" w:lineRule="auto"/>
        <w:ind w:firstLineChars="200" w:firstLine="480"/>
        <w:jc w:val="left"/>
        <w:rPr>
          <w:sz w:val="24"/>
        </w:rPr>
      </w:pPr>
    </w:p>
    <w:p w:rsidR="00743320" w:rsidRPr="00775168" w:rsidRDefault="00DF7F26">
      <w:pPr>
        <w:pStyle w:val="P68B1DB1-a023"/>
        <w:adjustRightInd w:val="0"/>
        <w:snapToGrid w:val="0"/>
        <w:spacing w:line="360" w:lineRule="auto"/>
        <w:ind w:firstLine="480"/>
        <w:jc w:val="left"/>
        <w:rPr>
          <w:rFonts w:hAnsi="Times New Roman" w:hint="default"/>
        </w:rPr>
      </w:pPr>
      <w:r w:rsidRPr="00775168">
        <w:rPr>
          <w:rFonts w:hAnsi="Times New Roman"/>
        </w:rPr>
        <w:t xml:space="preserve">1. description of quality of life scores: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lastRenderedPageBreak/>
        <w:t xml:space="preserve">The EORTC's QLQ-C30 (V3.0) is a core scale for all cancer patients, with a total of 30 items. Items 29 and 30 are divided into seven levels, which are scored from 1 to 7 according to their response options; other items are divided into 4 levels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Grade: not at all, a little, a lot, and very much, scored from 1 to 4 directly </w:t>
      </w:r>
    </w:p>
    <w:p w:rsidR="00743320" w:rsidRPr="00775168" w:rsidRDefault="00DF7F26">
      <w:pPr>
        <w:pStyle w:val="P68B1DB1-a023"/>
        <w:adjustRightInd w:val="0"/>
        <w:snapToGrid w:val="0"/>
        <w:spacing w:line="360" w:lineRule="auto"/>
        <w:ind w:firstLine="480"/>
        <w:jc w:val="left"/>
        <w:rPr>
          <w:rFonts w:hAnsi="Times New Roman" w:hint="default"/>
        </w:rPr>
      </w:pPr>
      <w:r w:rsidRPr="00775168">
        <w:rPr>
          <w:rFonts w:hAnsi="Times New Roman"/>
        </w:rPr>
        <w:t xml:space="preserve">2. Calculation of the EORTC QLQ-C30 domain (dimension) score (crude score):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For the convenience of statistical analysis and application, scales are often divided into certain domains. Domain is an aspect of the quality of life component, also known as dimension, which is analyzed as an independent variable. 30 items of EOETC QLQ-C30 (V3.0), which can be divided into 15 domains, including 5 functional domains (physical, role, cognitive, emotional and social function), 3 symptom domains (fatigue, pain, nausea and vomiting), 1 global health status/quality of life domain and 6 single items (each as a domain). See the table below for classification. </w:t>
      </w:r>
    </w:p>
    <w:p w:rsidR="00743320" w:rsidRPr="00775168" w:rsidRDefault="00DF7F26">
      <w:pPr>
        <w:pStyle w:val="P68B1DB1-a023"/>
        <w:adjustRightInd w:val="0"/>
        <w:snapToGrid w:val="0"/>
        <w:spacing w:line="360" w:lineRule="auto"/>
        <w:ind w:firstLineChars="200" w:firstLine="480"/>
        <w:jc w:val="left"/>
        <w:rPr>
          <w:rFonts w:hAnsi="Times New Roman" w:hint="default"/>
        </w:rPr>
      </w:pPr>
      <w:r w:rsidRPr="00775168">
        <w:rPr>
          <w:rFonts w:hAnsi="Times New Roman"/>
        </w:rPr>
        <w:t xml:space="preserve">The score of each domain is obtained by adding the scores of the included items and dividing by the number of included items (crude RS, Raw Score), that is, RS = (Q1 + Q2 +... + Qn )/n. </w:t>
      </w:r>
    </w:p>
    <w:p w:rsidR="00743320" w:rsidRPr="00775168" w:rsidRDefault="00DF7F26">
      <w:pPr>
        <w:pStyle w:val="P68B1DB1-a098"/>
        <w:ind w:firstLine="480"/>
        <w:jc w:val="center"/>
        <w:rPr>
          <w:rFonts w:hint="default"/>
        </w:rPr>
      </w:pPr>
      <w:r w:rsidRPr="00775168">
        <w:t xml:space="preserve">Classification of QLQ-C30 domains of EORTC </w:t>
      </w:r>
    </w:p>
    <w:tbl>
      <w:tblPr>
        <w:tblW w:w="6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96"/>
        <w:gridCol w:w="1761"/>
        <w:gridCol w:w="2352"/>
      </w:tblGrid>
      <w:tr w:rsidR="00743320" w:rsidRPr="00775168">
        <w:trPr>
          <w:trHeight w:val="467"/>
          <w:jc w:val="center"/>
        </w:trPr>
        <w:tc>
          <w:tcPr>
            <w:tcW w:w="1996" w:type="dxa"/>
          </w:tcPr>
          <w:p w:rsidR="00743320" w:rsidRPr="00775168" w:rsidRDefault="00743320">
            <w:pPr>
              <w:pStyle w:val="TableParagraph"/>
              <w:rPr>
                <w:rFonts w:ascii="Times New Roman" w:hAnsi="Times New Roman" w:cs="Times New Roman"/>
              </w:rPr>
            </w:pPr>
          </w:p>
        </w:tc>
        <w:tc>
          <w:tcPr>
            <w:tcW w:w="1761" w:type="dxa"/>
          </w:tcPr>
          <w:p w:rsidR="00743320" w:rsidRPr="00775168" w:rsidRDefault="00DF7F26">
            <w:pPr>
              <w:pStyle w:val="P68B1DB1-TableParagraph112"/>
              <w:spacing w:line="439" w:lineRule="exact"/>
              <w:ind w:left="647" w:right="653"/>
              <w:jc w:val="center"/>
              <w:rPr>
                <w:rFonts w:ascii="Times New Roman" w:hAnsi="Times New Roman" w:cs="Times New Roman" w:hint="default"/>
              </w:rPr>
            </w:pPr>
            <w:r w:rsidRPr="00775168">
              <w:rPr>
                <w:rFonts w:ascii="Times New Roman" w:hAnsi="Times New Roman"/>
              </w:rPr>
              <w:t xml:space="preserve">Entry </w:t>
            </w:r>
          </w:p>
        </w:tc>
        <w:tc>
          <w:tcPr>
            <w:tcW w:w="2352" w:type="dxa"/>
          </w:tcPr>
          <w:p w:rsidR="00743320" w:rsidRPr="00775168" w:rsidRDefault="00DF7F26">
            <w:pPr>
              <w:pStyle w:val="P68B1DB1-TableParagraph112"/>
              <w:spacing w:line="439" w:lineRule="exact"/>
              <w:ind w:left="655" w:right="607"/>
              <w:jc w:val="center"/>
              <w:rPr>
                <w:rFonts w:ascii="Times New Roman" w:hAnsi="Times New Roman" w:cs="Times New Roman" w:hint="default"/>
              </w:rPr>
            </w:pPr>
            <w:r w:rsidRPr="00775168">
              <w:rPr>
                <w:rFonts w:ascii="Times New Roman" w:hAnsi="Times New Roman"/>
              </w:rPr>
              <w:t xml:space="preserve">Item No. </w:t>
            </w:r>
          </w:p>
        </w:tc>
      </w:tr>
      <w:tr w:rsidR="00743320" w:rsidRPr="00775168">
        <w:trPr>
          <w:trHeight w:val="469"/>
          <w:jc w:val="center"/>
        </w:trPr>
        <w:tc>
          <w:tcPr>
            <w:tcW w:w="1996" w:type="dxa"/>
          </w:tcPr>
          <w:p w:rsidR="00743320" w:rsidRPr="00775168" w:rsidRDefault="00DF7F26">
            <w:pPr>
              <w:pStyle w:val="P68B1DB1-TableParagraph112"/>
              <w:spacing w:line="439" w:lineRule="exact"/>
              <w:ind w:left="118"/>
              <w:rPr>
                <w:rFonts w:ascii="Times New Roman" w:hAnsi="Times New Roman" w:cs="Times New Roman" w:hint="default"/>
              </w:rPr>
            </w:pPr>
            <w:r w:rsidRPr="00775168">
              <w:rPr>
                <w:rFonts w:ascii="Times New Roman" w:hAnsi="Times New Roman"/>
              </w:rPr>
              <w:t xml:space="preserve">Physical function </w:t>
            </w:r>
          </w:p>
        </w:tc>
        <w:tc>
          <w:tcPr>
            <w:tcW w:w="1761" w:type="dxa"/>
          </w:tcPr>
          <w:p w:rsidR="00743320" w:rsidRPr="00775168" w:rsidRDefault="00DF7F26">
            <w:pPr>
              <w:pStyle w:val="P68B1DB1-TableParagraph113"/>
              <w:spacing w:before="106"/>
              <w:ind w:right="6"/>
              <w:jc w:val="center"/>
              <w:rPr>
                <w:rFonts w:hAnsi="Times New Roman"/>
              </w:rPr>
            </w:pPr>
            <w:r w:rsidRPr="00775168">
              <w:rPr>
                <w:rFonts w:hAnsi="Times New Roman"/>
              </w:rPr>
              <w:t xml:space="preserve">5 </w:t>
            </w:r>
          </w:p>
        </w:tc>
        <w:tc>
          <w:tcPr>
            <w:tcW w:w="2352" w:type="dxa"/>
          </w:tcPr>
          <w:p w:rsidR="00743320" w:rsidRPr="00775168" w:rsidRDefault="00DF7F26">
            <w:pPr>
              <w:pStyle w:val="P68B1DB1-TableParagraph113"/>
              <w:spacing w:before="106"/>
              <w:ind w:left="655" w:right="605"/>
              <w:jc w:val="center"/>
              <w:rPr>
                <w:rFonts w:hAnsi="Times New Roman"/>
              </w:rPr>
            </w:pPr>
            <w:r w:rsidRPr="00775168">
              <w:rPr>
                <w:rFonts w:hAnsi="Times New Roman"/>
              </w:rPr>
              <w:t xml:space="preserve">1 to 5 </w:t>
            </w:r>
          </w:p>
        </w:tc>
      </w:tr>
      <w:tr w:rsidR="00743320" w:rsidRPr="00775168">
        <w:trPr>
          <w:trHeight w:val="468"/>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Role Function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2 </w:t>
            </w:r>
          </w:p>
        </w:tc>
        <w:tc>
          <w:tcPr>
            <w:tcW w:w="2352" w:type="dxa"/>
          </w:tcPr>
          <w:p w:rsidR="00743320" w:rsidRPr="00775168" w:rsidRDefault="00DF7F26">
            <w:pPr>
              <w:pStyle w:val="P68B1DB1-TableParagraph113"/>
              <w:spacing w:before="104"/>
              <w:ind w:left="655" w:right="605"/>
              <w:jc w:val="center"/>
              <w:rPr>
                <w:rFonts w:hAnsi="Times New Roman"/>
              </w:rPr>
            </w:pPr>
            <w:r w:rsidRPr="00775168">
              <w:rPr>
                <w:rFonts w:hAnsi="Times New Roman"/>
              </w:rPr>
              <w:t xml:space="preserve">6-7 </w:t>
            </w:r>
          </w:p>
        </w:tc>
      </w:tr>
      <w:tr w:rsidR="00743320" w:rsidRPr="00775168">
        <w:trPr>
          <w:trHeight w:val="467"/>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Emotional Function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4 </w:t>
            </w:r>
          </w:p>
        </w:tc>
        <w:tc>
          <w:tcPr>
            <w:tcW w:w="2352" w:type="dxa"/>
          </w:tcPr>
          <w:p w:rsidR="00743320" w:rsidRPr="00775168" w:rsidRDefault="00DF7F26">
            <w:pPr>
              <w:pStyle w:val="P68B1DB1-TableParagraph113"/>
              <w:spacing w:before="104"/>
              <w:ind w:left="654" w:right="607"/>
              <w:jc w:val="center"/>
              <w:rPr>
                <w:rFonts w:hAnsi="Times New Roman"/>
              </w:rPr>
            </w:pPr>
            <w:r w:rsidRPr="00775168">
              <w:rPr>
                <w:rFonts w:hAnsi="Times New Roman"/>
              </w:rPr>
              <w:t xml:space="preserve">21 to 24 </w:t>
            </w:r>
          </w:p>
        </w:tc>
      </w:tr>
      <w:tr w:rsidR="00743320" w:rsidRPr="00775168">
        <w:trPr>
          <w:trHeight w:val="468"/>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Cognitive function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2 </w:t>
            </w:r>
          </w:p>
        </w:tc>
        <w:tc>
          <w:tcPr>
            <w:tcW w:w="2352" w:type="dxa"/>
          </w:tcPr>
          <w:p w:rsidR="00743320" w:rsidRPr="00775168" w:rsidRDefault="00DF7F26">
            <w:pPr>
              <w:pStyle w:val="P68B1DB1-TableParagraph113"/>
              <w:spacing w:before="104"/>
              <w:ind w:left="654" w:right="607"/>
              <w:jc w:val="center"/>
              <w:rPr>
                <w:rFonts w:hAnsi="Times New Roman"/>
              </w:rPr>
            </w:pPr>
            <w:r w:rsidRPr="00775168">
              <w:rPr>
                <w:rFonts w:hAnsi="Times New Roman"/>
              </w:rPr>
              <w:t xml:space="preserve">20-25 </w:t>
            </w:r>
          </w:p>
        </w:tc>
      </w:tr>
      <w:tr w:rsidR="00743320" w:rsidRPr="00775168">
        <w:trPr>
          <w:trHeight w:val="468"/>
          <w:jc w:val="center"/>
        </w:trPr>
        <w:tc>
          <w:tcPr>
            <w:tcW w:w="1996" w:type="dxa"/>
          </w:tcPr>
          <w:p w:rsidR="00743320" w:rsidRPr="00775168" w:rsidRDefault="00DF7F26">
            <w:pPr>
              <w:pStyle w:val="P68B1DB1-TableParagraph112"/>
              <w:spacing w:line="438" w:lineRule="exact"/>
              <w:ind w:left="118"/>
              <w:rPr>
                <w:rFonts w:ascii="Times New Roman" w:hAnsi="Times New Roman" w:cs="Times New Roman" w:hint="default"/>
              </w:rPr>
            </w:pPr>
            <w:r w:rsidRPr="00775168">
              <w:rPr>
                <w:rFonts w:ascii="Times New Roman" w:hAnsi="Times New Roman"/>
              </w:rPr>
              <w:t xml:space="preserve">Social functioning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2 </w:t>
            </w:r>
          </w:p>
        </w:tc>
        <w:tc>
          <w:tcPr>
            <w:tcW w:w="2352" w:type="dxa"/>
          </w:tcPr>
          <w:p w:rsidR="00743320" w:rsidRPr="00775168" w:rsidRDefault="00DF7F26">
            <w:pPr>
              <w:pStyle w:val="P68B1DB1-TableParagraph113"/>
              <w:spacing w:before="104"/>
              <w:ind w:left="654" w:right="607"/>
              <w:jc w:val="center"/>
              <w:rPr>
                <w:rFonts w:hAnsi="Times New Roman"/>
              </w:rPr>
            </w:pPr>
            <w:r w:rsidRPr="00775168">
              <w:rPr>
                <w:rFonts w:hAnsi="Times New Roman"/>
              </w:rPr>
              <w:t xml:space="preserve">26 to 27 </w:t>
            </w:r>
          </w:p>
        </w:tc>
      </w:tr>
      <w:tr w:rsidR="00743320" w:rsidRPr="00775168">
        <w:trPr>
          <w:trHeight w:val="467"/>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General health status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2 </w:t>
            </w:r>
          </w:p>
        </w:tc>
        <w:tc>
          <w:tcPr>
            <w:tcW w:w="2352" w:type="dxa"/>
          </w:tcPr>
          <w:p w:rsidR="00743320" w:rsidRPr="00775168" w:rsidRDefault="00DF7F26">
            <w:pPr>
              <w:pStyle w:val="P68B1DB1-TableParagraph113"/>
              <w:spacing w:before="104"/>
              <w:ind w:left="654" w:right="607"/>
              <w:jc w:val="center"/>
              <w:rPr>
                <w:rFonts w:hAnsi="Times New Roman"/>
              </w:rPr>
            </w:pPr>
            <w:r w:rsidRPr="00775168">
              <w:rPr>
                <w:rFonts w:hAnsi="Times New Roman"/>
              </w:rPr>
              <w:t xml:space="preserve">29-30 </w:t>
            </w:r>
          </w:p>
        </w:tc>
      </w:tr>
      <w:tr w:rsidR="00743320" w:rsidRPr="00775168">
        <w:trPr>
          <w:trHeight w:val="469"/>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Tiredness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3 </w:t>
            </w:r>
          </w:p>
        </w:tc>
        <w:tc>
          <w:tcPr>
            <w:tcW w:w="2352" w:type="dxa"/>
          </w:tcPr>
          <w:p w:rsidR="00743320" w:rsidRPr="00775168" w:rsidRDefault="00DF7F26">
            <w:pPr>
              <w:pStyle w:val="P68B1DB1-TableParagraph114"/>
              <w:spacing w:line="437" w:lineRule="exact"/>
              <w:ind w:left="655" w:right="607"/>
              <w:jc w:val="center"/>
              <w:rPr>
                <w:rFonts w:eastAsia="Times New Roman" w:hAnsi="Times New Roman" w:cs="Times New Roman" w:hint="default"/>
              </w:rPr>
            </w:pPr>
            <w:r w:rsidRPr="00775168">
              <w:rPr>
                <w:rFonts w:hAnsi="Times New Roman"/>
              </w:rPr>
              <w:t xml:space="preserve">10, 12, 18 </w:t>
            </w:r>
          </w:p>
        </w:tc>
      </w:tr>
      <w:tr w:rsidR="00743320" w:rsidRPr="00775168">
        <w:trPr>
          <w:trHeight w:val="466"/>
          <w:jc w:val="center"/>
        </w:trPr>
        <w:tc>
          <w:tcPr>
            <w:tcW w:w="1996" w:type="dxa"/>
          </w:tcPr>
          <w:p w:rsidR="00743320" w:rsidRPr="00775168" w:rsidRDefault="00DF7F26">
            <w:pPr>
              <w:pStyle w:val="P68B1DB1-TableParagraph112"/>
              <w:spacing w:line="436" w:lineRule="exact"/>
              <w:ind w:left="118"/>
              <w:rPr>
                <w:rFonts w:ascii="Times New Roman" w:hAnsi="Times New Roman" w:cs="Times New Roman" w:hint="default"/>
              </w:rPr>
            </w:pPr>
            <w:r w:rsidRPr="00775168">
              <w:rPr>
                <w:rFonts w:ascii="Times New Roman" w:hAnsi="Times New Roman"/>
              </w:rPr>
              <w:t xml:space="preserve">Nausea and vomiting </w:t>
            </w:r>
          </w:p>
        </w:tc>
        <w:tc>
          <w:tcPr>
            <w:tcW w:w="1761" w:type="dxa"/>
          </w:tcPr>
          <w:p w:rsidR="00743320" w:rsidRPr="00775168" w:rsidRDefault="00DF7F26">
            <w:pPr>
              <w:pStyle w:val="P68B1DB1-TableParagraph113"/>
              <w:spacing w:before="103"/>
              <w:ind w:right="6"/>
              <w:jc w:val="center"/>
              <w:rPr>
                <w:rFonts w:hAnsi="Times New Roman"/>
              </w:rPr>
            </w:pPr>
            <w:r w:rsidRPr="00775168">
              <w:rPr>
                <w:rFonts w:hAnsi="Times New Roman"/>
              </w:rPr>
              <w:t xml:space="preserve">2 </w:t>
            </w:r>
          </w:p>
        </w:tc>
        <w:tc>
          <w:tcPr>
            <w:tcW w:w="2352" w:type="dxa"/>
          </w:tcPr>
          <w:p w:rsidR="00743320" w:rsidRPr="00775168" w:rsidRDefault="00DF7F26">
            <w:pPr>
              <w:pStyle w:val="P68B1DB1-TableParagraph113"/>
              <w:spacing w:before="103"/>
              <w:ind w:left="654" w:right="607"/>
              <w:jc w:val="center"/>
              <w:rPr>
                <w:rFonts w:hAnsi="Times New Roman"/>
              </w:rPr>
            </w:pPr>
            <w:r w:rsidRPr="00775168">
              <w:rPr>
                <w:rFonts w:hAnsi="Times New Roman"/>
              </w:rPr>
              <w:t xml:space="preserve">14-15 </w:t>
            </w:r>
          </w:p>
        </w:tc>
      </w:tr>
      <w:tr w:rsidR="00743320" w:rsidRPr="00775168">
        <w:trPr>
          <w:trHeight w:val="469"/>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Pain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2 </w:t>
            </w:r>
          </w:p>
        </w:tc>
        <w:tc>
          <w:tcPr>
            <w:tcW w:w="2352" w:type="dxa"/>
          </w:tcPr>
          <w:p w:rsidR="00743320" w:rsidRPr="00775168" w:rsidRDefault="00DF7F26">
            <w:pPr>
              <w:pStyle w:val="P68B1DB1-TableParagraph114"/>
              <w:spacing w:line="437" w:lineRule="exact"/>
              <w:ind w:left="655" w:right="605"/>
              <w:jc w:val="center"/>
              <w:rPr>
                <w:rFonts w:eastAsia="Times New Roman" w:hAnsi="Times New Roman" w:cs="Times New Roman" w:hint="default"/>
              </w:rPr>
            </w:pPr>
            <w:r w:rsidRPr="00775168">
              <w:rPr>
                <w:rFonts w:hAnsi="Times New Roman"/>
              </w:rPr>
              <w:t xml:space="preserve">9, 19 </w:t>
            </w:r>
          </w:p>
        </w:tc>
      </w:tr>
      <w:tr w:rsidR="00743320" w:rsidRPr="00775168">
        <w:trPr>
          <w:trHeight w:val="466"/>
          <w:jc w:val="center"/>
        </w:trPr>
        <w:tc>
          <w:tcPr>
            <w:tcW w:w="1996" w:type="dxa"/>
          </w:tcPr>
          <w:p w:rsidR="00743320" w:rsidRPr="00775168" w:rsidRDefault="00DF7F26">
            <w:pPr>
              <w:pStyle w:val="P68B1DB1-TableParagraph112"/>
              <w:spacing w:line="436" w:lineRule="exact"/>
              <w:ind w:left="118"/>
              <w:rPr>
                <w:rFonts w:ascii="Times New Roman" w:hAnsi="Times New Roman" w:cs="Times New Roman" w:hint="default"/>
              </w:rPr>
            </w:pPr>
            <w:r w:rsidRPr="00775168">
              <w:rPr>
                <w:rFonts w:ascii="Times New Roman" w:hAnsi="Times New Roman"/>
              </w:rPr>
              <w:t xml:space="preserve">Shortness of breath </w:t>
            </w:r>
          </w:p>
        </w:tc>
        <w:tc>
          <w:tcPr>
            <w:tcW w:w="1761" w:type="dxa"/>
          </w:tcPr>
          <w:p w:rsidR="00743320" w:rsidRPr="00775168" w:rsidRDefault="00DF7F26">
            <w:pPr>
              <w:pStyle w:val="P68B1DB1-TableParagraph113"/>
              <w:spacing w:before="103"/>
              <w:ind w:right="6"/>
              <w:jc w:val="center"/>
              <w:rPr>
                <w:rFonts w:hAnsi="Times New Roman"/>
              </w:rPr>
            </w:pPr>
            <w:r w:rsidRPr="00775168">
              <w:rPr>
                <w:rFonts w:hAnsi="Times New Roman"/>
              </w:rPr>
              <w:t xml:space="preserve">1 </w:t>
            </w:r>
          </w:p>
        </w:tc>
        <w:tc>
          <w:tcPr>
            <w:tcW w:w="2352" w:type="dxa"/>
          </w:tcPr>
          <w:p w:rsidR="00743320" w:rsidRPr="00775168" w:rsidRDefault="00DF7F26">
            <w:pPr>
              <w:pStyle w:val="P68B1DB1-TableParagraph113"/>
              <w:spacing w:before="103"/>
              <w:ind w:left="45"/>
              <w:jc w:val="center"/>
              <w:rPr>
                <w:rFonts w:hAnsi="Times New Roman"/>
              </w:rPr>
            </w:pPr>
            <w:r w:rsidRPr="00775168">
              <w:rPr>
                <w:rFonts w:hAnsi="Times New Roman"/>
              </w:rPr>
              <w:t xml:space="preserve">8 </w:t>
            </w:r>
          </w:p>
        </w:tc>
      </w:tr>
      <w:tr w:rsidR="00743320" w:rsidRPr="00775168">
        <w:trPr>
          <w:trHeight w:val="468"/>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Insomnia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1 </w:t>
            </w:r>
          </w:p>
        </w:tc>
        <w:tc>
          <w:tcPr>
            <w:tcW w:w="2352" w:type="dxa"/>
          </w:tcPr>
          <w:p w:rsidR="00743320" w:rsidRPr="00775168" w:rsidRDefault="00DF7F26">
            <w:pPr>
              <w:pStyle w:val="P68B1DB1-TableParagraph113"/>
              <w:spacing w:before="104"/>
              <w:ind w:left="652" w:right="607"/>
              <w:jc w:val="center"/>
              <w:rPr>
                <w:rFonts w:hAnsi="Times New Roman"/>
              </w:rPr>
            </w:pPr>
            <w:r w:rsidRPr="00775168">
              <w:rPr>
                <w:rFonts w:hAnsi="Times New Roman"/>
              </w:rPr>
              <w:t xml:space="preserve">11 </w:t>
            </w:r>
          </w:p>
        </w:tc>
      </w:tr>
      <w:tr w:rsidR="00743320" w:rsidRPr="00775168">
        <w:trPr>
          <w:trHeight w:val="468"/>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Appetite loss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1 </w:t>
            </w:r>
          </w:p>
        </w:tc>
        <w:tc>
          <w:tcPr>
            <w:tcW w:w="2352" w:type="dxa"/>
          </w:tcPr>
          <w:p w:rsidR="00743320" w:rsidRPr="00775168" w:rsidRDefault="00DF7F26">
            <w:pPr>
              <w:pStyle w:val="P68B1DB1-TableParagraph113"/>
              <w:spacing w:before="104"/>
              <w:ind w:left="652" w:right="607"/>
              <w:jc w:val="center"/>
              <w:rPr>
                <w:rFonts w:hAnsi="Times New Roman"/>
              </w:rPr>
            </w:pPr>
            <w:r w:rsidRPr="00775168">
              <w:rPr>
                <w:rFonts w:hAnsi="Times New Roman"/>
              </w:rPr>
              <w:t xml:space="preserve">13 </w:t>
            </w:r>
          </w:p>
        </w:tc>
      </w:tr>
      <w:tr w:rsidR="00743320" w:rsidRPr="00775168">
        <w:trPr>
          <w:trHeight w:val="467"/>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Constipation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1 </w:t>
            </w:r>
          </w:p>
        </w:tc>
        <w:tc>
          <w:tcPr>
            <w:tcW w:w="2352" w:type="dxa"/>
          </w:tcPr>
          <w:p w:rsidR="00743320" w:rsidRPr="00775168" w:rsidRDefault="00DF7F26">
            <w:pPr>
              <w:pStyle w:val="P68B1DB1-TableParagraph113"/>
              <w:spacing w:before="104"/>
              <w:ind w:left="652" w:right="607"/>
              <w:jc w:val="center"/>
              <w:rPr>
                <w:rFonts w:hAnsi="Times New Roman"/>
              </w:rPr>
            </w:pPr>
            <w:r w:rsidRPr="00775168">
              <w:rPr>
                <w:rFonts w:hAnsi="Times New Roman"/>
              </w:rPr>
              <w:t xml:space="preserve">16 </w:t>
            </w:r>
          </w:p>
        </w:tc>
      </w:tr>
      <w:tr w:rsidR="00743320" w:rsidRPr="00775168">
        <w:trPr>
          <w:trHeight w:val="467"/>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Diarrhea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1 </w:t>
            </w:r>
          </w:p>
        </w:tc>
        <w:tc>
          <w:tcPr>
            <w:tcW w:w="2352" w:type="dxa"/>
          </w:tcPr>
          <w:p w:rsidR="00743320" w:rsidRPr="00775168" w:rsidRDefault="00DF7F26">
            <w:pPr>
              <w:pStyle w:val="P68B1DB1-TableParagraph113"/>
              <w:spacing w:before="104"/>
              <w:ind w:left="652" w:right="607"/>
              <w:jc w:val="center"/>
              <w:rPr>
                <w:rFonts w:hAnsi="Times New Roman"/>
              </w:rPr>
            </w:pPr>
            <w:r w:rsidRPr="00775168">
              <w:rPr>
                <w:rFonts w:hAnsi="Times New Roman"/>
              </w:rPr>
              <w:t xml:space="preserve">17 </w:t>
            </w:r>
          </w:p>
        </w:tc>
      </w:tr>
      <w:tr w:rsidR="00743320" w:rsidRPr="00775168">
        <w:trPr>
          <w:trHeight w:val="465"/>
          <w:jc w:val="center"/>
        </w:trPr>
        <w:tc>
          <w:tcPr>
            <w:tcW w:w="1996" w:type="dxa"/>
          </w:tcPr>
          <w:p w:rsidR="00743320" w:rsidRPr="00775168" w:rsidRDefault="00DF7F26">
            <w:pPr>
              <w:pStyle w:val="P68B1DB1-TableParagraph112"/>
              <w:spacing w:line="437" w:lineRule="exact"/>
              <w:ind w:left="118"/>
              <w:rPr>
                <w:rFonts w:ascii="Times New Roman" w:hAnsi="Times New Roman" w:cs="Times New Roman" w:hint="default"/>
              </w:rPr>
            </w:pPr>
            <w:r w:rsidRPr="00775168">
              <w:rPr>
                <w:rFonts w:ascii="Times New Roman" w:hAnsi="Times New Roman"/>
              </w:rPr>
              <w:t xml:space="preserve">Financial difficulties </w:t>
            </w:r>
          </w:p>
        </w:tc>
        <w:tc>
          <w:tcPr>
            <w:tcW w:w="1761" w:type="dxa"/>
          </w:tcPr>
          <w:p w:rsidR="00743320" w:rsidRPr="00775168" w:rsidRDefault="00DF7F26">
            <w:pPr>
              <w:pStyle w:val="P68B1DB1-TableParagraph113"/>
              <w:spacing w:before="104"/>
              <w:ind w:right="6"/>
              <w:jc w:val="center"/>
              <w:rPr>
                <w:rFonts w:hAnsi="Times New Roman"/>
              </w:rPr>
            </w:pPr>
            <w:r w:rsidRPr="00775168">
              <w:rPr>
                <w:rFonts w:hAnsi="Times New Roman"/>
              </w:rPr>
              <w:t xml:space="preserve">1 </w:t>
            </w:r>
          </w:p>
        </w:tc>
        <w:tc>
          <w:tcPr>
            <w:tcW w:w="2352" w:type="dxa"/>
          </w:tcPr>
          <w:p w:rsidR="00743320" w:rsidRPr="00775168" w:rsidRDefault="00DF7F26">
            <w:pPr>
              <w:pStyle w:val="P68B1DB1-TableParagraph113"/>
              <w:spacing w:before="104"/>
              <w:ind w:left="652" w:right="607"/>
              <w:jc w:val="center"/>
              <w:rPr>
                <w:rFonts w:hAnsi="Times New Roman"/>
              </w:rPr>
            </w:pPr>
            <w:r w:rsidRPr="00775168">
              <w:rPr>
                <w:rFonts w:hAnsi="Times New Roman"/>
              </w:rPr>
              <w:t xml:space="preserve">28 </w:t>
            </w:r>
          </w:p>
        </w:tc>
      </w:tr>
    </w:tbl>
    <w:p w:rsidR="00743320" w:rsidRPr="00775168" w:rsidRDefault="00743320">
      <w:pPr>
        <w:ind w:firstLine="480"/>
        <w:rPr>
          <w:b/>
          <w:sz w:val="24"/>
        </w:rPr>
      </w:pPr>
    </w:p>
    <w:p w:rsidR="00743320" w:rsidRPr="00775168" w:rsidRDefault="00DF7F26">
      <w:pPr>
        <w:pStyle w:val="P68B1DB1-a069"/>
        <w:ind w:firstLine="480"/>
        <w:rPr>
          <w:rFonts w:hint="default"/>
        </w:rPr>
      </w:pPr>
      <w:r w:rsidRPr="00775168">
        <w:t xml:space="preserve">3. Calculation of EORTC QLQ-C30 score </w:t>
      </w:r>
    </w:p>
    <w:p w:rsidR="00743320" w:rsidRPr="00775168" w:rsidRDefault="00DF7F26">
      <w:pPr>
        <w:pStyle w:val="P68B1DB1-a7119"/>
        <w:spacing w:before="55" w:line="220" w:lineRule="auto"/>
        <w:ind w:right="680" w:firstLine="480"/>
        <w:rPr>
          <w:rFonts w:hAnsi="Times New Roman" w:cs="Times New Roman" w:hint="default"/>
        </w:rPr>
      </w:pPr>
      <w:r w:rsidRPr="00775168">
        <w:rPr>
          <w:rFonts w:hAnsi="Times New Roman"/>
        </w:rPr>
        <w:lastRenderedPageBreak/>
        <w:t xml:space="preserve">In order to make the scores of each domain compare with each other, the linear transformation is further performed using the polarization method to convert the crude score into a standardized score (SS) taking values within 0 ~ 100. In addition, the transformation has another purpose, that is, to change the direction of the score. Because the QLQ-C30 scale, except items 29 and 30, is a reverse item (the worse the quality of life), it is clearly specified in the scoring rules that: for the functional domain and overall health status domain scores, the better the functional status and quality of life, and for the symptom domain scores, the more symptoms or problems (the worse the quality of life). Therefore, it is also necessary to change the direction of calculating the standardization timescale of the functional domain. Specifically, calculate separately according to the following formula (where R is the full distance of scores in each field or item). </w:t>
      </w:r>
    </w:p>
    <w:p w:rsidR="00743320" w:rsidRPr="00775168" w:rsidRDefault="00DF7F26">
      <w:pPr>
        <w:pStyle w:val="P68B1DB1-a7119"/>
        <w:spacing w:before="55" w:line="220" w:lineRule="auto"/>
        <w:ind w:right="680" w:firstLine="480"/>
        <w:rPr>
          <w:rFonts w:hAnsi="Times New Roman" w:cs="Times New Roman" w:hint="default"/>
        </w:rPr>
      </w:pPr>
      <w:r w:rsidRPr="00775168">
        <w:rPr>
          <w:rFonts w:hAnsi="Times New Roman"/>
        </w:rPr>
        <w:t xml:space="preserve">Functional Area: SS = [1- (RS-1)/R] </w:t>
      </w:r>
      <w:r w:rsidRPr="00775168">
        <w:rPr>
          <w:rFonts w:hAnsi="Times New Roman"/>
        </w:rPr>
        <w:t>×</w:t>
      </w:r>
      <w:r w:rsidRPr="00775168">
        <w:rPr>
          <w:rFonts w:hAnsi="Times New Roman"/>
        </w:rPr>
        <w:t xml:space="preserve"> 100 </w:t>
      </w:r>
    </w:p>
    <w:p w:rsidR="00743320" w:rsidRPr="00775168" w:rsidRDefault="00DF7F26">
      <w:pPr>
        <w:pStyle w:val="P68B1DB1-a7119"/>
        <w:spacing w:before="55" w:line="220" w:lineRule="auto"/>
        <w:ind w:right="680" w:firstLine="480"/>
        <w:rPr>
          <w:rFonts w:hAnsi="Times New Roman" w:cs="Times New Roman" w:hint="default"/>
        </w:rPr>
      </w:pPr>
      <w:r w:rsidRPr="00775168">
        <w:rPr>
          <w:rFonts w:hAnsi="Times New Roman"/>
        </w:rPr>
        <w:t xml:space="preserve">Symptom domain and global health status domain: SS = [(RS-1)/R] </w:t>
      </w:r>
      <w:r w:rsidRPr="00775168">
        <w:rPr>
          <w:rFonts w:hAnsi="Times New Roman"/>
        </w:rPr>
        <w:t>×</w:t>
      </w:r>
      <w:r w:rsidRPr="00775168">
        <w:rPr>
          <w:rFonts w:hAnsi="Times New Roman"/>
        </w:rPr>
        <w:t xml:space="preserve"> 10 </w:t>
      </w: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743320" w:rsidRPr="00775168" w:rsidRDefault="00743320">
      <w:pPr>
        <w:pStyle w:val="a6"/>
        <w:spacing w:before="55" w:line="220" w:lineRule="auto"/>
        <w:ind w:right="680" w:firstLine="480"/>
        <w:rPr>
          <w:rFonts w:ascii="Times New Roman" w:hAnsi="Times New Roman" w:cs="Times New Roman"/>
          <w:sz w:val="24"/>
        </w:rPr>
      </w:pPr>
    </w:p>
    <w:p w:rsidR="003A58EF" w:rsidRPr="00775168" w:rsidRDefault="003A58EF">
      <w:pPr>
        <w:widowControl/>
        <w:jc w:val="left"/>
        <w:rPr>
          <w:sz w:val="24"/>
        </w:rPr>
      </w:pPr>
      <w:r w:rsidRPr="00775168">
        <w:rPr>
          <w:sz w:val="24"/>
        </w:rPr>
        <w:br w:type="page"/>
      </w:r>
    </w:p>
    <w:p w:rsidR="00743320" w:rsidRPr="00775168" w:rsidRDefault="00DF7F26">
      <w:pPr>
        <w:pStyle w:val="P68B1DB1-116"/>
        <w:rPr>
          <w:rFonts w:ascii="Times New Roman" w:hAnsi="Times New Roman" w:cs="Times New Roman" w:hint="default"/>
        </w:rPr>
      </w:pPr>
      <w:bookmarkStart w:id="402" w:name="_Toc178589736"/>
      <w:bookmarkStart w:id="403" w:name="_Toc512941760"/>
      <w:bookmarkStart w:id="404" w:name="_Toc512941006"/>
      <w:r w:rsidRPr="00775168">
        <w:rPr>
          <w:rFonts w:ascii="Times New Roman" w:hAnsi="Times New Roman"/>
        </w:rPr>
        <w:lastRenderedPageBreak/>
        <w:t>Appendix VI Response Evaluation Criteria in Solid Tumors</w:t>
      </w:r>
      <w:bookmarkEnd w:id="402"/>
      <w:r w:rsidRPr="00775168">
        <w:rPr>
          <w:rFonts w:ascii="Times New Roman" w:hAnsi="Times New Roman"/>
        </w:rPr>
        <w:t xml:space="preserve"> </w:t>
      </w:r>
      <w:bookmarkEnd w:id="403"/>
      <w:bookmarkEnd w:id="404"/>
    </w:p>
    <w:p w:rsidR="00743320" w:rsidRPr="00775168" w:rsidRDefault="00743320">
      <w:pPr>
        <w:pStyle w:val="a6"/>
        <w:spacing w:before="55" w:line="220" w:lineRule="auto"/>
        <w:ind w:right="680" w:firstLine="480"/>
        <w:jc w:val="center"/>
        <w:rPr>
          <w:rFonts w:ascii="Times New Roman" w:hAnsi="Times New Roman" w:cs="Times New Roman"/>
          <w:b/>
          <w:sz w:val="24"/>
        </w:rPr>
      </w:pPr>
    </w:p>
    <w:p w:rsidR="00743320" w:rsidRPr="00775168" w:rsidRDefault="00DF7F26">
      <w:pPr>
        <w:pStyle w:val="P68B1DB1-a7120"/>
        <w:spacing w:before="55" w:line="220" w:lineRule="auto"/>
        <w:ind w:right="680" w:firstLine="480"/>
        <w:jc w:val="center"/>
        <w:rPr>
          <w:rFonts w:hAnsi="Times New Roman" w:cs="Times New Roman" w:hint="default"/>
        </w:rPr>
      </w:pPr>
      <w:r w:rsidRPr="00775168">
        <w:rPr>
          <w:rFonts w:hAnsi="Times New Roman"/>
        </w:rPr>
        <w:t xml:space="preserve">Response Evaluation Criteria in Solid Tumors version 1.1 (excerpt) </w:t>
      </w:r>
    </w:p>
    <w:p w:rsidR="00743320" w:rsidRPr="00775168" w:rsidRDefault="00DF7F26">
      <w:pPr>
        <w:pStyle w:val="a6"/>
        <w:spacing w:before="55" w:line="220" w:lineRule="auto"/>
        <w:ind w:right="680" w:firstLine="480"/>
        <w:jc w:val="center"/>
        <w:rPr>
          <w:rFonts w:ascii="Times New Roman" w:hAnsi="Times New Roman" w:cs="Times New Roman"/>
        </w:rPr>
      </w:pPr>
      <w:r w:rsidRPr="00775168">
        <w:rPr>
          <w:rFonts w:ascii="Times New Roman" w:hAnsi="Times New Roman" w:cs="宋体" w:hint="eastAsia"/>
          <w:sz w:val="24"/>
        </w:rPr>
        <w:t xml:space="preserve">(New Response Evaluation Criteria in Solid Tumors: Revised RECIST Version 1.1) </w:t>
      </w:r>
    </w:p>
    <w:p w:rsidR="00743320" w:rsidRPr="00775168" w:rsidRDefault="00DF7F26">
      <w:pPr>
        <w:pStyle w:val="P68B1DB1-a033"/>
        <w:spacing w:line="360" w:lineRule="auto"/>
        <w:rPr>
          <w:b/>
        </w:rPr>
      </w:pPr>
      <w:r w:rsidRPr="00775168">
        <w:rPr>
          <w:rFonts w:eastAsia="黑体" w:cs="黑体" w:hint="eastAsia"/>
        </w:rPr>
        <w:t xml:space="preserve">Note: This annex is an internally translated document for reference only. In actual operation, the English version shall prevail. </w:t>
      </w:r>
    </w:p>
    <w:p w:rsidR="00743320" w:rsidRPr="00775168" w:rsidRDefault="00743320">
      <w:pPr>
        <w:spacing w:line="360" w:lineRule="auto"/>
        <w:rPr>
          <w:b/>
        </w:rPr>
      </w:pPr>
    </w:p>
    <w:p w:rsidR="00743320" w:rsidRPr="00775168" w:rsidRDefault="00DF7F26">
      <w:pPr>
        <w:pStyle w:val="P68B1DB1-a09"/>
        <w:numPr>
          <w:ilvl w:val="0"/>
          <w:numId w:val="34"/>
        </w:numPr>
        <w:spacing w:line="360" w:lineRule="auto"/>
        <w:rPr>
          <w:rFonts w:hint="default"/>
        </w:rPr>
      </w:pPr>
      <w:r w:rsidRPr="00775168">
        <w:t xml:space="preserve">Background </w:t>
      </w:r>
    </w:p>
    <w:p w:rsidR="00743320" w:rsidRPr="00775168" w:rsidRDefault="00DF7F26">
      <w:pPr>
        <w:pStyle w:val="P68B1DB1-a09"/>
        <w:spacing w:line="360" w:lineRule="auto"/>
        <w:rPr>
          <w:rFonts w:hint="default"/>
        </w:rPr>
      </w:pPr>
      <w:r w:rsidRPr="00775168">
        <w:t xml:space="preserve">Omitted </w:t>
      </w:r>
    </w:p>
    <w:p w:rsidR="00743320" w:rsidRPr="00775168" w:rsidRDefault="00DF7F26">
      <w:pPr>
        <w:pStyle w:val="P68B1DB1-a09"/>
        <w:numPr>
          <w:ilvl w:val="0"/>
          <w:numId w:val="34"/>
        </w:numPr>
        <w:spacing w:line="360" w:lineRule="auto"/>
        <w:rPr>
          <w:rFonts w:hint="default"/>
        </w:rPr>
      </w:pPr>
      <w:r w:rsidRPr="00775168">
        <w:t xml:space="preserve">Purpose </w:t>
      </w:r>
    </w:p>
    <w:p w:rsidR="00743320" w:rsidRPr="00775168" w:rsidRDefault="00DF7F26">
      <w:pPr>
        <w:pStyle w:val="P68B1DB1-a09"/>
        <w:spacing w:line="360" w:lineRule="auto"/>
        <w:rPr>
          <w:rFonts w:hint="default"/>
        </w:rPr>
      </w:pPr>
      <w:r w:rsidRPr="00775168">
        <w:t xml:space="preserve">Omitted </w:t>
      </w:r>
    </w:p>
    <w:p w:rsidR="00743320" w:rsidRPr="00775168" w:rsidRDefault="00DF7F26">
      <w:pPr>
        <w:pStyle w:val="P68B1DB1-a09"/>
        <w:numPr>
          <w:ilvl w:val="0"/>
          <w:numId w:val="34"/>
        </w:numPr>
        <w:spacing w:line="360" w:lineRule="auto"/>
        <w:rPr>
          <w:rFonts w:hint="default"/>
        </w:rPr>
      </w:pPr>
      <w:r w:rsidRPr="00775168">
        <w:t xml:space="preserve">Measurability of tumor at baseline </w:t>
      </w:r>
    </w:p>
    <w:p w:rsidR="00743320" w:rsidRPr="00775168" w:rsidRDefault="00DF7F26">
      <w:pPr>
        <w:pStyle w:val="P68B1DB1-a09"/>
        <w:numPr>
          <w:ilvl w:val="1"/>
          <w:numId w:val="34"/>
        </w:numPr>
        <w:spacing w:line="360" w:lineRule="auto"/>
        <w:rPr>
          <w:rFonts w:hint="default"/>
        </w:rPr>
      </w:pPr>
      <w:r w:rsidRPr="00775168">
        <w:t xml:space="preserve">Definition </w:t>
      </w:r>
    </w:p>
    <w:p w:rsidR="00743320" w:rsidRPr="00775168" w:rsidRDefault="00DF7F26">
      <w:pPr>
        <w:pStyle w:val="P68B1DB1-a024"/>
        <w:spacing w:line="360" w:lineRule="auto"/>
        <w:ind w:firstLineChars="200" w:firstLine="480"/>
        <w:rPr>
          <w:rFonts w:hint="default"/>
        </w:rPr>
      </w:pPr>
      <w:r w:rsidRPr="00775168">
        <w:t xml:space="preserve">At baseline, tumor lesions/lymph nodes will be categorized measurable or non-measurable as follows: </w:t>
      </w:r>
    </w:p>
    <w:p w:rsidR="00743320" w:rsidRPr="00775168" w:rsidRDefault="00DF7F26">
      <w:pPr>
        <w:pStyle w:val="P68B1DB1-a09"/>
        <w:numPr>
          <w:ilvl w:val="2"/>
          <w:numId w:val="34"/>
        </w:numPr>
        <w:spacing w:line="360" w:lineRule="auto"/>
        <w:rPr>
          <w:rFonts w:hint="default"/>
        </w:rPr>
      </w:pPr>
      <w:r w:rsidRPr="00775168">
        <w:t xml:space="preserve">Measurable lesions </w:t>
      </w:r>
    </w:p>
    <w:p w:rsidR="00743320" w:rsidRPr="00775168" w:rsidRDefault="00DF7F26">
      <w:pPr>
        <w:pStyle w:val="P68B1DB1-a09"/>
        <w:spacing w:line="360" w:lineRule="auto"/>
        <w:ind w:firstLineChars="200" w:firstLine="480"/>
        <w:rPr>
          <w:rFonts w:hint="default"/>
        </w:rPr>
      </w:pPr>
      <w:r w:rsidRPr="00775168">
        <w:t xml:space="preserve">Tumor lesions: must be accurately measured in at least one dimension (longest diameter in the plane of measurement is to be recorded) with a minimum size of: </w:t>
      </w:r>
    </w:p>
    <w:p w:rsidR="00743320" w:rsidRPr="00775168" w:rsidRDefault="00DF7F26">
      <w:pPr>
        <w:pStyle w:val="P68B1DB1-11078"/>
        <w:numPr>
          <w:ilvl w:val="0"/>
          <w:numId w:val="35"/>
        </w:numPr>
        <w:spacing w:line="360" w:lineRule="auto"/>
        <w:ind w:firstLineChars="0"/>
        <w:rPr>
          <w:rFonts w:cs="Times New Roman" w:hint="default"/>
        </w:rPr>
      </w:pPr>
      <w:r w:rsidRPr="00775168">
        <w:t xml:space="preserve">10 mm by CT scan (CT scan slice thickness no greater than 5 mm) </w:t>
      </w:r>
    </w:p>
    <w:p w:rsidR="00743320" w:rsidRPr="00775168" w:rsidRDefault="00DF7F26">
      <w:pPr>
        <w:pStyle w:val="P68B1DB1-11078"/>
        <w:numPr>
          <w:ilvl w:val="0"/>
          <w:numId w:val="35"/>
        </w:numPr>
        <w:spacing w:line="360" w:lineRule="auto"/>
        <w:ind w:firstLineChars="0"/>
        <w:rPr>
          <w:rFonts w:cs="Times New Roman" w:hint="default"/>
        </w:rPr>
      </w:pPr>
      <w:r w:rsidRPr="00775168">
        <w:t xml:space="preserve">10 mm caliper measurement by clinical exam (lesions which cannot be accurately measured with calipers should be recorded as non-measurable) </w:t>
      </w:r>
    </w:p>
    <w:p w:rsidR="00743320" w:rsidRPr="00775168" w:rsidRDefault="00DF7F26">
      <w:pPr>
        <w:pStyle w:val="P68B1DB1-11078"/>
        <w:numPr>
          <w:ilvl w:val="0"/>
          <w:numId w:val="35"/>
        </w:numPr>
        <w:spacing w:line="360" w:lineRule="auto"/>
        <w:ind w:firstLineChars="0"/>
        <w:rPr>
          <w:rFonts w:cs="Times New Roman" w:hint="default"/>
        </w:rPr>
      </w:pPr>
      <w:r w:rsidRPr="00775168">
        <w:t xml:space="preserve">Chest X-ray 20 mm </w:t>
      </w:r>
    </w:p>
    <w:p w:rsidR="00743320" w:rsidRPr="00775168" w:rsidRDefault="00DF7F26">
      <w:pPr>
        <w:pStyle w:val="P68B1DB1-11078"/>
        <w:numPr>
          <w:ilvl w:val="0"/>
          <w:numId w:val="35"/>
        </w:numPr>
        <w:spacing w:line="360" w:lineRule="auto"/>
        <w:ind w:firstLineChars="0"/>
        <w:rPr>
          <w:rFonts w:cs="Times New Roman" w:hint="default"/>
        </w:rPr>
      </w:pPr>
      <w:r w:rsidRPr="00775168">
        <w:t xml:space="preserve">Malignant lymph nodes: To be pathologically enlarged and measurable, a lymph node must be </w:t>
      </w:r>
      <w:r w:rsidRPr="00775168">
        <w:t>≥</w:t>
      </w:r>
      <w:r w:rsidRPr="00775168">
        <w:t xml:space="preserve"> 15 mm in short axis when assessed by CT scan (CT scan slice thickness recommended to be no greater than 5 mm). At baseline and follow-up, only the short axis will be measured and followed. </w:t>
      </w:r>
    </w:p>
    <w:p w:rsidR="00743320" w:rsidRPr="00775168" w:rsidRDefault="00DF7F26">
      <w:pPr>
        <w:pStyle w:val="P68B1DB1-a09"/>
        <w:numPr>
          <w:ilvl w:val="2"/>
          <w:numId w:val="34"/>
        </w:numPr>
        <w:spacing w:line="360" w:lineRule="auto"/>
        <w:rPr>
          <w:rFonts w:hint="default"/>
        </w:rPr>
      </w:pPr>
      <w:r w:rsidRPr="00775168">
        <w:t xml:space="preserve">Non-measurable lesions </w:t>
      </w:r>
    </w:p>
    <w:p w:rsidR="00743320" w:rsidRPr="00775168" w:rsidRDefault="00DF7F26">
      <w:pPr>
        <w:pStyle w:val="P68B1DB1-a024"/>
        <w:spacing w:line="360" w:lineRule="auto"/>
        <w:ind w:firstLineChars="200" w:firstLine="480"/>
        <w:rPr>
          <w:rFonts w:hint="default"/>
        </w:rPr>
      </w:pPr>
      <w:r w:rsidRPr="00775168">
        <w:t xml:space="preserve">All other lesions, including small lesions (longest diameter &lt; 10 mm or pathological lymph nodes with </w:t>
      </w:r>
      <w:r w:rsidRPr="00775168">
        <w:t>≥</w:t>
      </w:r>
      <w:r w:rsidRPr="00775168">
        <w:t xml:space="preserve"> 10 mm to &lt; 15 mm short axis) and non-measurable lesions. Lesions considered truly non-measurable include: leptomeningeal disease, ascites, pleural or pericardial effusion, inflammatory breast disease, lymphangitis carcinomatosa of the skin/lung, abdominal involvement not confirmed and followed by imaging, and cystic lesions. </w:t>
      </w:r>
    </w:p>
    <w:p w:rsidR="00743320" w:rsidRPr="00775168" w:rsidRDefault="00DF7F26">
      <w:pPr>
        <w:pStyle w:val="P68B1DB1-a09"/>
        <w:numPr>
          <w:ilvl w:val="2"/>
          <w:numId w:val="34"/>
        </w:numPr>
        <w:spacing w:line="360" w:lineRule="auto"/>
        <w:rPr>
          <w:rFonts w:hint="default"/>
        </w:rPr>
      </w:pPr>
      <w:r w:rsidRPr="00775168">
        <w:t xml:space="preserve">Special considerations regarding lesion measurement </w:t>
      </w:r>
    </w:p>
    <w:p w:rsidR="00743320" w:rsidRPr="00775168" w:rsidRDefault="00DF7F26">
      <w:pPr>
        <w:pStyle w:val="P68B1DB1-a09"/>
        <w:spacing w:line="360" w:lineRule="auto"/>
        <w:ind w:firstLineChars="200" w:firstLine="480"/>
        <w:rPr>
          <w:rFonts w:hint="default"/>
        </w:rPr>
      </w:pPr>
      <w:r w:rsidRPr="00775168">
        <w:lastRenderedPageBreak/>
        <w:t xml:space="preserve">Bone lesions, lesions and lesions previously treated with local therapy should be particularly noted: </w:t>
      </w:r>
    </w:p>
    <w:p w:rsidR="00743320" w:rsidRPr="00775168" w:rsidRDefault="00DF7F26">
      <w:pPr>
        <w:pStyle w:val="P68B1DB1-a09"/>
        <w:spacing w:line="360" w:lineRule="auto"/>
        <w:rPr>
          <w:rFonts w:hint="default"/>
        </w:rPr>
      </w:pPr>
      <w:r w:rsidRPr="00775168">
        <w:t xml:space="preserve">Bone lesions: </w:t>
      </w:r>
    </w:p>
    <w:p w:rsidR="00743320" w:rsidRPr="00775168" w:rsidRDefault="00DF7F26">
      <w:pPr>
        <w:pStyle w:val="P68B1DB1-11078"/>
        <w:numPr>
          <w:ilvl w:val="0"/>
          <w:numId w:val="36"/>
        </w:numPr>
        <w:spacing w:line="360" w:lineRule="auto"/>
        <w:ind w:firstLineChars="0"/>
        <w:rPr>
          <w:rFonts w:cs="Times New Roman" w:hint="default"/>
        </w:rPr>
      </w:pPr>
      <w:r w:rsidRPr="00775168">
        <w:t xml:space="preserve">Bone scans, PET scans, or photographs are not suitable for measuring bone lesions, but can be used to confirm the presence or disappearance of bone lesions; </w:t>
      </w:r>
    </w:p>
    <w:p w:rsidR="00743320" w:rsidRPr="00775168" w:rsidRDefault="00DF7F26">
      <w:pPr>
        <w:pStyle w:val="P68B1DB1-11078"/>
        <w:numPr>
          <w:ilvl w:val="0"/>
          <w:numId w:val="36"/>
        </w:numPr>
        <w:spacing w:line="360" w:lineRule="auto"/>
        <w:ind w:firstLineChars="0"/>
        <w:rPr>
          <w:rFonts w:cs="Times New Roman" w:hint="default"/>
        </w:rPr>
      </w:pPr>
      <w:r w:rsidRPr="00775168">
        <w:t xml:space="preserve">Lytic lesions or mixed lytic/osteoblastic lesions, with identifiable soft tissue components, that can be evaluated by cross-sectional imaging techniques such as CT or MRI can be considered as measurable lesions if the soft tissue component meets the definition of measurability described above; </w:t>
      </w:r>
    </w:p>
    <w:p w:rsidR="00743320" w:rsidRPr="00775168" w:rsidRDefault="00DF7F26">
      <w:pPr>
        <w:pStyle w:val="P68B1DB1-11079"/>
        <w:numPr>
          <w:ilvl w:val="0"/>
          <w:numId w:val="36"/>
        </w:numPr>
        <w:spacing w:line="360" w:lineRule="auto"/>
        <w:ind w:firstLineChars="0"/>
        <w:rPr>
          <w:rFonts w:cs="Times New Roman" w:hint="default"/>
        </w:rPr>
      </w:pPr>
      <w:r w:rsidRPr="00775168">
        <w:t xml:space="preserve">Blastic bone lesions are non-measurable. </w:t>
      </w:r>
    </w:p>
    <w:p w:rsidR="00743320" w:rsidRPr="00775168" w:rsidRDefault="00DF7F26">
      <w:pPr>
        <w:pStyle w:val="P68B1DB1-a09"/>
        <w:numPr>
          <w:ilvl w:val="0"/>
          <w:numId w:val="36"/>
        </w:numPr>
        <w:spacing w:line="360" w:lineRule="auto"/>
        <w:rPr>
          <w:rFonts w:hint="default"/>
        </w:rPr>
      </w:pPr>
      <w:r w:rsidRPr="00775168">
        <w:t xml:space="preserve">Focus: </w:t>
      </w:r>
    </w:p>
    <w:p w:rsidR="00743320" w:rsidRPr="00775168" w:rsidRDefault="00DF7F26">
      <w:pPr>
        <w:pStyle w:val="P68B1DB1-11079"/>
        <w:numPr>
          <w:ilvl w:val="0"/>
          <w:numId w:val="36"/>
        </w:numPr>
        <w:spacing w:line="360" w:lineRule="auto"/>
        <w:ind w:firstLineChars="0"/>
        <w:rPr>
          <w:rFonts w:cs="Times New Roman" w:hint="default"/>
        </w:rPr>
      </w:pPr>
      <w:r w:rsidRPr="00775168">
        <w:t xml:space="preserve">Lesions that meet the criteria for radiographically defined simple cysts are not considered as measurable or non-measurable malignant lesions; </w:t>
      </w:r>
    </w:p>
    <w:p w:rsidR="00743320" w:rsidRPr="00775168" w:rsidRDefault="00DF7F26">
      <w:pPr>
        <w:pStyle w:val="P68B1DB1-11079"/>
        <w:numPr>
          <w:ilvl w:val="0"/>
          <w:numId w:val="36"/>
        </w:numPr>
        <w:spacing w:line="360" w:lineRule="auto"/>
        <w:ind w:firstLineChars="0"/>
        <w:rPr>
          <w:rFonts w:cs="Times New Roman" w:hint="default"/>
        </w:rPr>
      </w:pPr>
      <w:r w:rsidRPr="00775168">
        <w:t xml:space="preserve">If metastatic lesions are present and meet the definition of measurability described above, they can be considered measurable lesions. However, if non-target lesions are present in the same patient, these are preferred for selection as target lesions. </w:t>
      </w:r>
    </w:p>
    <w:p w:rsidR="00743320" w:rsidRPr="00775168" w:rsidRDefault="00DF7F26">
      <w:pPr>
        <w:pStyle w:val="P68B1DB1-a09"/>
        <w:numPr>
          <w:ilvl w:val="0"/>
          <w:numId w:val="36"/>
        </w:numPr>
        <w:spacing w:line="360" w:lineRule="auto"/>
        <w:rPr>
          <w:rFonts w:hint="default"/>
        </w:rPr>
      </w:pPr>
      <w:r w:rsidRPr="00775168">
        <w:t xml:space="preserve">Lesions with prior local therapy: </w:t>
      </w:r>
    </w:p>
    <w:p w:rsidR="00743320" w:rsidRPr="00775168" w:rsidRDefault="00DF7F26">
      <w:pPr>
        <w:pStyle w:val="P68B1DB1-11079"/>
        <w:numPr>
          <w:ilvl w:val="0"/>
          <w:numId w:val="36"/>
        </w:numPr>
        <w:spacing w:line="360" w:lineRule="auto"/>
        <w:ind w:firstLineChars="0"/>
        <w:rPr>
          <w:rFonts w:cs="Times New Roman" w:hint="default"/>
        </w:rPr>
      </w:pPr>
      <w:r w:rsidRPr="00775168">
        <w:t xml:space="preserve">Lesions situated in a previously irradiated area, or in an area subjected to other loco-regional therapy, are usually not considered measurable unless there has been demonstrated progression in the lesion. The study protocol should detail the conditions under which such lesions would be considered measurable. </w:t>
      </w:r>
    </w:p>
    <w:p w:rsidR="00743320" w:rsidRPr="00775168" w:rsidRDefault="00DF7F26">
      <w:pPr>
        <w:pStyle w:val="P68B1DB1-a09"/>
        <w:numPr>
          <w:ilvl w:val="1"/>
          <w:numId w:val="34"/>
        </w:numPr>
        <w:spacing w:line="360" w:lineRule="auto"/>
        <w:rPr>
          <w:rFonts w:hint="default"/>
        </w:rPr>
      </w:pPr>
      <w:r w:rsidRPr="00775168">
        <w:t xml:space="preserve">Description of measurement method </w:t>
      </w:r>
    </w:p>
    <w:p w:rsidR="00743320" w:rsidRPr="00775168" w:rsidRDefault="00DF7F26">
      <w:pPr>
        <w:pStyle w:val="P68B1DB1-a09"/>
        <w:numPr>
          <w:ilvl w:val="2"/>
          <w:numId w:val="34"/>
        </w:numPr>
        <w:spacing w:line="360" w:lineRule="auto"/>
        <w:rPr>
          <w:rFonts w:hint="default"/>
        </w:rPr>
      </w:pPr>
      <w:r w:rsidRPr="00775168">
        <w:t xml:space="preserve">Lesion Measurements </w:t>
      </w:r>
    </w:p>
    <w:p w:rsidR="00743320" w:rsidRPr="00775168" w:rsidRDefault="00DF7F26">
      <w:pPr>
        <w:pStyle w:val="P68B1DB1-a024"/>
        <w:spacing w:line="360" w:lineRule="auto"/>
        <w:ind w:firstLineChars="200" w:firstLine="480"/>
        <w:rPr>
          <w:rFonts w:hint="default"/>
        </w:rPr>
      </w:pPr>
      <w:r w:rsidRPr="00775168">
        <w:t xml:space="preserve">For clinical evaluation, all tumor measurements were recorded in metric notation. All baseline evaluations should be performed as close as possible to the treatment start and never more than 4 weeks before the beginning of the treatment. </w:t>
      </w:r>
    </w:p>
    <w:p w:rsidR="00743320" w:rsidRPr="00775168" w:rsidRDefault="00DF7F26">
      <w:pPr>
        <w:pStyle w:val="P68B1DB1-a09"/>
        <w:numPr>
          <w:ilvl w:val="2"/>
          <w:numId w:val="34"/>
        </w:numPr>
        <w:spacing w:line="360" w:lineRule="auto"/>
        <w:rPr>
          <w:rFonts w:hint="default"/>
        </w:rPr>
      </w:pPr>
      <w:r w:rsidRPr="00775168">
        <w:t xml:space="preserve">Evaluation method </w:t>
      </w:r>
    </w:p>
    <w:p w:rsidR="00743320" w:rsidRPr="00775168" w:rsidRDefault="00DF7F26">
      <w:pPr>
        <w:pStyle w:val="P68B1DB1-a09"/>
        <w:spacing w:line="360" w:lineRule="auto"/>
        <w:ind w:firstLineChars="200" w:firstLine="480"/>
        <w:rPr>
          <w:rFonts w:hint="default"/>
        </w:rPr>
      </w:pPr>
      <w:r w:rsidRPr="00775168">
        <w:t xml:space="preserve">The same technique and method should be used for baseline assessment and subsequent measurement of lesions. All lesions should be evaluated by imaging, except those that cannot be imaged but can only be evaluated by clinical exam. </w:t>
      </w:r>
    </w:p>
    <w:p w:rsidR="00743320" w:rsidRPr="00775168" w:rsidRDefault="00DF7F26">
      <w:pPr>
        <w:pStyle w:val="P68B1DB1-a024"/>
        <w:spacing w:line="360" w:lineRule="auto"/>
        <w:ind w:firstLineChars="200" w:firstLine="480"/>
        <w:rPr>
          <w:rFonts w:hint="default"/>
        </w:rPr>
      </w:pPr>
      <w:r w:rsidRPr="00775168">
        <w:t xml:space="preserve">Clinical lesions: Clinical lesions will only be considered measurable when they are superficial and </w:t>
      </w:r>
      <w:r w:rsidRPr="00775168">
        <w:t>≥</w:t>
      </w:r>
      <w:r w:rsidRPr="00775168">
        <w:t xml:space="preserve"> 10 mm diameter as assessed using calipers (e.g. skin nodules). For patients with skin lesions, documentation by color photography including a ruler to estimate the size of the lesion is recommended. When lesions are evaluated by both imaging and clinical examination, imaging evaluation should be used whenever possible </w:t>
      </w:r>
      <w:r w:rsidRPr="00775168">
        <w:lastRenderedPageBreak/>
        <w:t xml:space="preserve">because imaging is more objective and can be reviewed repeatedly at the end of the study. </w:t>
      </w:r>
    </w:p>
    <w:p w:rsidR="00743320" w:rsidRPr="00775168" w:rsidRDefault="00DF7F26">
      <w:pPr>
        <w:pStyle w:val="P68B1DB1-a024"/>
        <w:spacing w:line="360" w:lineRule="auto"/>
        <w:ind w:firstLineChars="200" w:firstLine="480"/>
        <w:rPr>
          <w:rFonts w:hint="default"/>
        </w:rPr>
      </w:pPr>
      <w:r w:rsidRPr="00775168">
        <w:t xml:space="preserve">Chest X-ray: When tumor progression is an important endpoint, chest CT is preferred because CT is more sensitive than X-ray, especially for new lesions. Chest X-ray is only applicable when the measured lesion has clear boundary and good pulmonary ventilation. </w:t>
      </w:r>
    </w:p>
    <w:p w:rsidR="00743320" w:rsidRPr="00775168" w:rsidRDefault="00DF7F26">
      <w:pPr>
        <w:pStyle w:val="P68B1DB1-a024"/>
        <w:spacing w:line="360" w:lineRule="auto"/>
        <w:ind w:firstLineChars="200" w:firstLine="480"/>
        <w:rPr>
          <w:rFonts w:hint="default"/>
        </w:rPr>
      </w:pPr>
      <w:r w:rsidRPr="00775168">
        <w:t xml:space="preserve">CT, MRI: CT is the best currently available and reproducible method for response assessment. This guideline has defined measurability on CT scans based on the assumption that CT slice thickness is 5 mm or less. If CT slice thickness is greater than 5 mm, the minimum size for a measurable lesion should be twice the slice thickness. MRI is also acceptable in certain situations (e.g. for body scans). </w:t>
      </w:r>
    </w:p>
    <w:p w:rsidR="00743320" w:rsidRPr="00775168" w:rsidRDefault="00DF7F26">
      <w:pPr>
        <w:pStyle w:val="P68B1DB1-a024"/>
        <w:spacing w:line="360" w:lineRule="auto"/>
        <w:ind w:firstLineChars="200" w:firstLine="480"/>
        <w:rPr>
          <w:rFonts w:hint="default"/>
        </w:rPr>
      </w:pPr>
      <w:r w:rsidRPr="00775168">
        <w:t xml:space="preserve">Ultrasound: Ultrasound should not be used as a method of measurement to measure lesion size. Ultrasonography, because of its operational dependency, is not reproducible after the end of a measurement and does not guarantee the identity of techniques and measurements between different measurements. If new lesions are identified by ultrasound in the course of the trial, confirmation by CT or MRI is advised. If there is concern about radiation exposure at CT, MRI may be used instead of CT. </w:t>
      </w:r>
    </w:p>
    <w:p w:rsidR="00743320" w:rsidRPr="00775168" w:rsidRDefault="00DF7F26">
      <w:pPr>
        <w:pStyle w:val="P68B1DB1-a024"/>
        <w:spacing w:line="360" w:lineRule="auto"/>
        <w:ind w:firstLineChars="200" w:firstLine="480"/>
        <w:rPr>
          <w:rFonts w:hint="default"/>
        </w:rPr>
      </w:pPr>
      <w:r w:rsidRPr="00775168">
        <w:t xml:space="preserve">Endoscopy, laparoscopy: The utilization of these techniques for objective tumor evaluation is not advised. However, they can be useful to confirm CR when biopsies are obtained or to determine relapse in trials where recurrence following CR or surgical resection is an endpoint. </w:t>
      </w:r>
    </w:p>
    <w:p w:rsidR="00743320" w:rsidRPr="00775168" w:rsidRDefault="00DF7F26">
      <w:pPr>
        <w:pStyle w:val="P68B1DB1-a024"/>
        <w:spacing w:line="360" w:lineRule="auto"/>
        <w:ind w:firstLineChars="200" w:firstLine="480"/>
        <w:rPr>
          <w:rFonts w:hint="default"/>
        </w:rPr>
      </w:pPr>
      <w:r w:rsidRPr="00775168">
        <w:t xml:space="preserve">Tumor markers: Tumor markers alone cannot be used to assess objective tumor response. However, if markers are present at baseline above the upper limit of normal, they must normalize for a patient to be considered in complete response. Because tumor markers vary from disease to disease, this should be taken into account when writing measurement criteria into protocols. Specific criteria for both CA-125 response (in recurrent ovarian cancer) and PSA response (in recurrent prostate cancer) have been published. In addition, the Gynecologic Cancer Intergroup has developed CA-125 progression criteria which are to be integrated with objective tumor assessment for use in first-line trials in ovarian cancer. </w:t>
      </w:r>
    </w:p>
    <w:p w:rsidR="00743320" w:rsidRPr="00775168" w:rsidRDefault="00DF7F26">
      <w:pPr>
        <w:pStyle w:val="P68B1DB1-a024"/>
        <w:spacing w:line="360" w:lineRule="auto"/>
        <w:ind w:firstLine="570"/>
        <w:rPr>
          <w:rFonts w:hint="default"/>
        </w:rPr>
      </w:pPr>
      <w:r w:rsidRPr="00775168">
        <w:t xml:space="preserve">Cytological/histological techniques: These techniques can be used to identify PR and CR in protocol-specified situations (e.g., residual benign tumor tissue in lesions of germ cell tumors). When effusions are known to be a potential adverse effect of treatment (e.g. with certain taxane compounds or angiogenesis inhibitors), the cytological confirmation of the neoplastic origin of any effusion that appears or worsens during treatment can be considered if the measurable tumor has met criteria for response or stable disease in order to differentiate between response (or stable disease) and progressive disease. </w:t>
      </w:r>
    </w:p>
    <w:p w:rsidR="00743320" w:rsidRPr="00775168" w:rsidRDefault="00DF7F26">
      <w:pPr>
        <w:pStyle w:val="P68B1DB1-a09"/>
        <w:numPr>
          <w:ilvl w:val="0"/>
          <w:numId w:val="34"/>
        </w:numPr>
        <w:spacing w:line="360" w:lineRule="auto"/>
        <w:rPr>
          <w:rFonts w:hint="default"/>
        </w:rPr>
      </w:pPr>
      <w:r w:rsidRPr="00775168">
        <w:t xml:space="preserve">Tumor Response Assessment </w:t>
      </w:r>
    </w:p>
    <w:p w:rsidR="00743320" w:rsidRPr="00775168" w:rsidRDefault="00DF7F26">
      <w:pPr>
        <w:pStyle w:val="P68B1DB1-a09"/>
        <w:numPr>
          <w:ilvl w:val="1"/>
          <w:numId w:val="34"/>
        </w:numPr>
        <w:spacing w:line="360" w:lineRule="auto"/>
        <w:rPr>
          <w:rFonts w:hint="default"/>
        </w:rPr>
      </w:pPr>
      <w:r w:rsidRPr="00775168">
        <w:t xml:space="preserve">Assessment of overall tumor burden and measurable disease </w:t>
      </w:r>
    </w:p>
    <w:p w:rsidR="00743320" w:rsidRPr="00775168" w:rsidRDefault="00DF7F26">
      <w:pPr>
        <w:pStyle w:val="P68B1DB1-a024"/>
        <w:spacing w:line="360" w:lineRule="auto"/>
        <w:rPr>
          <w:rFonts w:hint="default"/>
        </w:rPr>
      </w:pPr>
      <w:r w:rsidRPr="00775168">
        <w:lastRenderedPageBreak/>
        <w:t xml:space="preserve">To assess objective response or future progression, it is necessary to estimate the overall tumor burden at baseline and use this as a comparator for subsequent measurements. Only patients with measurable disease at baseline should be included in protocols where objective response is the primary endpoint. Measurable disease is defined by the presence of at least one measurable lesion. For trials where the primary endpoint is disease progression (either time to progression or proportion with progression at a fixed date), the protocol must specify if entry is restricted to those with measurable disease or whether patients having non-measurable disease only are also eligible. </w:t>
      </w:r>
    </w:p>
    <w:p w:rsidR="00743320" w:rsidRPr="00775168" w:rsidRDefault="00DF7F26">
      <w:pPr>
        <w:pStyle w:val="P68B1DB1-a09"/>
        <w:numPr>
          <w:ilvl w:val="1"/>
          <w:numId w:val="34"/>
        </w:numPr>
        <w:spacing w:line="360" w:lineRule="auto"/>
        <w:rPr>
          <w:rFonts w:hint="default"/>
        </w:rPr>
      </w:pPr>
      <w:r w:rsidRPr="00775168">
        <w:t xml:space="preserve">Baseline documentation of target and non-target lesions </w:t>
      </w:r>
    </w:p>
    <w:p w:rsidR="00743320" w:rsidRPr="00775168" w:rsidRDefault="00DF7F26">
      <w:pPr>
        <w:pStyle w:val="P68B1DB1-a024"/>
        <w:spacing w:line="360" w:lineRule="auto"/>
        <w:ind w:firstLine="570"/>
        <w:rPr>
          <w:rFonts w:hint="default"/>
        </w:rPr>
      </w:pPr>
      <w:r w:rsidRPr="00775168">
        <w:t xml:space="preserve">When more than one measurable lesion is present at baseline, all lesions up to a maximum of five lesions total (and a maximum of two lesions per organ) representative of all involved organs should be identified as target lesions and will be recorded and measured (this means in instances where patients have only one or two organ sites involved a maximum of two and four lesions respectively will be recorded). </w:t>
      </w:r>
    </w:p>
    <w:p w:rsidR="00743320" w:rsidRPr="00775168" w:rsidRDefault="00DF7F26">
      <w:pPr>
        <w:pStyle w:val="P68B1DB1-a09"/>
        <w:spacing w:line="360" w:lineRule="auto"/>
        <w:ind w:firstLine="570"/>
        <w:rPr>
          <w:rFonts w:hint="default"/>
        </w:rPr>
      </w:pPr>
      <w:r w:rsidRPr="00775168">
        <w:t xml:space="preserve">Target lesions must be selected on the basis of their size (longest diameter), be representative of all involved organs, and be measured with good reproducibility. Sometimes when the largest lesion cannot be measured repeatedly, a new largest lesion which can be measured repeatedly can be selected. </w:t>
      </w:r>
    </w:p>
    <w:p w:rsidR="00743320" w:rsidRPr="00775168" w:rsidRDefault="00DF7F26">
      <w:pPr>
        <w:pStyle w:val="P68B1DB1-a024"/>
        <w:spacing w:line="360" w:lineRule="auto"/>
        <w:ind w:firstLine="570"/>
        <w:rPr>
          <w:rFonts w:hint="default"/>
        </w:rPr>
      </w:pPr>
      <w:r w:rsidRPr="00775168">
        <w:t xml:space="preserve">Lymph nodes require special attention because of normal tissue and imaging detection even without tumor metastasis. Pathological nodes which are defined as measurable and may be identified as target lesions must meet the criterion of a short axis of </w:t>
      </w:r>
      <w:r w:rsidRPr="00775168">
        <w:t>≥</w:t>
      </w:r>
      <w:r w:rsidRPr="00775168">
        <w:t xml:space="preserve"> 15 mm by CT scan. The baseline is only required to test the short diameter. The short axis of a node is the diameter normally used by radiologists to judge whether a node has metastatic disease. Nodule size is generally expressed by two dimensions of image detection data (for CT, use the axial plane; for MRI, select a plane from the axial plane, sagittal plane or coronal plane). The smallest value is the short diameter. For example, an abdominal node which is reported as being 20 mm </w:t>
      </w:r>
      <w:r w:rsidRPr="00775168">
        <w:t>×</w:t>
      </w:r>
      <w:r w:rsidRPr="00775168">
        <w:t xml:space="preserve"> 30 mm has a short axis of 20 mm and qualifies as a malignant, measurable node. In this example, 20 mm is the measurement of the node. Nodules </w:t>
      </w:r>
      <w:r w:rsidRPr="00775168">
        <w:t>≥</w:t>
      </w:r>
      <w:r w:rsidRPr="00775168">
        <w:t xml:space="preserve"> 10 mm but &lt; 15 mm in diameter should not be considered target lesions. Nodules &lt; 10 mm are not considered pathological and should not be recorded or followed. </w:t>
      </w:r>
    </w:p>
    <w:p w:rsidR="00743320" w:rsidRPr="00775168" w:rsidRDefault="00DF7F26">
      <w:pPr>
        <w:pStyle w:val="P68B1DB1-a09"/>
        <w:spacing w:line="360" w:lineRule="auto"/>
        <w:ind w:firstLine="570"/>
        <w:rPr>
          <w:rFonts w:hint="default"/>
        </w:rPr>
      </w:pPr>
      <w:r w:rsidRPr="00775168">
        <w:t xml:space="preserve">A sum of the diameters (longest for non-nodal lesions, short axis for nodal lesions) for all target lesions will be calculated and reported as the baseline sum diameters. If lymph nodes are to be included in the sum, only the short axis will be included as noted above. The baseline sum diameters will be used as reference for baseline disease. </w:t>
      </w:r>
    </w:p>
    <w:p w:rsidR="00743320" w:rsidRPr="00775168" w:rsidRDefault="00DF7F26">
      <w:pPr>
        <w:pStyle w:val="P68B1DB1-a024"/>
        <w:spacing w:line="360" w:lineRule="auto"/>
        <w:ind w:firstLine="570"/>
        <w:rPr>
          <w:rFonts w:hint="default"/>
        </w:rPr>
      </w:pPr>
      <w:r w:rsidRPr="00775168">
        <w:t xml:space="preserve">All remaining lesions including pathological lymph nodes should be identified as non-target lesions and should be recorded at baseline. If present, absent or in rare cases unequivocal progression is recorded. The </w:t>
      </w:r>
      <w:r w:rsidRPr="00775168">
        <w:lastRenderedPageBreak/>
        <w:t xml:space="preserve">presence of widespread target lesions can be noted with the documentation of the target organ (e.g. 'multiple enlarged pelvic lymph nodes' or 'multiple liver metastases'). </w:t>
      </w:r>
    </w:p>
    <w:p w:rsidR="00743320" w:rsidRPr="00775168" w:rsidRDefault="00DF7F26">
      <w:pPr>
        <w:pStyle w:val="P68B1DB1-a09"/>
        <w:numPr>
          <w:ilvl w:val="1"/>
          <w:numId w:val="34"/>
        </w:numPr>
        <w:spacing w:line="360" w:lineRule="auto"/>
        <w:rPr>
          <w:rFonts w:hint="default"/>
        </w:rPr>
      </w:pPr>
      <w:r w:rsidRPr="00775168">
        <w:t xml:space="preserve">Response Criteria </w:t>
      </w:r>
    </w:p>
    <w:p w:rsidR="00743320" w:rsidRPr="00775168" w:rsidRDefault="00DF7F26">
      <w:pPr>
        <w:pStyle w:val="P68B1DB1-a09"/>
        <w:numPr>
          <w:ilvl w:val="2"/>
          <w:numId w:val="34"/>
        </w:numPr>
        <w:spacing w:line="360" w:lineRule="auto"/>
        <w:rPr>
          <w:rFonts w:hint="default"/>
        </w:rPr>
      </w:pPr>
      <w:r w:rsidRPr="00775168">
        <w:t xml:space="preserve">Target Lesion Assessment </w:t>
      </w:r>
    </w:p>
    <w:p w:rsidR="00743320" w:rsidRPr="00775168" w:rsidRDefault="00DF7F26">
      <w:pPr>
        <w:pStyle w:val="P68B1DB1-a024"/>
        <w:spacing w:line="360" w:lineRule="auto"/>
        <w:ind w:firstLine="570"/>
        <w:rPr>
          <w:rFonts w:hint="default"/>
        </w:rPr>
      </w:pPr>
      <w:r w:rsidRPr="00775168">
        <w:t xml:space="preserve">Complete response (CR): Disappearance of all target lesions. All pathological lymph nodes (including target and non-target nodules) must have reduction in short axis to &lt; 10 mm. </w:t>
      </w:r>
    </w:p>
    <w:p w:rsidR="00743320" w:rsidRPr="00775168" w:rsidRDefault="00DF7F26">
      <w:pPr>
        <w:pStyle w:val="P68B1DB1-a024"/>
        <w:spacing w:line="360" w:lineRule="auto"/>
        <w:ind w:firstLine="570"/>
        <w:rPr>
          <w:rFonts w:hint="default"/>
        </w:rPr>
      </w:pPr>
      <w:r w:rsidRPr="00775168">
        <w:t xml:space="preserve">Partial Response (PR): At least a 30% decrease in the sum of diameters of target lesions, taking as reference the baseline sum diameters. </w:t>
      </w:r>
    </w:p>
    <w:p w:rsidR="00743320" w:rsidRPr="00775168" w:rsidRDefault="00DF7F26">
      <w:pPr>
        <w:pStyle w:val="P68B1DB1-a024"/>
        <w:spacing w:line="360" w:lineRule="auto"/>
        <w:ind w:firstLine="570"/>
        <w:rPr>
          <w:rFonts w:hint="default"/>
        </w:rPr>
      </w:pPr>
      <w:r w:rsidRPr="00775168">
        <w:t xml:space="preserve">Progressive Disease (PD): At least a 20% increase in the sum of diameters of target lesions, taking as reference the smallest sum on study (this includes the baseline sum if that is the smallest on study). In addition to the relative increase of 20%, the sum must also demonstrate an absolute increase of at least 5 mm. (Note: the appearance of one or more new lesions is also considered progression). </w:t>
      </w:r>
    </w:p>
    <w:p w:rsidR="00743320" w:rsidRPr="00775168" w:rsidRDefault="00DF7F26">
      <w:pPr>
        <w:pStyle w:val="P68B1DB1-a024"/>
        <w:spacing w:line="360" w:lineRule="auto"/>
        <w:ind w:firstLine="570"/>
        <w:rPr>
          <w:rFonts w:hint="default"/>
        </w:rPr>
      </w:pPr>
      <w:r w:rsidRPr="00775168">
        <w:t xml:space="preserve">Stable Disease (SD): Neither sufficient shrinkage to qualify for PR nor sufficient increase to qualify for PD, taking as reference the smallest sum diameters while on study. </w:t>
      </w:r>
    </w:p>
    <w:p w:rsidR="00743320" w:rsidRPr="00775168" w:rsidRDefault="00DF7F26">
      <w:pPr>
        <w:pStyle w:val="P68B1DB1-a09"/>
        <w:numPr>
          <w:ilvl w:val="2"/>
          <w:numId w:val="34"/>
        </w:numPr>
        <w:spacing w:line="360" w:lineRule="auto"/>
        <w:rPr>
          <w:rFonts w:hint="default"/>
        </w:rPr>
      </w:pPr>
      <w:r w:rsidRPr="00775168">
        <w:t xml:space="preserve">Special notes on target lesion assessment </w:t>
      </w:r>
    </w:p>
    <w:p w:rsidR="00743320" w:rsidRPr="00775168" w:rsidRDefault="00DF7F26">
      <w:pPr>
        <w:pStyle w:val="P68B1DB1-a024"/>
        <w:spacing w:line="360" w:lineRule="auto"/>
        <w:ind w:firstLineChars="200" w:firstLine="480"/>
        <w:rPr>
          <w:rFonts w:hint="default"/>
        </w:rPr>
      </w:pPr>
      <w:r w:rsidRPr="00775168">
        <w:t xml:space="preserve">Lymph nodes: Lymph nodes identified as target lesions should always have the actual short axis measurement recorded (measured in the same anatomical plane as the baseline examination), even if the nodes regress to below 10 mm on study. This means that when lymph nodes are included as target lesions, the 'sum' of lesions may not be zero even if complete response criteria are met, since a normal lymph node is defined as having a short axis of &lt; 10 mm. Case report forms or other data collection methods may therefore be designed to have target nodal lesions recorded in a separate section where, in order to qualify for CR, each node must achieve a short axis &lt; 10 mm. For PR, SD and PD, the actual short axis measurement of the nodes is to be included in the sum of target lesions. </w:t>
      </w:r>
    </w:p>
    <w:p w:rsidR="00743320" w:rsidRPr="00775168" w:rsidRDefault="00DF7F26">
      <w:pPr>
        <w:pStyle w:val="P68B1DB1-a024"/>
        <w:spacing w:line="360" w:lineRule="auto"/>
        <w:ind w:firstLine="570"/>
        <w:rPr>
          <w:rFonts w:hint="default"/>
        </w:rPr>
      </w:pPr>
      <w:r w:rsidRPr="00775168">
        <w:t xml:space="preserve">Target lesions that are too small to measure: While on study, all lesions (nodal and non-nodal) recorded at baseline should have their actual measurements recorded at each subsequent evaluation, even when very small (e.g. 2 mm). However, sometimes lesions or lymph nodes which are recorded as target lesions at baseline become so faint on CT scan that the radiologist may not feel comfortable assigning an exact measure and may report them as being 'too small to measure'. When this occurs, it is important to record a value on the CRF. If it is the opinion of the radiologist that the lesion has likely disappeared, the measurement should also be recorded as 0 mm. If the lesion is believed to be present and is faintly seen but too small to measure, a default value of 5 mm should be assigned. ( Note: It is less likely that this rule will be used for lymph nodes since </w:t>
      </w:r>
      <w:r w:rsidRPr="00775168">
        <w:lastRenderedPageBreak/>
        <w:t xml:space="preserve">they usually have a definable size when normal and are frequently surrounded by fat such as in the retroperitoneum; however, if a lymph node is believed to be present and is faintly seen but too small to measure, a default value of 5 mm should be assigned in this circumstance as well). The default value of 5 mm is derived from the cut thickness of the CT scan (this value does not change with different cut thickness values for CT). Since there is little chance of repeated occurrences of the same measurement, providing this default value will reduce the risk of false evaluation. To reiterate, however, if the radiologist is able to provide an exact measure of lesion size, the actual measure must be recorded, even if it is below 5 mm. </w:t>
      </w:r>
    </w:p>
    <w:p w:rsidR="00743320" w:rsidRPr="00775168" w:rsidRDefault="00DF7F26">
      <w:pPr>
        <w:pStyle w:val="P68B1DB1-a09"/>
        <w:spacing w:line="360" w:lineRule="auto"/>
        <w:ind w:firstLineChars="200" w:firstLine="480"/>
        <w:rPr>
          <w:rFonts w:hint="default"/>
        </w:rPr>
      </w:pPr>
      <w:r w:rsidRPr="00775168">
        <w:t xml:space="preserve">Lesions that split or coalesce on treatment: When non-nodal lesions' fragment ', the longest diameters of the fragmented portions should be added together to calculate the lesion sum. Similarly, when lesions appear coalescent, the plane between them may be maintained to distinguish them, and the maximal diameter will be calculated. However, if the union is inseparable, the longest diameter should be the longest diameter of the fusion lesion as a whole. </w:t>
      </w:r>
    </w:p>
    <w:p w:rsidR="00743320" w:rsidRPr="00775168" w:rsidRDefault="00DF7F26">
      <w:pPr>
        <w:pStyle w:val="P68B1DB1-a09"/>
        <w:numPr>
          <w:ilvl w:val="2"/>
          <w:numId w:val="34"/>
        </w:numPr>
        <w:spacing w:line="360" w:lineRule="auto"/>
        <w:rPr>
          <w:rFonts w:hint="default"/>
        </w:rPr>
      </w:pPr>
      <w:r w:rsidRPr="00775168">
        <w:t xml:space="preserve">Assessment of Non-Target Lesions </w:t>
      </w:r>
    </w:p>
    <w:p w:rsidR="00743320" w:rsidRPr="00775168" w:rsidRDefault="00DF7F26">
      <w:pPr>
        <w:pStyle w:val="P68B1DB1-a09"/>
        <w:spacing w:line="360" w:lineRule="auto"/>
        <w:ind w:firstLineChars="200" w:firstLine="480"/>
        <w:rPr>
          <w:rFonts w:hint="default"/>
        </w:rPr>
      </w:pPr>
      <w:r w:rsidRPr="00775168">
        <w:t xml:space="preserve">This section defines the criteria for tumor response in non-target lesions. While some non-target lesions may actually be measurable, they need not be measured and only qualitatively assessed at the time points specified in the protocol. </w:t>
      </w:r>
    </w:p>
    <w:p w:rsidR="00743320" w:rsidRPr="00775168" w:rsidRDefault="00DF7F26">
      <w:pPr>
        <w:pStyle w:val="P68B1DB1-a024"/>
        <w:spacing w:line="360" w:lineRule="auto"/>
        <w:ind w:firstLineChars="200" w:firstLine="480"/>
        <w:rPr>
          <w:rFonts w:hint="default"/>
        </w:rPr>
      </w:pPr>
      <w:r w:rsidRPr="00775168">
        <w:t xml:space="preserve">Complete Response (CR): Disappearance of all non-target lesions and normalization of tumor marker level. All lymph nodes must be non-pathological in size (&lt; 10 mm short axis). </w:t>
      </w:r>
    </w:p>
    <w:p w:rsidR="00743320" w:rsidRPr="00775168" w:rsidRDefault="00DF7F26">
      <w:pPr>
        <w:pStyle w:val="P68B1DB1-a024"/>
        <w:spacing w:line="360" w:lineRule="auto"/>
        <w:ind w:firstLineChars="200" w:firstLine="480"/>
        <w:rPr>
          <w:rFonts w:hint="default"/>
        </w:rPr>
      </w:pPr>
      <w:r w:rsidRPr="00775168">
        <w:t xml:space="preserve">Non-CR/Non-PD: Persistence of one or more non-target lesion (s) and/or maintenance of tumor marker level above the normal limits. </w:t>
      </w:r>
    </w:p>
    <w:p w:rsidR="00743320" w:rsidRPr="00775168" w:rsidRDefault="00DF7F26">
      <w:pPr>
        <w:pStyle w:val="P68B1DB1-a09"/>
        <w:spacing w:line="360" w:lineRule="auto"/>
        <w:ind w:firstLineChars="200" w:firstLine="480"/>
        <w:rPr>
          <w:rFonts w:hint="default"/>
        </w:rPr>
      </w:pPr>
      <w:r w:rsidRPr="00775168">
        <w:t xml:space="preserve">Progressive disease: Unequivocal progression of existing non-target lesions. Note: The appearance of one or more new lesions is also considered progression. </w:t>
      </w:r>
    </w:p>
    <w:p w:rsidR="00743320" w:rsidRPr="00775168" w:rsidRDefault="00DF7F26">
      <w:pPr>
        <w:pStyle w:val="P68B1DB1-a09"/>
        <w:numPr>
          <w:ilvl w:val="2"/>
          <w:numId w:val="34"/>
        </w:numPr>
        <w:spacing w:line="360" w:lineRule="auto"/>
        <w:rPr>
          <w:rFonts w:hint="default"/>
        </w:rPr>
      </w:pPr>
      <w:r w:rsidRPr="00775168">
        <w:t xml:space="preserve">Special notes on assessment of progression of non-target disease </w:t>
      </w:r>
    </w:p>
    <w:p w:rsidR="00743320" w:rsidRPr="00775168" w:rsidRDefault="00DF7F26">
      <w:pPr>
        <w:pStyle w:val="P68B1DB1-a09"/>
        <w:spacing w:line="360" w:lineRule="auto"/>
        <w:ind w:firstLineChars="200" w:firstLine="480"/>
        <w:rPr>
          <w:rFonts w:hint="default"/>
        </w:rPr>
      </w:pPr>
      <w:r w:rsidRPr="00775168">
        <w:t xml:space="preserve">The definition of progression of non-target disease requires additional explanation as follows: When the patient also has measurable disease, to achieve 'unequivocal progression' on the basis of the non-target disease, there must be an overall level of substantial worsening in non-target disease such that, even in presence of SD or PR in target disease, the overall tumor burden has increased sufficiently to merit discontinuation of therapy. A modest 'increase' in the size of one or more non-target lesions is usually not sufficient to qualify for progression; therefore, it may be rare for changes in non-target lesions alone to define overall tumor progression in the face of SD or PR of target lesions. </w:t>
      </w:r>
    </w:p>
    <w:p w:rsidR="00743320" w:rsidRPr="00775168" w:rsidRDefault="00DF7F26">
      <w:pPr>
        <w:pStyle w:val="P68B1DB1-a092"/>
        <w:spacing w:line="360" w:lineRule="auto"/>
        <w:ind w:firstLineChars="200" w:firstLine="480"/>
        <w:rPr>
          <w:rFonts w:hAnsi="Times New Roman" w:hint="default"/>
        </w:rPr>
      </w:pPr>
      <w:r w:rsidRPr="00775168">
        <w:rPr>
          <w:rFonts w:hAnsi="Times New Roman"/>
        </w:rPr>
        <w:t xml:space="preserve">When patients have non-measurable non-target disease: This circumstance arises in some phase III trials </w:t>
      </w:r>
      <w:r w:rsidRPr="00775168">
        <w:rPr>
          <w:rFonts w:hAnsi="Times New Roman"/>
        </w:rPr>
        <w:lastRenderedPageBreak/>
        <w:t xml:space="preserve">when it is not a criterion of study entry to have measurable disease. The overall assessment also refers to the above criteria, but there are no measurable lesions in this case. Because worsening in non-target disease cannot be easily quantified (by definition: if all lesions are truly non-measurable) a useful test that can be applied when assessing patients for unequivocal progression is to consider if the increase in overall disease burden based on the change in non-measurable disease is comparable in magnitude to the increase that would be required to declare PD for measurable disease. I.e. an increase in tumor burden representing an additional 73% increase in volume (which is equivalent to a 20% increase in the diameter of a measurable lesion). Examples include an increase in a pleural effusion from 'trace' to 'large', an increase in lymphangitic disease from 'localized' to 'widespread', or may be described in protocols as' sufficient to require a change in therapy '. Examples include pleural effusions ranging from trace to large, lymphatic involvement spreading from the primary site to distant, or may be described in the protocol as' necessitating a change in therapy '. If unequivocal progression is observed, the patient should be considered to have had overall PD at that time point. While it is preferable to have objective criteria to be applied in the assessment of non-measurable disease, increased criteria must be reliable. </w:t>
      </w:r>
    </w:p>
    <w:p w:rsidR="00743320" w:rsidRPr="00775168" w:rsidRDefault="00DF7F26">
      <w:pPr>
        <w:pStyle w:val="P68B1DB1-a09"/>
        <w:numPr>
          <w:ilvl w:val="2"/>
          <w:numId w:val="34"/>
        </w:numPr>
        <w:spacing w:line="360" w:lineRule="auto"/>
        <w:rPr>
          <w:rFonts w:hint="default"/>
        </w:rPr>
      </w:pPr>
      <w:r w:rsidRPr="00775168">
        <w:t xml:space="preserve">New lesions </w:t>
      </w:r>
    </w:p>
    <w:p w:rsidR="00743320" w:rsidRPr="00775168" w:rsidRDefault="00DF7F26">
      <w:pPr>
        <w:pStyle w:val="P68B1DB1-a024"/>
        <w:spacing w:line="360" w:lineRule="auto"/>
        <w:ind w:firstLineChars="200" w:firstLine="480"/>
        <w:rPr>
          <w:rFonts w:hint="default"/>
        </w:rPr>
      </w:pPr>
      <w:r w:rsidRPr="00775168">
        <w:t xml:space="preserve">The appearance of new malignant lesions denotes disease progression; therefore, some comments on new lesions are important. There are no specific criteria for the identification of new radiographic lesions; however, the finding of a new lesion should be unequivocal. I.e. not attributable to differences in scanning technique, change in imaging modality or findings thought to represent something other than tumor (for example, some 'new' bone lesions may be simply healing or flare of pre-existing lesions). This is important when the patient's baseline lesions show partial or complete response. For example, necrosis of a liver lesion may be reported on a CT scan report as a new cystic lesion, which it is not. </w:t>
      </w:r>
    </w:p>
    <w:p w:rsidR="00743320" w:rsidRPr="00775168" w:rsidRDefault="00DF7F26">
      <w:pPr>
        <w:pStyle w:val="P68B1DB1-a024"/>
        <w:spacing w:line="360" w:lineRule="auto"/>
        <w:ind w:firstLineChars="200" w:firstLine="480"/>
        <w:rPr>
          <w:rFonts w:hint="default"/>
        </w:rPr>
      </w:pPr>
      <w:r w:rsidRPr="00775168">
        <w:t xml:space="preserve">A lesion identified on a follow-up study at baseline is considered a new lesion and will indicate disease progression. An example of this is the patient who has visceral disease at baseline and while on study has a CT or MRI brain ordered which reveals metastases. The patient's brain metastases are considered to be evidence of PD even if he/she did not have brain imaging at baseline. </w:t>
      </w:r>
    </w:p>
    <w:p w:rsidR="00743320" w:rsidRPr="00775168" w:rsidRDefault="00DF7F26">
      <w:pPr>
        <w:pStyle w:val="P68B1DB1-a09"/>
        <w:spacing w:line="360" w:lineRule="auto"/>
        <w:ind w:firstLineChars="200" w:firstLine="480"/>
        <w:rPr>
          <w:rFonts w:hint="default"/>
        </w:rPr>
      </w:pPr>
      <w:r w:rsidRPr="00775168">
        <w:t xml:space="preserve">If a new lesion is equivocal, for example because of its small size, continued therapy and follow-up evaluation will clarify if it represents truly new disease. If repeat scans confirm there is definitely a new lesion, then progression should be declared using the date of the initial scan. </w:t>
      </w:r>
    </w:p>
    <w:p w:rsidR="00743320" w:rsidRPr="00775168" w:rsidRDefault="00DF7F26">
      <w:pPr>
        <w:pStyle w:val="P68B1DB1-a024"/>
        <w:spacing w:line="360" w:lineRule="auto"/>
        <w:ind w:firstLineChars="200" w:firstLine="480"/>
        <w:rPr>
          <w:rFonts w:hint="default"/>
        </w:rPr>
      </w:pPr>
      <w:r w:rsidRPr="00775168">
        <w:t xml:space="preserve">While FDG-PET response assessments need additional study, it is sometimes reasonable to incorporate the use of FDG-PET scanning to complement CT scanning in assessment of progression (particularly possible </w:t>
      </w:r>
      <w:r w:rsidRPr="00775168">
        <w:lastRenderedPageBreak/>
        <w:t xml:space="preserve">'new' disease). New lesions on FDG-PET can be identified according to the following algorithm: </w:t>
      </w:r>
    </w:p>
    <w:p w:rsidR="00743320" w:rsidRPr="00775168" w:rsidRDefault="00DF7F26">
      <w:pPr>
        <w:pStyle w:val="P68B1DB1-a024"/>
        <w:spacing w:line="360" w:lineRule="auto"/>
        <w:ind w:firstLineChars="200" w:firstLine="480"/>
        <w:rPr>
          <w:rFonts w:hint="default"/>
        </w:rPr>
      </w:pPr>
      <w:r w:rsidRPr="00775168">
        <w:t xml:space="preserve">A negative FDG-PET at baseline and a positive FDG-PET at follow-up is a sign of PD. </w:t>
      </w:r>
    </w:p>
    <w:p w:rsidR="00743320" w:rsidRPr="00775168" w:rsidRDefault="00DF7F26">
      <w:pPr>
        <w:pStyle w:val="P68B1DB1-a024"/>
        <w:spacing w:line="360" w:lineRule="auto"/>
        <w:ind w:firstLineChars="200" w:firstLine="480"/>
        <w:rPr>
          <w:rFonts w:hint="default"/>
        </w:rPr>
      </w:pPr>
      <w:r w:rsidRPr="00775168">
        <w:t xml:space="preserve">No FDG-PET at baseline and a positive FDG-PET at follow-up: </w:t>
      </w:r>
    </w:p>
    <w:p w:rsidR="00743320" w:rsidRPr="00775168" w:rsidRDefault="00DF7F26">
      <w:pPr>
        <w:pStyle w:val="P68B1DB1-a024"/>
        <w:spacing w:line="360" w:lineRule="auto"/>
        <w:ind w:firstLineChars="200" w:firstLine="480"/>
        <w:rPr>
          <w:rFonts w:hint="default"/>
        </w:rPr>
      </w:pPr>
      <w:r w:rsidRPr="00775168">
        <w:t xml:space="preserve">If the positive FDG-PET at follow-up corresponds to a new site of disease confirmed by CT, this is PD. </w:t>
      </w:r>
    </w:p>
    <w:p w:rsidR="00743320" w:rsidRPr="00775168" w:rsidRDefault="00DF7F26">
      <w:pPr>
        <w:pStyle w:val="P68B1DB1-a024"/>
        <w:spacing w:line="360" w:lineRule="auto"/>
        <w:ind w:firstLineChars="200" w:firstLine="480"/>
        <w:rPr>
          <w:rFonts w:hint="default"/>
        </w:rPr>
      </w:pPr>
      <w:r w:rsidRPr="00775168">
        <w:t xml:space="preserve">If the positive FDG-PET at follow-up is not confirmed as a new site of disease on CT, additional follow-up CT scans are needed for confirmation (if so, the date of PD will be the date of the initial abnormal FDG-PET scan). </w:t>
      </w:r>
    </w:p>
    <w:p w:rsidR="00743320" w:rsidRPr="00775168" w:rsidRDefault="00DF7F26">
      <w:pPr>
        <w:pStyle w:val="P68B1DB1-a024"/>
        <w:spacing w:line="360" w:lineRule="auto"/>
        <w:ind w:firstLineChars="200" w:firstLine="480"/>
        <w:rPr>
          <w:rFonts w:hint="default"/>
        </w:rPr>
      </w:pPr>
      <w:r w:rsidRPr="00775168">
        <w:t xml:space="preserve">If the positive FDG-PET at follow-up corresponds to a pre-existing site of disease on CT that is not progressing on imaging, there is no PD. </w:t>
      </w:r>
    </w:p>
    <w:p w:rsidR="00743320" w:rsidRPr="00775168" w:rsidRDefault="00DF7F26">
      <w:pPr>
        <w:pStyle w:val="P68B1DB1-a09"/>
        <w:numPr>
          <w:ilvl w:val="1"/>
          <w:numId w:val="34"/>
        </w:numPr>
        <w:spacing w:line="360" w:lineRule="auto"/>
        <w:rPr>
          <w:rFonts w:hint="default"/>
        </w:rPr>
      </w:pPr>
      <w:r w:rsidRPr="00775168">
        <w:t xml:space="preserve">Evaluation of Best Overall Response </w:t>
      </w:r>
    </w:p>
    <w:p w:rsidR="00743320" w:rsidRPr="00775168" w:rsidRDefault="00DF7F26">
      <w:pPr>
        <w:pStyle w:val="P68B1DB1-a024"/>
        <w:spacing w:line="360" w:lineRule="auto"/>
        <w:ind w:firstLineChars="200" w:firstLine="480"/>
        <w:rPr>
          <w:rFonts w:hint="default"/>
        </w:rPr>
      </w:pPr>
      <w:r w:rsidRPr="00775168">
        <w:t xml:space="preserve">The best overall response is the best response recorded from the start of the trial until the end of the trial, taking into account any requirement for confirmation. On occasion a response may not be documented until after the end of therapy so protocols should be clear if post-treatment assessments are to be considered in determination of best overall response. Protocols must define how any new therapy that precedes progression affects best response. The patient's best response assignment will depend on the findings of both target and non-target disease and will also take into account the appearance of new lesions. It is also dependent on the nature of the trial, protocol requirements, and measurement of results. Specifically, in non-randomized trials where response is the primary endpoint, confirmation of PR or CR is needed to deem either one the best overall response. </w:t>
      </w:r>
    </w:p>
    <w:p w:rsidR="00743320" w:rsidRPr="00775168" w:rsidRDefault="00DF7F26">
      <w:pPr>
        <w:pStyle w:val="P68B1DB1-a09"/>
        <w:numPr>
          <w:ilvl w:val="2"/>
          <w:numId w:val="34"/>
        </w:numPr>
        <w:spacing w:line="360" w:lineRule="auto"/>
        <w:rPr>
          <w:rFonts w:hint="default"/>
        </w:rPr>
      </w:pPr>
      <w:r w:rsidRPr="00775168">
        <w:t xml:space="preserve">Time Point Response </w:t>
      </w:r>
    </w:p>
    <w:p w:rsidR="00743320" w:rsidRPr="00775168" w:rsidRDefault="00DF7F26">
      <w:pPr>
        <w:pStyle w:val="P68B1DB1-a024"/>
        <w:spacing w:line="360" w:lineRule="auto"/>
        <w:ind w:firstLineChars="200" w:firstLine="480"/>
        <w:rPr>
          <w:rFonts w:hint="default"/>
        </w:rPr>
      </w:pPr>
      <w:r w:rsidRPr="00775168">
        <w:t xml:space="preserve">It is assumed that at each protocol-specified time point a response occurs. Table 1 provides a summary of overall response at each time point for patients who have measurable disease at baseline. </w:t>
      </w:r>
    </w:p>
    <w:p w:rsidR="00743320" w:rsidRPr="00775168" w:rsidRDefault="00DF7F26">
      <w:pPr>
        <w:keepNext/>
        <w:spacing w:beforeLines="50" w:before="156"/>
        <w:jc w:val="center"/>
        <w:rPr>
          <w:rFonts w:eastAsia="黑体"/>
        </w:rPr>
      </w:pPr>
      <w:r w:rsidRPr="00775168">
        <w:rPr>
          <w:rFonts w:eastAsia="黑体" w:cs="黑体" w:hint="eastAsia"/>
        </w:rPr>
        <w:t xml:space="preserve">Table 1 Time Point Response: Subjects with Target (+/- Non-target) Lesions </w:t>
      </w:r>
    </w:p>
    <w:tbl>
      <w:tblPr>
        <w:tblW w:w="9242" w:type="dxa"/>
        <w:tblInd w:w="2" w:type="dxa"/>
        <w:tblBorders>
          <w:top w:val="single" w:sz="12" w:space="0" w:color="auto"/>
          <w:bottom w:val="single" w:sz="12" w:space="0" w:color="auto"/>
        </w:tblBorders>
        <w:tblLayout w:type="fixed"/>
        <w:tblLook w:val="04A0" w:firstRow="1" w:lastRow="0" w:firstColumn="1" w:lastColumn="0" w:noHBand="0" w:noVBand="1"/>
      </w:tblPr>
      <w:tblGrid>
        <w:gridCol w:w="2310"/>
        <w:gridCol w:w="2310"/>
        <w:gridCol w:w="2311"/>
        <w:gridCol w:w="2311"/>
      </w:tblGrid>
      <w:tr w:rsidR="00743320" w:rsidRPr="00775168">
        <w:tc>
          <w:tcPr>
            <w:tcW w:w="2310" w:type="dxa"/>
            <w:tcBorders>
              <w:top w:val="single" w:sz="8" w:space="0" w:color="auto"/>
              <w:bottom w:val="single" w:sz="8" w:space="0" w:color="auto"/>
            </w:tcBorders>
          </w:tcPr>
          <w:p w:rsidR="00743320" w:rsidRPr="00775168" w:rsidRDefault="00DF7F26">
            <w:pPr>
              <w:pStyle w:val="P68B1DB1-a057"/>
              <w:keepNext/>
              <w:rPr>
                <w:rFonts w:hint="default"/>
              </w:rPr>
            </w:pPr>
            <w:r w:rsidRPr="00775168">
              <w:t xml:space="preserve">Target lesions </w:t>
            </w:r>
          </w:p>
        </w:tc>
        <w:tc>
          <w:tcPr>
            <w:tcW w:w="2310" w:type="dxa"/>
            <w:tcBorders>
              <w:top w:val="single" w:sz="8" w:space="0" w:color="auto"/>
              <w:bottom w:val="single" w:sz="8" w:space="0" w:color="auto"/>
            </w:tcBorders>
          </w:tcPr>
          <w:p w:rsidR="00743320" w:rsidRPr="00775168" w:rsidRDefault="00DF7F26">
            <w:pPr>
              <w:pStyle w:val="P68B1DB1-a057"/>
              <w:keepNext/>
              <w:rPr>
                <w:rFonts w:hint="default"/>
              </w:rPr>
            </w:pPr>
            <w:r w:rsidRPr="00775168">
              <w:t xml:space="preserve">Non-target lesions </w:t>
            </w:r>
          </w:p>
        </w:tc>
        <w:tc>
          <w:tcPr>
            <w:tcW w:w="2311" w:type="dxa"/>
            <w:tcBorders>
              <w:top w:val="single" w:sz="8" w:space="0" w:color="auto"/>
              <w:bottom w:val="single" w:sz="8" w:space="0" w:color="auto"/>
            </w:tcBorders>
          </w:tcPr>
          <w:p w:rsidR="00743320" w:rsidRPr="00775168" w:rsidRDefault="00DF7F26">
            <w:pPr>
              <w:pStyle w:val="P68B1DB1-a057"/>
              <w:keepNext/>
              <w:rPr>
                <w:rFonts w:hint="default"/>
              </w:rPr>
            </w:pPr>
            <w:r w:rsidRPr="00775168">
              <w:t xml:space="preserve">New lesions </w:t>
            </w:r>
          </w:p>
        </w:tc>
        <w:tc>
          <w:tcPr>
            <w:tcW w:w="2311" w:type="dxa"/>
            <w:tcBorders>
              <w:top w:val="single" w:sz="8" w:space="0" w:color="auto"/>
              <w:bottom w:val="single" w:sz="8" w:space="0" w:color="auto"/>
            </w:tcBorders>
          </w:tcPr>
          <w:p w:rsidR="00743320" w:rsidRPr="00775168" w:rsidRDefault="00DF7F26">
            <w:pPr>
              <w:pStyle w:val="P68B1DB1-a057"/>
              <w:keepNext/>
              <w:rPr>
                <w:rFonts w:hint="default"/>
              </w:rPr>
            </w:pPr>
            <w:r w:rsidRPr="00775168">
              <w:t xml:space="preserve">Overall response </w:t>
            </w:r>
          </w:p>
        </w:tc>
      </w:tr>
      <w:tr w:rsidR="00743320" w:rsidRPr="00775168">
        <w:tc>
          <w:tcPr>
            <w:tcW w:w="2310" w:type="dxa"/>
            <w:tcBorders>
              <w:top w:val="single" w:sz="8" w:space="0" w:color="auto"/>
            </w:tcBorders>
          </w:tcPr>
          <w:p w:rsidR="00743320" w:rsidRPr="00775168" w:rsidRDefault="00DF7F26">
            <w:r w:rsidRPr="00775168">
              <w:t xml:space="preserve">CR </w:t>
            </w:r>
          </w:p>
        </w:tc>
        <w:tc>
          <w:tcPr>
            <w:tcW w:w="2310" w:type="dxa"/>
            <w:tcBorders>
              <w:top w:val="single" w:sz="8" w:space="0" w:color="auto"/>
            </w:tcBorders>
          </w:tcPr>
          <w:p w:rsidR="00743320" w:rsidRPr="00775168" w:rsidRDefault="00DF7F26">
            <w:r w:rsidRPr="00775168">
              <w:t xml:space="preserve">CR </w:t>
            </w:r>
          </w:p>
        </w:tc>
        <w:tc>
          <w:tcPr>
            <w:tcW w:w="2311" w:type="dxa"/>
            <w:tcBorders>
              <w:top w:val="single" w:sz="8" w:space="0" w:color="auto"/>
            </w:tcBorders>
          </w:tcPr>
          <w:p w:rsidR="00743320" w:rsidRPr="00775168" w:rsidRDefault="00DF7F26">
            <w:pPr>
              <w:pStyle w:val="P68B1DB1-a08"/>
              <w:rPr>
                <w:rFonts w:hint="default"/>
              </w:rPr>
            </w:pPr>
            <w:r w:rsidRPr="00775168">
              <w:t xml:space="preserve">Non </w:t>
            </w:r>
          </w:p>
        </w:tc>
        <w:tc>
          <w:tcPr>
            <w:tcW w:w="2311" w:type="dxa"/>
            <w:tcBorders>
              <w:top w:val="single" w:sz="8" w:space="0" w:color="auto"/>
            </w:tcBorders>
          </w:tcPr>
          <w:p w:rsidR="00743320" w:rsidRPr="00775168" w:rsidRDefault="00DF7F26">
            <w:r w:rsidRPr="00775168">
              <w:t xml:space="preserve">CR </w:t>
            </w:r>
          </w:p>
        </w:tc>
      </w:tr>
      <w:tr w:rsidR="00743320" w:rsidRPr="00775168">
        <w:tc>
          <w:tcPr>
            <w:tcW w:w="2310" w:type="dxa"/>
          </w:tcPr>
          <w:p w:rsidR="00743320" w:rsidRPr="00775168" w:rsidRDefault="00DF7F26">
            <w:r w:rsidRPr="00775168">
              <w:t xml:space="preserve">CR </w:t>
            </w:r>
          </w:p>
        </w:tc>
        <w:tc>
          <w:tcPr>
            <w:tcW w:w="2310" w:type="dxa"/>
          </w:tcPr>
          <w:p w:rsidR="00743320" w:rsidRPr="00775168" w:rsidRDefault="00DF7F26">
            <w:pPr>
              <w:pStyle w:val="P68B1DB1-a058"/>
              <w:rPr>
                <w:rFonts w:hint="default"/>
              </w:rPr>
            </w:pPr>
            <w:r w:rsidRPr="00775168">
              <w:t xml:space="preserve">Non-CR/Non-PD </w:t>
            </w:r>
          </w:p>
        </w:tc>
        <w:tc>
          <w:tcPr>
            <w:tcW w:w="2311" w:type="dxa"/>
          </w:tcPr>
          <w:p w:rsidR="00743320" w:rsidRPr="00775168" w:rsidRDefault="00DF7F26">
            <w:pPr>
              <w:pStyle w:val="P68B1DB1-a08"/>
              <w:rPr>
                <w:rFonts w:hint="default"/>
              </w:rPr>
            </w:pPr>
            <w:r w:rsidRPr="00775168">
              <w:t xml:space="preserve">Non </w:t>
            </w:r>
          </w:p>
        </w:tc>
        <w:tc>
          <w:tcPr>
            <w:tcW w:w="2311" w:type="dxa"/>
          </w:tcPr>
          <w:p w:rsidR="00743320" w:rsidRPr="00775168" w:rsidRDefault="00DF7F26">
            <w:r w:rsidRPr="00775168">
              <w:t xml:space="preserve">PR </w:t>
            </w:r>
          </w:p>
        </w:tc>
      </w:tr>
      <w:tr w:rsidR="00743320" w:rsidRPr="00775168">
        <w:tc>
          <w:tcPr>
            <w:tcW w:w="2310" w:type="dxa"/>
          </w:tcPr>
          <w:p w:rsidR="00743320" w:rsidRPr="00775168" w:rsidRDefault="00DF7F26">
            <w:r w:rsidRPr="00775168">
              <w:t xml:space="preserve">CR </w:t>
            </w:r>
          </w:p>
        </w:tc>
        <w:tc>
          <w:tcPr>
            <w:tcW w:w="2310" w:type="dxa"/>
          </w:tcPr>
          <w:p w:rsidR="00743320" w:rsidRPr="00775168" w:rsidRDefault="00DF7F26">
            <w:pPr>
              <w:pStyle w:val="P68B1DB1-a08"/>
              <w:rPr>
                <w:rFonts w:hint="default"/>
              </w:rPr>
            </w:pPr>
            <w:r w:rsidRPr="00775168">
              <w:t xml:space="preserve">Not evaluable </w:t>
            </w:r>
          </w:p>
        </w:tc>
        <w:tc>
          <w:tcPr>
            <w:tcW w:w="2311" w:type="dxa"/>
          </w:tcPr>
          <w:p w:rsidR="00743320" w:rsidRPr="00775168" w:rsidRDefault="00DF7F26">
            <w:pPr>
              <w:pStyle w:val="P68B1DB1-a08"/>
              <w:rPr>
                <w:rFonts w:hint="default"/>
              </w:rPr>
            </w:pPr>
            <w:r w:rsidRPr="00775168">
              <w:t xml:space="preserve">Non </w:t>
            </w:r>
          </w:p>
        </w:tc>
        <w:tc>
          <w:tcPr>
            <w:tcW w:w="2311" w:type="dxa"/>
          </w:tcPr>
          <w:p w:rsidR="00743320" w:rsidRPr="00775168" w:rsidRDefault="00DF7F26">
            <w:r w:rsidRPr="00775168">
              <w:t xml:space="preserve">PR </w:t>
            </w:r>
          </w:p>
        </w:tc>
      </w:tr>
      <w:tr w:rsidR="00743320" w:rsidRPr="00775168">
        <w:tc>
          <w:tcPr>
            <w:tcW w:w="2310" w:type="dxa"/>
          </w:tcPr>
          <w:p w:rsidR="00743320" w:rsidRPr="00775168" w:rsidRDefault="00DF7F26">
            <w:r w:rsidRPr="00775168">
              <w:t xml:space="preserve">PR </w:t>
            </w:r>
          </w:p>
        </w:tc>
        <w:tc>
          <w:tcPr>
            <w:tcW w:w="2310" w:type="dxa"/>
          </w:tcPr>
          <w:p w:rsidR="00743320" w:rsidRPr="00775168" w:rsidRDefault="00DF7F26">
            <w:pPr>
              <w:pStyle w:val="P68B1DB1-a08"/>
              <w:rPr>
                <w:rFonts w:hint="default"/>
              </w:rPr>
            </w:pPr>
            <w:r w:rsidRPr="00775168">
              <w:t xml:space="preserve">Non-progressive or not fully evaluable </w:t>
            </w:r>
          </w:p>
        </w:tc>
        <w:tc>
          <w:tcPr>
            <w:tcW w:w="2311" w:type="dxa"/>
          </w:tcPr>
          <w:p w:rsidR="00743320" w:rsidRPr="00775168" w:rsidRDefault="00DF7F26">
            <w:pPr>
              <w:pStyle w:val="P68B1DB1-a08"/>
              <w:rPr>
                <w:rFonts w:hint="default"/>
              </w:rPr>
            </w:pPr>
            <w:r w:rsidRPr="00775168">
              <w:t xml:space="preserve">Non </w:t>
            </w:r>
          </w:p>
        </w:tc>
        <w:tc>
          <w:tcPr>
            <w:tcW w:w="2311" w:type="dxa"/>
          </w:tcPr>
          <w:p w:rsidR="00743320" w:rsidRPr="00775168" w:rsidRDefault="00DF7F26">
            <w:r w:rsidRPr="00775168">
              <w:t xml:space="preserve">PR </w:t>
            </w:r>
          </w:p>
        </w:tc>
      </w:tr>
      <w:tr w:rsidR="00743320" w:rsidRPr="00775168">
        <w:tc>
          <w:tcPr>
            <w:tcW w:w="2310" w:type="dxa"/>
          </w:tcPr>
          <w:p w:rsidR="00743320" w:rsidRPr="00775168" w:rsidRDefault="00DF7F26">
            <w:r w:rsidRPr="00775168">
              <w:t xml:space="preserve">SD </w:t>
            </w:r>
          </w:p>
        </w:tc>
        <w:tc>
          <w:tcPr>
            <w:tcW w:w="2310" w:type="dxa"/>
          </w:tcPr>
          <w:p w:rsidR="00743320" w:rsidRPr="00775168" w:rsidRDefault="00DF7F26">
            <w:pPr>
              <w:pStyle w:val="P68B1DB1-a08"/>
              <w:rPr>
                <w:rFonts w:hint="default"/>
              </w:rPr>
            </w:pPr>
            <w:r w:rsidRPr="00775168">
              <w:t xml:space="preserve">Non-progressive or not fully evaluable </w:t>
            </w:r>
          </w:p>
        </w:tc>
        <w:tc>
          <w:tcPr>
            <w:tcW w:w="2311" w:type="dxa"/>
          </w:tcPr>
          <w:p w:rsidR="00743320" w:rsidRPr="00775168" w:rsidRDefault="00DF7F26">
            <w:pPr>
              <w:pStyle w:val="P68B1DB1-a08"/>
              <w:rPr>
                <w:rFonts w:hint="default"/>
              </w:rPr>
            </w:pPr>
            <w:r w:rsidRPr="00775168">
              <w:t xml:space="preserve">Non </w:t>
            </w:r>
          </w:p>
        </w:tc>
        <w:tc>
          <w:tcPr>
            <w:tcW w:w="2311" w:type="dxa"/>
          </w:tcPr>
          <w:p w:rsidR="00743320" w:rsidRPr="00775168" w:rsidRDefault="00DF7F26">
            <w:r w:rsidRPr="00775168">
              <w:t xml:space="preserve">SD </w:t>
            </w:r>
          </w:p>
        </w:tc>
      </w:tr>
      <w:tr w:rsidR="00743320" w:rsidRPr="00775168">
        <w:tc>
          <w:tcPr>
            <w:tcW w:w="2310" w:type="dxa"/>
          </w:tcPr>
          <w:p w:rsidR="00743320" w:rsidRPr="00775168" w:rsidRDefault="00DF7F26">
            <w:pPr>
              <w:pStyle w:val="P68B1DB1-a08"/>
              <w:rPr>
                <w:rFonts w:hint="default"/>
              </w:rPr>
            </w:pPr>
            <w:r w:rsidRPr="00775168">
              <w:t xml:space="preserve">Not all evaluated </w:t>
            </w:r>
          </w:p>
        </w:tc>
        <w:tc>
          <w:tcPr>
            <w:tcW w:w="2310" w:type="dxa"/>
          </w:tcPr>
          <w:p w:rsidR="00743320" w:rsidRPr="00775168" w:rsidRDefault="00DF7F26">
            <w:pPr>
              <w:pStyle w:val="P68B1DB1-a08"/>
              <w:rPr>
                <w:rFonts w:hint="default"/>
              </w:rPr>
            </w:pPr>
            <w:r w:rsidRPr="00775168">
              <w:t xml:space="preserve">Non-progression </w:t>
            </w:r>
          </w:p>
        </w:tc>
        <w:tc>
          <w:tcPr>
            <w:tcW w:w="2311" w:type="dxa"/>
          </w:tcPr>
          <w:p w:rsidR="00743320" w:rsidRPr="00775168" w:rsidRDefault="00DF7F26">
            <w:pPr>
              <w:pStyle w:val="P68B1DB1-a08"/>
              <w:rPr>
                <w:rFonts w:hint="default"/>
              </w:rPr>
            </w:pPr>
            <w:r w:rsidRPr="00775168">
              <w:t xml:space="preserve">Non </w:t>
            </w:r>
          </w:p>
        </w:tc>
        <w:tc>
          <w:tcPr>
            <w:tcW w:w="2311" w:type="dxa"/>
          </w:tcPr>
          <w:p w:rsidR="00743320" w:rsidRPr="00775168" w:rsidRDefault="00DF7F26">
            <w:r w:rsidRPr="00775168">
              <w:t xml:space="preserve">NE </w:t>
            </w:r>
          </w:p>
        </w:tc>
      </w:tr>
      <w:tr w:rsidR="00743320" w:rsidRPr="00775168">
        <w:tc>
          <w:tcPr>
            <w:tcW w:w="2310" w:type="dxa"/>
          </w:tcPr>
          <w:p w:rsidR="00743320" w:rsidRPr="00775168" w:rsidRDefault="00DF7F26">
            <w:r w:rsidRPr="00775168">
              <w:t xml:space="preserve">PD </w:t>
            </w:r>
          </w:p>
        </w:tc>
        <w:tc>
          <w:tcPr>
            <w:tcW w:w="2310" w:type="dxa"/>
          </w:tcPr>
          <w:p w:rsidR="00743320" w:rsidRPr="00775168" w:rsidRDefault="00DF7F26">
            <w:pPr>
              <w:pStyle w:val="P68B1DB1-a08"/>
              <w:rPr>
                <w:rFonts w:hint="default"/>
              </w:rPr>
            </w:pPr>
            <w:r w:rsidRPr="00775168">
              <w:t xml:space="preserve">Any condition </w:t>
            </w:r>
          </w:p>
        </w:tc>
        <w:tc>
          <w:tcPr>
            <w:tcW w:w="2311" w:type="dxa"/>
          </w:tcPr>
          <w:p w:rsidR="00743320" w:rsidRPr="00775168" w:rsidRDefault="00DF7F26">
            <w:pPr>
              <w:pStyle w:val="P68B1DB1-a08"/>
              <w:rPr>
                <w:rFonts w:hint="default"/>
              </w:rPr>
            </w:pPr>
            <w:r w:rsidRPr="00775168">
              <w:t xml:space="preserve">Yes or No </w:t>
            </w:r>
          </w:p>
        </w:tc>
        <w:tc>
          <w:tcPr>
            <w:tcW w:w="2311" w:type="dxa"/>
          </w:tcPr>
          <w:p w:rsidR="00743320" w:rsidRPr="00775168" w:rsidRDefault="00DF7F26">
            <w:r w:rsidRPr="00775168">
              <w:t xml:space="preserve">PD </w:t>
            </w:r>
          </w:p>
        </w:tc>
      </w:tr>
      <w:tr w:rsidR="00743320" w:rsidRPr="00775168">
        <w:tc>
          <w:tcPr>
            <w:tcW w:w="2310" w:type="dxa"/>
          </w:tcPr>
          <w:p w:rsidR="00743320" w:rsidRPr="00775168" w:rsidRDefault="00DF7F26">
            <w:pPr>
              <w:pStyle w:val="P68B1DB1-a08"/>
              <w:rPr>
                <w:rFonts w:hint="default"/>
              </w:rPr>
            </w:pPr>
            <w:r w:rsidRPr="00775168">
              <w:t xml:space="preserve">Any condition </w:t>
            </w:r>
          </w:p>
        </w:tc>
        <w:tc>
          <w:tcPr>
            <w:tcW w:w="2310" w:type="dxa"/>
          </w:tcPr>
          <w:p w:rsidR="00743320" w:rsidRPr="00775168" w:rsidRDefault="00DF7F26">
            <w:r w:rsidRPr="00775168">
              <w:t xml:space="preserve">PD </w:t>
            </w:r>
          </w:p>
        </w:tc>
        <w:tc>
          <w:tcPr>
            <w:tcW w:w="2311" w:type="dxa"/>
          </w:tcPr>
          <w:p w:rsidR="00743320" w:rsidRPr="00775168" w:rsidRDefault="00DF7F26">
            <w:pPr>
              <w:pStyle w:val="P68B1DB1-a08"/>
              <w:rPr>
                <w:rFonts w:hint="default"/>
              </w:rPr>
            </w:pPr>
            <w:r w:rsidRPr="00775168">
              <w:t xml:space="preserve">Yes or No </w:t>
            </w:r>
          </w:p>
        </w:tc>
        <w:tc>
          <w:tcPr>
            <w:tcW w:w="2311" w:type="dxa"/>
          </w:tcPr>
          <w:p w:rsidR="00743320" w:rsidRPr="00775168" w:rsidRDefault="00DF7F26">
            <w:r w:rsidRPr="00775168">
              <w:t xml:space="preserve">PD </w:t>
            </w:r>
          </w:p>
        </w:tc>
      </w:tr>
      <w:tr w:rsidR="00743320" w:rsidRPr="00775168">
        <w:tc>
          <w:tcPr>
            <w:tcW w:w="2310" w:type="dxa"/>
            <w:tcBorders>
              <w:bottom w:val="single" w:sz="8" w:space="0" w:color="auto"/>
            </w:tcBorders>
          </w:tcPr>
          <w:p w:rsidR="00743320" w:rsidRPr="00775168" w:rsidRDefault="00DF7F26">
            <w:pPr>
              <w:pStyle w:val="P68B1DB1-a08"/>
              <w:rPr>
                <w:rFonts w:hint="default"/>
              </w:rPr>
            </w:pPr>
            <w:r w:rsidRPr="00775168">
              <w:t xml:space="preserve">Any condition </w:t>
            </w:r>
          </w:p>
        </w:tc>
        <w:tc>
          <w:tcPr>
            <w:tcW w:w="2310" w:type="dxa"/>
            <w:tcBorders>
              <w:bottom w:val="single" w:sz="8" w:space="0" w:color="auto"/>
            </w:tcBorders>
          </w:tcPr>
          <w:p w:rsidR="00743320" w:rsidRPr="00775168" w:rsidRDefault="00DF7F26">
            <w:pPr>
              <w:pStyle w:val="P68B1DB1-a08"/>
              <w:rPr>
                <w:rFonts w:hint="default"/>
              </w:rPr>
            </w:pPr>
            <w:r w:rsidRPr="00775168">
              <w:t xml:space="preserve">Any condition </w:t>
            </w:r>
          </w:p>
        </w:tc>
        <w:tc>
          <w:tcPr>
            <w:tcW w:w="2311" w:type="dxa"/>
            <w:tcBorders>
              <w:bottom w:val="single" w:sz="8" w:space="0" w:color="auto"/>
            </w:tcBorders>
          </w:tcPr>
          <w:p w:rsidR="00743320" w:rsidRPr="00775168" w:rsidRDefault="00DF7F26">
            <w:pPr>
              <w:pStyle w:val="P68B1DB1-a08"/>
              <w:rPr>
                <w:rFonts w:hint="default"/>
              </w:rPr>
            </w:pPr>
            <w:r w:rsidRPr="00775168">
              <w:t xml:space="preserve">Yes </w:t>
            </w:r>
          </w:p>
        </w:tc>
        <w:tc>
          <w:tcPr>
            <w:tcW w:w="2311" w:type="dxa"/>
            <w:tcBorders>
              <w:bottom w:val="single" w:sz="8" w:space="0" w:color="auto"/>
            </w:tcBorders>
          </w:tcPr>
          <w:p w:rsidR="00743320" w:rsidRPr="00775168" w:rsidRDefault="00DF7F26">
            <w:r w:rsidRPr="00775168">
              <w:t xml:space="preserve">PD </w:t>
            </w:r>
          </w:p>
        </w:tc>
      </w:tr>
      <w:tr w:rsidR="00743320" w:rsidRPr="00775168">
        <w:tc>
          <w:tcPr>
            <w:tcW w:w="9242" w:type="dxa"/>
            <w:gridSpan w:val="4"/>
            <w:tcBorders>
              <w:top w:val="single" w:sz="8" w:space="0" w:color="auto"/>
              <w:bottom w:val="single" w:sz="8" w:space="0" w:color="auto"/>
            </w:tcBorders>
          </w:tcPr>
          <w:p w:rsidR="00743320" w:rsidRPr="00775168" w:rsidRDefault="00DF7F26">
            <w:pPr>
              <w:pStyle w:val="P68B1DB1-a058"/>
              <w:rPr>
                <w:rFonts w:hint="default"/>
              </w:rPr>
            </w:pPr>
            <w:r w:rsidRPr="00775168">
              <w:lastRenderedPageBreak/>
              <w:t xml:space="preserve">CR = complete response, PR = partial response, SD = stable disease, PD = progressive disease, NE = not evaluable </w:t>
            </w:r>
          </w:p>
        </w:tc>
      </w:tr>
    </w:tbl>
    <w:p w:rsidR="00743320" w:rsidRPr="00775168" w:rsidRDefault="00743320">
      <w:pPr>
        <w:spacing w:line="360" w:lineRule="auto"/>
        <w:ind w:firstLineChars="200" w:firstLine="480"/>
        <w:rPr>
          <w:sz w:val="24"/>
        </w:rPr>
      </w:pPr>
    </w:p>
    <w:p w:rsidR="00743320" w:rsidRPr="00775168" w:rsidRDefault="00DF7F26">
      <w:pPr>
        <w:pStyle w:val="P68B1DB1-a024"/>
        <w:spacing w:line="360" w:lineRule="auto"/>
        <w:ind w:firstLineChars="200" w:firstLine="480"/>
        <w:rPr>
          <w:rFonts w:hint="default"/>
        </w:rPr>
      </w:pPr>
      <w:r w:rsidRPr="00775168">
        <w:t xml:space="preserve">If the patient has no measurable disease (no target disease), Table 2 is to be used for assessment. </w:t>
      </w:r>
    </w:p>
    <w:p w:rsidR="00743320" w:rsidRPr="00775168" w:rsidRDefault="00DF7F26">
      <w:pPr>
        <w:spacing w:beforeLines="50" w:before="156"/>
        <w:jc w:val="center"/>
        <w:rPr>
          <w:rFonts w:eastAsia="黑体"/>
        </w:rPr>
      </w:pPr>
      <w:r w:rsidRPr="00775168">
        <w:rPr>
          <w:rFonts w:eastAsia="黑体" w:cs="黑体" w:hint="eastAsia"/>
        </w:rPr>
        <w:t xml:space="preserve">Table 2 Time point response: patients with non-target disease only </w:t>
      </w:r>
    </w:p>
    <w:tbl>
      <w:tblPr>
        <w:tblW w:w="9242" w:type="dxa"/>
        <w:tblInd w:w="2" w:type="dxa"/>
        <w:tblBorders>
          <w:top w:val="single" w:sz="4" w:space="0" w:color="auto"/>
          <w:bottom w:val="single" w:sz="4" w:space="0" w:color="auto"/>
        </w:tblBorders>
        <w:tblLayout w:type="fixed"/>
        <w:tblLook w:val="04A0" w:firstRow="1" w:lastRow="0" w:firstColumn="1" w:lastColumn="0" w:noHBand="0" w:noVBand="1"/>
      </w:tblPr>
      <w:tblGrid>
        <w:gridCol w:w="3080"/>
        <w:gridCol w:w="3081"/>
        <w:gridCol w:w="3081"/>
      </w:tblGrid>
      <w:tr w:rsidR="00743320" w:rsidRPr="00775168">
        <w:tc>
          <w:tcPr>
            <w:tcW w:w="3080" w:type="dxa"/>
            <w:tcBorders>
              <w:top w:val="single" w:sz="4" w:space="0" w:color="auto"/>
              <w:bottom w:val="single" w:sz="4" w:space="0" w:color="auto"/>
            </w:tcBorders>
            <w:vAlign w:val="center"/>
          </w:tcPr>
          <w:p w:rsidR="00743320" w:rsidRPr="00775168" w:rsidRDefault="00DF7F26">
            <w:pPr>
              <w:pStyle w:val="P68B1DB1-a057"/>
              <w:rPr>
                <w:rFonts w:hint="default"/>
              </w:rPr>
            </w:pPr>
            <w:r w:rsidRPr="00775168">
              <w:t xml:space="preserve">Non-target lesions </w:t>
            </w:r>
          </w:p>
        </w:tc>
        <w:tc>
          <w:tcPr>
            <w:tcW w:w="3081" w:type="dxa"/>
            <w:tcBorders>
              <w:top w:val="single" w:sz="4" w:space="0" w:color="auto"/>
              <w:bottom w:val="single" w:sz="4" w:space="0" w:color="auto"/>
            </w:tcBorders>
            <w:vAlign w:val="center"/>
          </w:tcPr>
          <w:p w:rsidR="00743320" w:rsidRPr="00775168" w:rsidRDefault="00DF7F26">
            <w:pPr>
              <w:pStyle w:val="P68B1DB1-a057"/>
              <w:rPr>
                <w:rFonts w:hint="default"/>
              </w:rPr>
            </w:pPr>
            <w:r w:rsidRPr="00775168">
              <w:t xml:space="preserve">New lesions </w:t>
            </w:r>
          </w:p>
        </w:tc>
        <w:tc>
          <w:tcPr>
            <w:tcW w:w="3081" w:type="dxa"/>
            <w:tcBorders>
              <w:top w:val="single" w:sz="4" w:space="0" w:color="auto"/>
              <w:bottom w:val="single" w:sz="4" w:space="0" w:color="auto"/>
            </w:tcBorders>
            <w:vAlign w:val="center"/>
          </w:tcPr>
          <w:p w:rsidR="00743320" w:rsidRPr="00775168" w:rsidRDefault="00DF7F26">
            <w:pPr>
              <w:pStyle w:val="P68B1DB1-a057"/>
              <w:rPr>
                <w:rFonts w:hint="default"/>
              </w:rPr>
            </w:pPr>
            <w:r w:rsidRPr="00775168">
              <w:t xml:space="preserve">Overall response </w:t>
            </w:r>
          </w:p>
        </w:tc>
      </w:tr>
      <w:tr w:rsidR="00743320" w:rsidRPr="00775168">
        <w:tc>
          <w:tcPr>
            <w:tcW w:w="3080" w:type="dxa"/>
            <w:tcBorders>
              <w:top w:val="single" w:sz="4" w:space="0" w:color="auto"/>
              <w:bottom w:val="nil"/>
            </w:tcBorders>
            <w:vAlign w:val="center"/>
          </w:tcPr>
          <w:p w:rsidR="00743320" w:rsidRPr="00775168" w:rsidRDefault="00DF7F26">
            <w:r w:rsidRPr="00775168">
              <w:t xml:space="preserve">CR </w:t>
            </w:r>
          </w:p>
        </w:tc>
        <w:tc>
          <w:tcPr>
            <w:tcW w:w="3081" w:type="dxa"/>
            <w:tcBorders>
              <w:top w:val="single" w:sz="4" w:space="0" w:color="auto"/>
              <w:bottom w:val="nil"/>
            </w:tcBorders>
            <w:vAlign w:val="center"/>
          </w:tcPr>
          <w:p w:rsidR="00743320" w:rsidRPr="00775168" w:rsidRDefault="00DF7F26">
            <w:pPr>
              <w:pStyle w:val="P68B1DB1-a08"/>
              <w:rPr>
                <w:rFonts w:hint="default"/>
              </w:rPr>
            </w:pPr>
            <w:r w:rsidRPr="00775168">
              <w:t xml:space="preserve">Non </w:t>
            </w:r>
          </w:p>
        </w:tc>
        <w:tc>
          <w:tcPr>
            <w:tcW w:w="3081" w:type="dxa"/>
            <w:tcBorders>
              <w:top w:val="single" w:sz="4" w:space="0" w:color="auto"/>
              <w:bottom w:val="nil"/>
            </w:tcBorders>
            <w:vAlign w:val="center"/>
          </w:tcPr>
          <w:p w:rsidR="00743320" w:rsidRPr="00775168" w:rsidRDefault="00DF7F26">
            <w:r w:rsidRPr="00775168">
              <w:t xml:space="preserve">CR </w:t>
            </w:r>
          </w:p>
        </w:tc>
      </w:tr>
      <w:tr w:rsidR="00743320" w:rsidRPr="00775168">
        <w:tc>
          <w:tcPr>
            <w:tcW w:w="3080" w:type="dxa"/>
            <w:tcBorders>
              <w:top w:val="nil"/>
              <w:bottom w:val="nil"/>
            </w:tcBorders>
            <w:vAlign w:val="center"/>
          </w:tcPr>
          <w:p w:rsidR="00743320" w:rsidRPr="00775168" w:rsidRDefault="00DF7F26">
            <w:pPr>
              <w:pStyle w:val="P68B1DB1-a058"/>
              <w:rPr>
                <w:rFonts w:hint="default"/>
              </w:rPr>
            </w:pPr>
            <w:r w:rsidRPr="00775168">
              <w:t xml:space="preserve">Non-CR or Non-PD </w:t>
            </w:r>
          </w:p>
        </w:tc>
        <w:tc>
          <w:tcPr>
            <w:tcW w:w="3081" w:type="dxa"/>
            <w:tcBorders>
              <w:top w:val="nil"/>
              <w:bottom w:val="nil"/>
            </w:tcBorders>
            <w:vAlign w:val="center"/>
          </w:tcPr>
          <w:p w:rsidR="00743320" w:rsidRPr="00775168" w:rsidRDefault="00DF7F26">
            <w:pPr>
              <w:pStyle w:val="P68B1DB1-a08"/>
              <w:rPr>
                <w:rFonts w:hint="default"/>
              </w:rPr>
            </w:pPr>
            <w:r w:rsidRPr="00775168">
              <w:t xml:space="preserve">Non </w:t>
            </w:r>
          </w:p>
        </w:tc>
        <w:tc>
          <w:tcPr>
            <w:tcW w:w="3081" w:type="dxa"/>
            <w:tcBorders>
              <w:top w:val="nil"/>
              <w:bottom w:val="nil"/>
            </w:tcBorders>
            <w:vAlign w:val="center"/>
          </w:tcPr>
          <w:p w:rsidR="00743320" w:rsidRPr="00775168" w:rsidRDefault="00DF7F26">
            <w:r w:rsidRPr="00775168">
              <w:rPr>
                <w:rFonts w:hint="eastAsia"/>
              </w:rPr>
              <w:t xml:space="preserve">Non-CR or non-PDa </w:t>
            </w:r>
          </w:p>
        </w:tc>
      </w:tr>
      <w:tr w:rsidR="00743320" w:rsidRPr="00775168">
        <w:tc>
          <w:tcPr>
            <w:tcW w:w="3080" w:type="dxa"/>
            <w:tcBorders>
              <w:top w:val="nil"/>
              <w:bottom w:val="nil"/>
            </w:tcBorders>
            <w:vAlign w:val="center"/>
          </w:tcPr>
          <w:p w:rsidR="00743320" w:rsidRPr="00775168" w:rsidRDefault="00DF7F26">
            <w:pPr>
              <w:pStyle w:val="P68B1DB1-a08"/>
              <w:rPr>
                <w:rFonts w:hint="default"/>
              </w:rPr>
            </w:pPr>
            <w:r w:rsidRPr="00775168">
              <w:t xml:space="preserve">Not all evaluated </w:t>
            </w:r>
          </w:p>
        </w:tc>
        <w:tc>
          <w:tcPr>
            <w:tcW w:w="3081" w:type="dxa"/>
            <w:tcBorders>
              <w:top w:val="nil"/>
              <w:bottom w:val="nil"/>
            </w:tcBorders>
            <w:vAlign w:val="center"/>
          </w:tcPr>
          <w:p w:rsidR="00743320" w:rsidRPr="00775168" w:rsidRDefault="00DF7F26">
            <w:pPr>
              <w:pStyle w:val="P68B1DB1-a08"/>
              <w:rPr>
                <w:rFonts w:hint="default"/>
              </w:rPr>
            </w:pPr>
            <w:r w:rsidRPr="00775168">
              <w:t xml:space="preserve">Non </w:t>
            </w:r>
          </w:p>
        </w:tc>
        <w:tc>
          <w:tcPr>
            <w:tcW w:w="3081" w:type="dxa"/>
            <w:tcBorders>
              <w:top w:val="nil"/>
              <w:bottom w:val="nil"/>
            </w:tcBorders>
            <w:vAlign w:val="center"/>
          </w:tcPr>
          <w:p w:rsidR="00743320" w:rsidRPr="00775168" w:rsidRDefault="00DF7F26">
            <w:pPr>
              <w:pStyle w:val="P68B1DB1-a08"/>
              <w:rPr>
                <w:rFonts w:hint="default"/>
              </w:rPr>
            </w:pPr>
            <w:r w:rsidRPr="00775168">
              <w:t xml:space="preserve">Not evaluable </w:t>
            </w:r>
          </w:p>
        </w:tc>
      </w:tr>
      <w:tr w:rsidR="00743320" w:rsidRPr="00775168">
        <w:tc>
          <w:tcPr>
            <w:tcW w:w="3080" w:type="dxa"/>
            <w:tcBorders>
              <w:top w:val="nil"/>
              <w:bottom w:val="nil"/>
            </w:tcBorders>
            <w:vAlign w:val="center"/>
          </w:tcPr>
          <w:p w:rsidR="00743320" w:rsidRPr="00775168" w:rsidRDefault="00DF7F26">
            <w:pPr>
              <w:pStyle w:val="P68B1DB1-a058"/>
              <w:rPr>
                <w:rFonts w:hint="default"/>
              </w:rPr>
            </w:pPr>
            <w:r w:rsidRPr="00775168">
              <w:t xml:space="preserve">Unequivocal PD </w:t>
            </w:r>
          </w:p>
        </w:tc>
        <w:tc>
          <w:tcPr>
            <w:tcW w:w="3081" w:type="dxa"/>
            <w:tcBorders>
              <w:top w:val="nil"/>
              <w:bottom w:val="nil"/>
            </w:tcBorders>
            <w:vAlign w:val="center"/>
          </w:tcPr>
          <w:p w:rsidR="00743320" w:rsidRPr="00775168" w:rsidRDefault="00DF7F26">
            <w:pPr>
              <w:pStyle w:val="P68B1DB1-a08"/>
              <w:rPr>
                <w:rFonts w:hint="default"/>
              </w:rPr>
            </w:pPr>
            <w:r w:rsidRPr="00775168">
              <w:t xml:space="preserve">Yes or No </w:t>
            </w:r>
          </w:p>
        </w:tc>
        <w:tc>
          <w:tcPr>
            <w:tcW w:w="3081" w:type="dxa"/>
            <w:tcBorders>
              <w:top w:val="nil"/>
              <w:bottom w:val="nil"/>
            </w:tcBorders>
            <w:vAlign w:val="center"/>
          </w:tcPr>
          <w:p w:rsidR="00743320" w:rsidRPr="00775168" w:rsidRDefault="00DF7F26">
            <w:r w:rsidRPr="00775168">
              <w:t xml:space="preserve">PD </w:t>
            </w:r>
          </w:p>
        </w:tc>
      </w:tr>
      <w:tr w:rsidR="00743320" w:rsidRPr="00775168">
        <w:tc>
          <w:tcPr>
            <w:tcW w:w="3080" w:type="dxa"/>
            <w:tcBorders>
              <w:top w:val="nil"/>
              <w:bottom w:val="single" w:sz="4" w:space="0" w:color="auto"/>
            </w:tcBorders>
            <w:vAlign w:val="center"/>
          </w:tcPr>
          <w:p w:rsidR="00743320" w:rsidRPr="00775168" w:rsidRDefault="00DF7F26">
            <w:pPr>
              <w:pStyle w:val="P68B1DB1-a08"/>
              <w:rPr>
                <w:rFonts w:hint="default"/>
              </w:rPr>
            </w:pPr>
            <w:r w:rsidRPr="00775168">
              <w:t xml:space="preserve">Any condition </w:t>
            </w:r>
          </w:p>
        </w:tc>
        <w:tc>
          <w:tcPr>
            <w:tcW w:w="3081" w:type="dxa"/>
            <w:tcBorders>
              <w:top w:val="nil"/>
              <w:bottom w:val="single" w:sz="4" w:space="0" w:color="auto"/>
            </w:tcBorders>
            <w:vAlign w:val="center"/>
          </w:tcPr>
          <w:p w:rsidR="00743320" w:rsidRPr="00775168" w:rsidRDefault="00DF7F26">
            <w:pPr>
              <w:pStyle w:val="P68B1DB1-a08"/>
              <w:rPr>
                <w:rFonts w:hint="default"/>
              </w:rPr>
            </w:pPr>
            <w:r w:rsidRPr="00775168">
              <w:t xml:space="preserve">Yes </w:t>
            </w:r>
          </w:p>
        </w:tc>
        <w:tc>
          <w:tcPr>
            <w:tcW w:w="3081" w:type="dxa"/>
            <w:tcBorders>
              <w:top w:val="nil"/>
              <w:bottom w:val="single" w:sz="4" w:space="0" w:color="auto"/>
            </w:tcBorders>
            <w:vAlign w:val="center"/>
          </w:tcPr>
          <w:p w:rsidR="00743320" w:rsidRPr="00775168" w:rsidRDefault="00DF7F26">
            <w:r w:rsidRPr="00775168">
              <w:t xml:space="preserve">PD </w:t>
            </w:r>
          </w:p>
        </w:tc>
      </w:tr>
      <w:tr w:rsidR="00743320" w:rsidRPr="00775168">
        <w:tc>
          <w:tcPr>
            <w:tcW w:w="9242" w:type="dxa"/>
            <w:gridSpan w:val="3"/>
            <w:tcBorders>
              <w:top w:val="single" w:sz="4" w:space="0" w:color="auto"/>
              <w:bottom w:val="single" w:sz="4" w:space="0" w:color="auto"/>
            </w:tcBorders>
            <w:vAlign w:val="center"/>
          </w:tcPr>
          <w:p w:rsidR="00743320" w:rsidRPr="00775168" w:rsidRDefault="00DF7F26">
            <w:pPr>
              <w:pStyle w:val="P68B1DB1-a058"/>
              <w:rPr>
                <w:rFonts w:hint="default"/>
              </w:rPr>
            </w:pPr>
            <w:r w:rsidRPr="00775168">
              <w:t xml:space="preserve">A: 'Non-CR/non-PD' is preferred over 'stable disease' for non-target lesions. Since SD is increasingly used as endpoint for assessment of efficacy in some trials so to assign this category when no lesions can be measured is not advised. </w:t>
            </w:r>
          </w:p>
        </w:tc>
      </w:tr>
    </w:tbl>
    <w:p w:rsidR="00743320" w:rsidRPr="00775168" w:rsidRDefault="00743320">
      <w:pPr>
        <w:spacing w:line="360" w:lineRule="auto"/>
        <w:ind w:firstLineChars="200" w:firstLine="480"/>
        <w:rPr>
          <w:sz w:val="24"/>
        </w:rPr>
      </w:pPr>
    </w:p>
    <w:p w:rsidR="00743320" w:rsidRPr="00775168" w:rsidRDefault="00DF7F26">
      <w:pPr>
        <w:pStyle w:val="P68B1DB1-a09"/>
        <w:numPr>
          <w:ilvl w:val="2"/>
          <w:numId w:val="34"/>
        </w:numPr>
        <w:spacing w:line="360" w:lineRule="auto"/>
        <w:rPr>
          <w:rFonts w:hint="default"/>
        </w:rPr>
      </w:pPr>
      <w:r w:rsidRPr="00775168">
        <w:t xml:space="preserve">Missing Assessments and Non-evaluable Designation </w:t>
      </w:r>
    </w:p>
    <w:p w:rsidR="00743320" w:rsidRPr="00775168" w:rsidRDefault="00DF7F26">
      <w:pPr>
        <w:pStyle w:val="P68B1DB1-a024"/>
        <w:spacing w:line="360" w:lineRule="auto"/>
        <w:ind w:firstLineChars="200" w:firstLine="480"/>
        <w:rPr>
          <w:rFonts w:hint="default"/>
        </w:rPr>
      </w:pPr>
      <w:r w:rsidRPr="00775168">
        <w:t xml:space="preserve">If no imaging/measurement is done at all at a particular time point, the patient is not evaluable (NE) at that time point. If only a subset of lesion measurements is made at an assessment, usually the case is also considered NE at that time point, unless a convincing argument can be made that the contribution of the individual missing lesion (s) would not change the assigned time point response. This is likely to occur in the setting of disease progression. For example, if a patient had three lesions with a sum of 50 mm at baseline and at follow-up only two lesions were evaluable with a sum of 80 mm, the patient will be evaluated as PD, regardless of the contribution of the missing lesion. </w:t>
      </w:r>
    </w:p>
    <w:p w:rsidR="00743320" w:rsidRPr="00775168" w:rsidRDefault="00DF7F26">
      <w:pPr>
        <w:pStyle w:val="P68B1DB1-a09"/>
        <w:numPr>
          <w:ilvl w:val="2"/>
          <w:numId w:val="34"/>
        </w:numPr>
        <w:spacing w:line="360" w:lineRule="auto"/>
        <w:rPr>
          <w:rFonts w:hint="default"/>
        </w:rPr>
      </w:pPr>
      <w:r w:rsidRPr="00775168">
        <w:t xml:space="preserve">Best overall response: all time points </w:t>
      </w:r>
    </w:p>
    <w:p w:rsidR="00743320" w:rsidRPr="00775168" w:rsidRDefault="00DF7F26">
      <w:pPr>
        <w:pStyle w:val="P68B1DB1-a09"/>
        <w:spacing w:line="360" w:lineRule="auto"/>
        <w:ind w:firstLineChars="200" w:firstLine="480"/>
        <w:rPr>
          <w:rFonts w:hint="default"/>
        </w:rPr>
      </w:pPr>
      <w:r w:rsidRPr="00775168">
        <w:t xml:space="preserve">The best overall response is determined once all the data for the patient is known. </w:t>
      </w:r>
    </w:p>
    <w:p w:rsidR="00743320" w:rsidRPr="00775168" w:rsidRDefault="00DF7F26">
      <w:pPr>
        <w:pStyle w:val="P68B1DB1-a024"/>
        <w:spacing w:line="360" w:lineRule="auto"/>
        <w:ind w:firstLineChars="200" w:firstLine="480"/>
        <w:rPr>
          <w:rFonts w:hint="default"/>
        </w:rPr>
      </w:pPr>
      <w:r w:rsidRPr="00775168">
        <w:t xml:space="preserve">Best response determination in trials where confirmation of complete or partial response IS NOT required: Best response in these trials is defined as the best response across all time points (for example, a patient who has SD at first assessment, PR at second assessment, and PD on last assessment has a best overall response of PR). When SD is believed to be best response, it must also meet the protocol-specified minimum time from baseline. If the minimum time is not met when SD is otherwise the best time point response, the patient's best response is regarded as the subsequent assessments. For example, a patient who has SD at first assessment, PD at second assessment but does not meet minimum duration for SD, will have a best overall response of PD. The same patient lost to follow-up after the first SD assessment will be considered not evaluable. </w:t>
      </w:r>
    </w:p>
    <w:p w:rsidR="00743320" w:rsidRPr="00775168" w:rsidRDefault="00DF7F26">
      <w:pPr>
        <w:pStyle w:val="P68B1DB1-a024"/>
        <w:spacing w:line="360" w:lineRule="auto"/>
        <w:ind w:firstLineChars="200" w:firstLine="480"/>
        <w:rPr>
          <w:rFonts w:hint="default"/>
        </w:rPr>
      </w:pPr>
      <w:r w:rsidRPr="00775168">
        <w:t xml:space="preserve">Best response determination in trials where confirmation of complete or partial response IS required: Complete or partial responses may be claimed only if the criteria for each are met at a subsequent time point </w:t>
      </w:r>
      <w:r w:rsidRPr="00775168">
        <w:lastRenderedPageBreak/>
        <w:t xml:space="preserve">as specified in the protocol (generally 4 weeks later). In this case, the description of the best overall response 3. </w:t>
      </w:r>
    </w:p>
    <w:p w:rsidR="00743320" w:rsidRPr="00775168" w:rsidRDefault="00DF7F26">
      <w:pPr>
        <w:jc w:val="center"/>
        <w:rPr>
          <w:rFonts w:eastAsia="黑体"/>
        </w:rPr>
      </w:pPr>
      <w:r w:rsidRPr="00775168">
        <w:rPr>
          <w:rFonts w:eastAsia="黑体" w:cs="黑体" w:hint="eastAsia"/>
        </w:rPr>
        <w:t xml:space="preserve">Table 3 Best overall response when confirmation of CR and PR required </w:t>
      </w:r>
    </w:p>
    <w:tbl>
      <w:tblPr>
        <w:tblW w:w="924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3"/>
        <w:gridCol w:w="2323"/>
        <w:gridCol w:w="4386"/>
      </w:tblGrid>
      <w:tr w:rsidR="00743320" w:rsidRPr="00775168">
        <w:tc>
          <w:tcPr>
            <w:tcW w:w="2533" w:type="dxa"/>
            <w:tcBorders>
              <w:top w:val="single" w:sz="8" w:space="0" w:color="auto"/>
              <w:left w:val="nil"/>
              <w:bottom w:val="single" w:sz="8" w:space="0" w:color="auto"/>
              <w:right w:val="nil"/>
            </w:tcBorders>
            <w:vAlign w:val="center"/>
          </w:tcPr>
          <w:p w:rsidR="00743320" w:rsidRPr="00775168" w:rsidRDefault="00DF7F26">
            <w:pPr>
              <w:pStyle w:val="P68B1DB1-a057"/>
              <w:rPr>
                <w:rFonts w:hint="default"/>
              </w:rPr>
            </w:pPr>
            <w:r w:rsidRPr="00775168">
              <w:t xml:space="preserve">Overall response at first time point </w:t>
            </w:r>
          </w:p>
        </w:tc>
        <w:tc>
          <w:tcPr>
            <w:tcW w:w="2323" w:type="dxa"/>
            <w:tcBorders>
              <w:top w:val="single" w:sz="8" w:space="0" w:color="auto"/>
              <w:left w:val="nil"/>
              <w:bottom w:val="single" w:sz="8" w:space="0" w:color="auto"/>
              <w:right w:val="nil"/>
            </w:tcBorders>
            <w:vAlign w:val="center"/>
          </w:tcPr>
          <w:p w:rsidR="00743320" w:rsidRPr="00775168" w:rsidRDefault="00DF7F26">
            <w:pPr>
              <w:pStyle w:val="P68B1DB1-a057"/>
              <w:rPr>
                <w:rFonts w:hint="default"/>
              </w:rPr>
            </w:pPr>
            <w:r w:rsidRPr="00775168">
              <w:t xml:space="preserve">Overall response at later time points </w:t>
            </w:r>
          </w:p>
        </w:tc>
        <w:tc>
          <w:tcPr>
            <w:tcW w:w="4386" w:type="dxa"/>
            <w:tcBorders>
              <w:top w:val="single" w:sz="8" w:space="0" w:color="auto"/>
              <w:left w:val="nil"/>
              <w:bottom w:val="single" w:sz="8" w:space="0" w:color="auto"/>
              <w:right w:val="nil"/>
            </w:tcBorders>
            <w:vAlign w:val="center"/>
          </w:tcPr>
          <w:p w:rsidR="00743320" w:rsidRPr="00775168" w:rsidRDefault="00DF7F26">
            <w:pPr>
              <w:pStyle w:val="P68B1DB1-a057"/>
              <w:rPr>
                <w:rFonts w:hint="default"/>
              </w:rPr>
            </w:pPr>
            <w:r w:rsidRPr="00775168">
              <w:t xml:space="preserve">Best overall response </w:t>
            </w:r>
          </w:p>
        </w:tc>
      </w:tr>
      <w:tr w:rsidR="00743320" w:rsidRPr="00775168">
        <w:tc>
          <w:tcPr>
            <w:tcW w:w="2533" w:type="dxa"/>
            <w:tcBorders>
              <w:top w:val="single" w:sz="8" w:space="0" w:color="auto"/>
              <w:left w:val="nil"/>
              <w:bottom w:val="nil"/>
              <w:right w:val="nil"/>
            </w:tcBorders>
            <w:vAlign w:val="center"/>
          </w:tcPr>
          <w:p w:rsidR="00743320" w:rsidRPr="00775168" w:rsidRDefault="00DF7F26">
            <w:r w:rsidRPr="00775168">
              <w:t xml:space="preserve">CR </w:t>
            </w:r>
          </w:p>
        </w:tc>
        <w:tc>
          <w:tcPr>
            <w:tcW w:w="2323" w:type="dxa"/>
            <w:tcBorders>
              <w:top w:val="single" w:sz="8" w:space="0" w:color="auto"/>
              <w:left w:val="nil"/>
              <w:bottom w:val="nil"/>
              <w:right w:val="nil"/>
            </w:tcBorders>
            <w:vAlign w:val="center"/>
          </w:tcPr>
          <w:p w:rsidR="00743320" w:rsidRPr="00775168" w:rsidRDefault="00DF7F26">
            <w:pPr>
              <w:jc w:val="center"/>
            </w:pPr>
            <w:r w:rsidRPr="00775168">
              <w:t xml:space="preserve">CR </w:t>
            </w:r>
          </w:p>
        </w:tc>
        <w:tc>
          <w:tcPr>
            <w:tcW w:w="4386" w:type="dxa"/>
            <w:tcBorders>
              <w:top w:val="single" w:sz="8" w:space="0" w:color="auto"/>
              <w:left w:val="nil"/>
              <w:bottom w:val="nil"/>
              <w:right w:val="nil"/>
            </w:tcBorders>
            <w:vAlign w:val="center"/>
          </w:tcPr>
          <w:p w:rsidR="00743320" w:rsidRPr="00775168" w:rsidRDefault="00DF7F26">
            <w:r w:rsidRPr="00775168">
              <w:t xml:space="preserve">CR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CR </w:t>
            </w:r>
          </w:p>
        </w:tc>
        <w:tc>
          <w:tcPr>
            <w:tcW w:w="2323" w:type="dxa"/>
            <w:tcBorders>
              <w:top w:val="nil"/>
              <w:left w:val="nil"/>
              <w:bottom w:val="nil"/>
              <w:right w:val="nil"/>
            </w:tcBorders>
            <w:vAlign w:val="center"/>
          </w:tcPr>
          <w:p w:rsidR="00743320" w:rsidRPr="00775168" w:rsidRDefault="00DF7F26">
            <w:pPr>
              <w:jc w:val="center"/>
            </w:pPr>
            <w:r w:rsidRPr="00775168">
              <w:t xml:space="preserve">PR </w:t>
            </w:r>
          </w:p>
        </w:tc>
        <w:tc>
          <w:tcPr>
            <w:tcW w:w="4386" w:type="dxa"/>
            <w:tcBorders>
              <w:top w:val="nil"/>
              <w:left w:val="nil"/>
              <w:bottom w:val="nil"/>
              <w:right w:val="nil"/>
            </w:tcBorders>
            <w:vAlign w:val="center"/>
          </w:tcPr>
          <w:p w:rsidR="00743320" w:rsidRPr="00775168" w:rsidRDefault="00DF7F26">
            <w:r w:rsidRPr="00775168">
              <w:rPr>
                <w:rFonts w:hint="eastAsia"/>
              </w:rPr>
              <w:t xml:space="preserve">SD, PD or PRa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CR </w:t>
            </w:r>
          </w:p>
        </w:tc>
        <w:tc>
          <w:tcPr>
            <w:tcW w:w="2323" w:type="dxa"/>
            <w:tcBorders>
              <w:top w:val="nil"/>
              <w:left w:val="nil"/>
              <w:bottom w:val="nil"/>
              <w:right w:val="nil"/>
            </w:tcBorders>
            <w:vAlign w:val="center"/>
          </w:tcPr>
          <w:p w:rsidR="00743320" w:rsidRPr="00775168" w:rsidRDefault="00DF7F26">
            <w:pPr>
              <w:jc w:val="center"/>
            </w:pPr>
            <w:r w:rsidRPr="00775168">
              <w:t xml:space="preserve">SD </w:t>
            </w:r>
          </w:p>
        </w:tc>
        <w:tc>
          <w:tcPr>
            <w:tcW w:w="4386" w:type="dxa"/>
            <w:tcBorders>
              <w:top w:val="nil"/>
              <w:left w:val="nil"/>
              <w:bottom w:val="nil"/>
              <w:right w:val="nil"/>
            </w:tcBorders>
            <w:vAlign w:val="center"/>
          </w:tcPr>
          <w:p w:rsidR="00743320" w:rsidRPr="00775168" w:rsidRDefault="00DF7F26">
            <w:pPr>
              <w:pStyle w:val="P68B1DB1-a058"/>
              <w:rPr>
                <w:rFonts w:hint="default"/>
              </w:rPr>
            </w:pPr>
            <w:r w:rsidRPr="00775168">
              <w:t xml:space="preserve">SD provided minimum criteria for SD duration met, otherwise PD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CR </w:t>
            </w:r>
          </w:p>
        </w:tc>
        <w:tc>
          <w:tcPr>
            <w:tcW w:w="2323" w:type="dxa"/>
            <w:tcBorders>
              <w:top w:val="nil"/>
              <w:left w:val="nil"/>
              <w:bottom w:val="nil"/>
              <w:right w:val="nil"/>
            </w:tcBorders>
            <w:vAlign w:val="center"/>
          </w:tcPr>
          <w:p w:rsidR="00743320" w:rsidRPr="00775168" w:rsidRDefault="00DF7F26">
            <w:pPr>
              <w:jc w:val="center"/>
            </w:pPr>
            <w:r w:rsidRPr="00775168">
              <w:t xml:space="preserve">PD </w:t>
            </w:r>
          </w:p>
        </w:tc>
        <w:tc>
          <w:tcPr>
            <w:tcW w:w="4386" w:type="dxa"/>
            <w:tcBorders>
              <w:top w:val="nil"/>
              <w:left w:val="nil"/>
              <w:bottom w:val="nil"/>
              <w:right w:val="nil"/>
            </w:tcBorders>
            <w:vAlign w:val="center"/>
          </w:tcPr>
          <w:p w:rsidR="00743320" w:rsidRPr="00775168" w:rsidRDefault="00DF7F26">
            <w:pPr>
              <w:pStyle w:val="P68B1DB1-a058"/>
              <w:rPr>
                <w:rFonts w:hint="default"/>
              </w:rPr>
            </w:pPr>
            <w:r w:rsidRPr="00775168">
              <w:t xml:space="preserve">SD provided minimum criteria for SD duration met, otherwise PD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CR </w:t>
            </w:r>
          </w:p>
        </w:tc>
        <w:tc>
          <w:tcPr>
            <w:tcW w:w="2323" w:type="dxa"/>
            <w:tcBorders>
              <w:top w:val="nil"/>
              <w:left w:val="nil"/>
              <w:bottom w:val="nil"/>
              <w:right w:val="nil"/>
            </w:tcBorders>
            <w:vAlign w:val="center"/>
          </w:tcPr>
          <w:p w:rsidR="00743320" w:rsidRPr="00775168" w:rsidRDefault="00DF7F26">
            <w:pPr>
              <w:jc w:val="center"/>
            </w:pPr>
            <w:r w:rsidRPr="00775168">
              <w:t xml:space="preserve">NE </w:t>
            </w:r>
          </w:p>
        </w:tc>
        <w:tc>
          <w:tcPr>
            <w:tcW w:w="4386" w:type="dxa"/>
            <w:tcBorders>
              <w:top w:val="nil"/>
              <w:left w:val="nil"/>
              <w:bottom w:val="nil"/>
              <w:right w:val="nil"/>
            </w:tcBorders>
            <w:vAlign w:val="center"/>
          </w:tcPr>
          <w:p w:rsidR="00743320" w:rsidRPr="00775168" w:rsidRDefault="00DF7F26">
            <w:pPr>
              <w:pStyle w:val="P68B1DB1-a058"/>
              <w:rPr>
                <w:rFonts w:hint="default"/>
              </w:rPr>
            </w:pPr>
            <w:r w:rsidRPr="00775168">
              <w:t xml:space="preserve">SD provided minimum criteria for SD duration met, otherwise NE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PR </w:t>
            </w:r>
          </w:p>
        </w:tc>
        <w:tc>
          <w:tcPr>
            <w:tcW w:w="2323" w:type="dxa"/>
            <w:tcBorders>
              <w:top w:val="nil"/>
              <w:left w:val="nil"/>
              <w:bottom w:val="nil"/>
              <w:right w:val="nil"/>
            </w:tcBorders>
            <w:vAlign w:val="center"/>
          </w:tcPr>
          <w:p w:rsidR="00743320" w:rsidRPr="00775168" w:rsidRDefault="00DF7F26">
            <w:pPr>
              <w:jc w:val="center"/>
            </w:pPr>
            <w:r w:rsidRPr="00775168">
              <w:t xml:space="preserve">CR </w:t>
            </w:r>
          </w:p>
        </w:tc>
        <w:tc>
          <w:tcPr>
            <w:tcW w:w="4386" w:type="dxa"/>
            <w:tcBorders>
              <w:top w:val="nil"/>
              <w:left w:val="nil"/>
              <w:bottom w:val="nil"/>
              <w:right w:val="nil"/>
            </w:tcBorders>
            <w:vAlign w:val="center"/>
          </w:tcPr>
          <w:p w:rsidR="00743320" w:rsidRPr="00775168" w:rsidRDefault="00DF7F26">
            <w:r w:rsidRPr="00775168">
              <w:t xml:space="preserve">PR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PR </w:t>
            </w:r>
          </w:p>
        </w:tc>
        <w:tc>
          <w:tcPr>
            <w:tcW w:w="2323" w:type="dxa"/>
            <w:tcBorders>
              <w:top w:val="nil"/>
              <w:left w:val="nil"/>
              <w:bottom w:val="nil"/>
              <w:right w:val="nil"/>
            </w:tcBorders>
            <w:vAlign w:val="center"/>
          </w:tcPr>
          <w:p w:rsidR="00743320" w:rsidRPr="00775168" w:rsidRDefault="00DF7F26">
            <w:pPr>
              <w:jc w:val="center"/>
            </w:pPr>
            <w:r w:rsidRPr="00775168">
              <w:t xml:space="preserve">PR </w:t>
            </w:r>
          </w:p>
        </w:tc>
        <w:tc>
          <w:tcPr>
            <w:tcW w:w="4386" w:type="dxa"/>
            <w:tcBorders>
              <w:top w:val="nil"/>
              <w:left w:val="nil"/>
              <w:bottom w:val="nil"/>
              <w:right w:val="nil"/>
            </w:tcBorders>
            <w:vAlign w:val="center"/>
          </w:tcPr>
          <w:p w:rsidR="00743320" w:rsidRPr="00775168" w:rsidRDefault="00DF7F26">
            <w:r w:rsidRPr="00775168">
              <w:t xml:space="preserve">PR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PR </w:t>
            </w:r>
          </w:p>
        </w:tc>
        <w:tc>
          <w:tcPr>
            <w:tcW w:w="2323" w:type="dxa"/>
            <w:tcBorders>
              <w:top w:val="nil"/>
              <w:left w:val="nil"/>
              <w:bottom w:val="nil"/>
              <w:right w:val="nil"/>
            </w:tcBorders>
            <w:vAlign w:val="center"/>
          </w:tcPr>
          <w:p w:rsidR="00743320" w:rsidRPr="00775168" w:rsidRDefault="00DF7F26">
            <w:pPr>
              <w:jc w:val="center"/>
            </w:pPr>
            <w:r w:rsidRPr="00775168">
              <w:t xml:space="preserve">SD </w:t>
            </w:r>
          </w:p>
        </w:tc>
        <w:tc>
          <w:tcPr>
            <w:tcW w:w="4386" w:type="dxa"/>
            <w:tcBorders>
              <w:top w:val="nil"/>
              <w:left w:val="nil"/>
              <w:bottom w:val="nil"/>
              <w:right w:val="nil"/>
            </w:tcBorders>
            <w:vAlign w:val="center"/>
          </w:tcPr>
          <w:p w:rsidR="00743320" w:rsidRPr="00775168" w:rsidRDefault="00DF7F26">
            <w:r w:rsidRPr="00775168">
              <w:t xml:space="preserve">SD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PR </w:t>
            </w:r>
          </w:p>
        </w:tc>
        <w:tc>
          <w:tcPr>
            <w:tcW w:w="2323" w:type="dxa"/>
            <w:tcBorders>
              <w:top w:val="nil"/>
              <w:left w:val="nil"/>
              <w:bottom w:val="nil"/>
              <w:right w:val="nil"/>
            </w:tcBorders>
            <w:vAlign w:val="center"/>
          </w:tcPr>
          <w:p w:rsidR="00743320" w:rsidRPr="00775168" w:rsidRDefault="00DF7F26">
            <w:pPr>
              <w:jc w:val="center"/>
            </w:pPr>
            <w:r w:rsidRPr="00775168">
              <w:t xml:space="preserve">PD </w:t>
            </w:r>
          </w:p>
        </w:tc>
        <w:tc>
          <w:tcPr>
            <w:tcW w:w="4386" w:type="dxa"/>
            <w:tcBorders>
              <w:top w:val="nil"/>
              <w:left w:val="nil"/>
              <w:bottom w:val="nil"/>
              <w:right w:val="nil"/>
            </w:tcBorders>
            <w:vAlign w:val="center"/>
          </w:tcPr>
          <w:p w:rsidR="00743320" w:rsidRPr="00775168" w:rsidRDefault="00DF7F26">
            <w:pPr>
              <w:pStyle w:val="P68B1DB1-a058"/>
              <w:rPr>
                <w:rFonts w:hint="default"/>
              </w:rPr>
            </w:pPr>
            <w:r w:rsidRPr="00775168">
              <w:t xml:space="preserve">SD provided minimum criteria for SD duration met, otherwise PD </w:t>
            </w:r>
          </w:p>
        </w:tc>
      </w:tr>
      <w:tr w:rsidR="00743320" w:rsidRPr="00775168">
        <w:tc>
          <w:tcPr>
            <w:tcW w:w="2533" w:type="dxa"/>
            <w:tcBorders>
              <w:top w:val="nil"/>
              <w:left w:val="nil"/>
              <w:bottom w:val="nil"/>
              <w:right w:val="nil"/>
            </w:tcBorders>
            <w:vAlign w:val="center"/>
          </w:tcPr>
          <w:p w:rsidR="00743320" w:rsidRPr="00775168" w:rsidRDefault="00DF7F26">
            <w:r w:rsidRPr="00775168">
              <w:t xml:space="preserve">PR </w:t>
            </w:r>
          </w:p>
        </w:tc>
        <w:tc>
          <w:tcPr>
            <w:tcW w:w="2323" w:type="dxa"/>
            <w:tcBorders>
              <w:top w:val="nil"/>
              <w:left w:val="nil"/>
              <w:bottom w:val="nil"/>
              <w:right w:val="nil"/>
            </w:tcBorders>
            <w:vAlign w:val="center"/>
          </w:tcPr>
          <w:p w:rsidR="00743320" w:rsidRPr="00775168" w:rsidRDefault="00DF7F26">
            <w:pPr>
              <w:jc w:val="center"/>
            </w:pPr>
            <w:r w:rsidRPr="00775168">
              <w:t xml:space="preserve">NE </w:t>
            </w:r>
          </w:p>
        </w:tc>
        <w:tc>
          <w:tcPr>
            <w:tcW w:w="4386" w:type="dxa"/>
            <w:tcBorders>
              <w:top w:val="nil"/>
              <w:left w:val="nil"/>
              <w:bottom w:val="nil"/>
              <w:right w:val="nil"/>
            </w:tcBorders>
            <w:vAlign w:val="center"/>
          </w:tcPr>
          <w:p w:rsidR="00743320" w:rsidRPr="00775168" w:rsidRDefault="00DF7F26">
            <w:pPr>
              <w:pStyle w:val="P68B1DB1-a058"/>
              <w:rPr>
                <w:rFonts w:hint="default"/>
              </w:rPr>
            </w:pPr>
            <w:r w:rsidRPr="00775168">
              <w:t xml:space="preserve">SD provided minimum criteria for SD duration met, otherwise NE </w:t>
            </w:r>
          </w:p>
        </w:tc>
      </w:tr>
      <w:tr w:rsidR="00743320" w:rsidRPr="00775168">
        <w:tc>
          <w:tcPr>
            <w:tcW w:w="2533" w:type="dxa"/>
            <w:tcBorders>
              <w:top w:val="nil"/>
              <w:left w:val="nil"/>
              <w:bottom w:val="single" w:sz="8" w:space="0" w:color="auto"/>
              <w:right w:val="nil"/>
            </w:tcBorders>
            <w:vAlign w:val="center"/>
          </w:tcPr>
          <w:p w:rsidR="00743320" w:rsidRPr="00775168" w:rsidRDefault="00DF7F26">
            <w:r w:rsidRPr="00775168">
              <w:t xml:space="preserve">NE </w:t>
            </w:r>
          </w:p>
        </w:tc>
        <w:tc>
          <w:tcPr>
            <w:tcW w:w="2323" w:type="dxa"/>
            <w:tcBorders>
              <w:top w:val="nil"/>
              <w:left w:val="nil"/>
              <w:bottom w:val="single" w:sz="8" w:space="0" w:color="auto"/>
              <w:right w:val="nil"/>
            </w:tcBorders>
            <w:vAlign w:val="center"/>
          </w:tcPr>
          <w:p w:rsidR="00743320" w:rsidRPr="00775168" w:rsidRDefault="00DF7F26">
            <w:pPr>
              <w:jc w:val="center"/>
            </w:pPr>
            <w:r w:rsidRPr="00775168">
              <w:t xml:space="preserve">NE </w:t>
            </w:r>
          </w:p>
        </w:tc>
        <w:tc>
          <w:tcPr>
            <w:tcW w:w="4386" w:type="dxa"/>
            <w:tcBorders>
              <w:top w:val="nil"/>
              <w:left w:val="nil"/>
              <w:bottom w:val="single" w:sz="8" w:space="0" w:color="auto"/>
              <w:right w:val="nil"/>
            </w:tcBorders>
            <w:vAlign w:val="center"/>
          </w:tcPr>
          <w:p w:rsidR="00743320" w:rsidRPr="00775168" w:rsidRDefault="00DF7F26">
            <w:r w:rsidRPr="00775168">
              <w:t xml:space="preserve">NE </w:t>
            </w:r>
          </w:p>
        </w:tc>
      </w:tr>
      <w:tr w:rsidR="00743320" w:rsidRPr="00775168">
        <w:tc>
          <w:tcPr>
            <w:tcW w:w="9242" w:type="dxa"/>
            <w:gridSpan w:val="3"/>
            <w:tcBorders>
              <w:top w:val="single" w:sz="8" w:space="0" w:color="auto"/>
              <w:left w:val="nil"/>
              <w:bottom w:val="single" w:sz="8" w:space="0" w:color="auto"/>
              <w:right w:val="nil"/>
            </w:tcBorders>
            <w:vAlign w:val="center"/>
          </w:tcPr>
          <w:p w:rsidR="00743320" w:rsidRPr="00775168" w:rsidRDefault="00DF7F26">
            <w:pPr>
              <w:pStyle w:val="P68B1DB1-a058"/>
              <w:rPr>
                <w:rFonts w:hint="default"/>
              </w:rPr>
            </w:pPr>
            <w:r w:rsidRPr="00775168">
              <w:t xml:space="preserve">CR = complete response, PR = partial response, SD = stable disease, PD = progressive disease, NE = not evaluable. </w:t>
            </w:r>
          </w:p>
          <w:p w:rsidR="00743320" w:rsidRPr="00775168" w:rsidRDefault="00DF7F26">
            <w:pPr>
              <w:pStyle w:val="P68B1DB1-a058"/>
              <w:rPr>
                <w:rFonts w:hint="default"/>
              </w:rPr>
            </w:pPr>
            <w:r w:rsidRPr="00775168">
              <w:t xml:space="preserve">A: If a CR is truly met at first time point, then any disease seen at a subsequent time point, even disease meeting PR criteria relative to baseline, makes the disease PD at that point (since disease must have reappeared after CR). The best response depends on whether SD occurs at the shortest treatment interval. However, sometimes' CR 'may be claimed when subsequent scans suggest small lesions were likely still present and in fact the patient had PR, not CR at the first time point. In this case, the original CR should be changed to PR and the best response is PR. </w:t>
            </w:r>
          </w:p>
        </w:tc>
      </w:tr>
    </w:tbl>
    <w:p w:rsidR="00743320" w:rsidRPr="00775168" w:rsidRDefault="00743320">
      <w:pPr>
        <w:spacing w:line="360" w:lineRule="auto"/>
        <w:ind w:firstLineChars="200" w:firstLine="480"/>
        <w:rPr>
          <w:sz w:val="24"/>
        </w:rPr>
      </w:pPr>
    </w:p>
    <w:p w:rsidR="00743320" w:rsidRPr="00775168" w:rsidRDefault="00DF7F26">
      <w:pPr>
        <w:pStyle w:val="P68B1DB1-a09"/>
        <w:numPr>
          <w:ilvl w:val="2"/>
          <w:numId w:val="34"/>
        </w:numPr>
        <w:spacing w:line="360" w:lineRule="auto"/>
        <w:rPr>
          <w:rFonts w:hint="default"/>
        </w:rPr>
      </w:pPr>
      <w:r w:rsidRPr="00775168">
        <w:t xml:space="preserve">Special notes on response assessment </w:t>
      </w:r>
    </w:p>
    <w:p w:rsidR="00743320" w:rsidRPr="00775168" w:rsidRDefault="00DF7F26">
      <w:pPr>
        <w:pStyle w:val="P68B1DB1-a024"/>
        <w:spacing w:line="360" w:lineRule="auto"/>
        <w:ind w:firstLineChars="200" w:firstLine="480"/>
        <w:rPr>
          <w:rFonts w:hint="default"/>
        </w:rPr>
      </w:pPr>
      <w:r w:rsidRPr="00775168">
        <w:t xml:space="preserve">When nodal disease is included in the sum of target lesions, and the nodes decrease to 'normal' size (&lt; 10 mm), they will still have a measurement reported on scans. To avoid situations where assessment is based on increased nodule size, measurements will be recorded even if the nodule is normal. As mentioned earlier, this means that subjects with CR will not have a total sum of 'zero' on the CRF. </w:t>
      </w:r>
    </w:p>
    <w:p w:rsidR="00743320" w:rsidRPr="00775168" w:rsidRDefault="00DF7F26">
      <w:pPr>
        <w:pStyle w:val="P68B1DB1-a024"/>
        <w:spacing w:line="360" w:lineRule="auto"/>
        <w:ind w:firstLineChars="200" w:firstLine="480"/>
        <w:rPr>
          <w:rFonts w:hint="default"/>
        </w:rPr>
      </w:pPr>
      <w:r w:rsidRPr="00775168">
        <w:t xml:space="preserve">If confirmation of response is required during the course of the trial, repeated 'non-measurable' time points will complicate best response assessment. The analysis plan for the trial must address how missing data/assessments will be addressed in determination of response and progression. For example, in most trials, a subject's response of PR-NE-PR can be considered confirmed. </w:t>
      </w:r>
    </w:p>
    <w:p w:rsidR="00743320" w:rsidRPr="00775168" w:rsidRDefault="00DF7F26">
      <w:pPr>
        <w:pStyle w:val="P68B1DB1-a024"/>
        <w:spacing w:line="360" w:lineRule="auto"/>
        <w:ind w:firstLineChars="200" w:firstLine="480"/>
        <w:rPr>
          <w:rFonts w:hint="default"/>
        </w:rPr>
      </w:pPr>
      <w:r w:rsidRPr="00775168">
        <w:t xml:space="preserve">Subjects with a global deterioration of health status requiring discontinuation of treatment without </w:t>
      </w:r>
      <w:r w:rsidRPr="00775168">
        <w:lastRenderedPageBreak/>
        <w:t xml:space="preserve">objective evidence of disease progression should be reported as symptomatic progression. Every effort should be made to assess objective progression even after treatment discontinuation. Symptomatic deterioration is not a descriptor of an objective response: it is the reason for stopping treatment. The objective response status of such subjects will be determined by evaluation of target and non-target disease as shown in Tables 1 </w:t>
      </w:r>
      <w:r w:rsidRPr="00775168">
        <w:t>–</w:t>
      </w:r>
      <w:r w:rsidRPr="00775168">
        <w:t xml:space="preserve"> 3. </w:t>
      </w:r>
    </w:p>
    <w:p w:rsidR="00743320" w:rsidRPr="00775168" w:rsidRDefault="00DF7F26">
      <w:pPr>
        <w:pStyle w:val="P68B1DB1-a09"/>
        <w:spacing w:line="360" w:lineRule="auto"/>
        <w:ind w:firstLineChars="200" w:firstLine="480"/>
        <w:rPr>
          <w:rFonts w:hint="default"/>
        </w:rPr>
      </w:pPr>
      <w:r w:rsidRPr="00775168">
        <w:t xml:space="preserve">Conditions that define early progression, early death and unevaluability are study specific and should be clearly described in each protocol (depending on treatment interval and treatment cycle). </w:t>
      </w:r>
    </w:p>
    <w:p w:rsidR="00743320" w:rsidRPr="00775168" w:rsidRDefault="00DF7F26">
      <w:pPr>
        <w:pStyle w:val="P68B1DB1-a024"/>
        <w:spacing w:line="360" w:lineRule="auto"/>
        <w:ind w:firstLineChars="200" w:firstLine="480"/>
        <w:rPr>
          <w:rFonts w:hint="default"/>
        </w:rPr>
      </w:pPr>
      <w:r w:rsidRPr="00775168">
        <w:t xml:space="preserve">In some cases, it may be difficult to distinguish a focal lesion from normal tissue. When the evaluation of complete response depends on this determination, it is recommended that biopsy be performed prior to assigning a status of complete response of local disease. FDG-PET may be used to upgrade a response to a CR in a manner similar to a biopsy in cases where a residual radiographic abnormality is thought to represent fibrosis or scarring. The use of FDG-PET in this circumstance should be prospectively described in the protocol and supported by disease specific medical literature for the indication. However, it must be acknowledged that both approaches may lead to false positive CR due to limitations of FDG-PET and biopsy resolution/sensitivity. </w:t>
      </w:r>
    </w:p>
    <w:p w:rsidR="00743320" w:rsidRPr="00775168" w:rsidRDefault="00DF7F26">
      <w:pPr>
        <w:pStyle w:val="P68B1DB1-a09"/>
        <w:spacing w:line="360" w:lineRule="auto"/>
        <w:ind w:firstLineChars="200" w:firstLine="480"/>
        <w:rPr>
          <w:rFonts w:hint="default"/>
        </w:rPr>
      </w:pPr>
      <w:r w:rsidRPr="00775168">
        <w:t xml:space="preserve">For equivocal findings of progression (e.g., very small and uncertain new lesions; cystic changes or necrosis in existing lesions), treatment may continue until the next scheduled assessment. If at the next scheduled assessment, progression is confirmed, the date of progression should be the earlier date when progression was suspected. </w:t>
      </w:r>
    </w:p>
    <w:p w:rsidR="00743320" w:rsidRPr="00775168" w:rsidRDefault="00DF7F26">
      <w:pPr>
        <w:pStyle w:val="P68B1DB1-a09"/>
        <w:numPr>
          <w:ilvl w:val="1"/>
          <w:numId w:val="34"/>
        </w:numPr>
        <w:spacing w:line="360" w:lineRule="auto"/>
        <w:rPr>
          <w:rFonts w:hint="default"/>
        </w:rPr>
      </w:pPr>
      <w:r w:rsidRPr="00775168">
        <w:t xml:space="preserve">Frequency of Tumor Re-evaluation </w:t>
      </w:r>
    </w:p>
    <w:p w:rsidR="00743320" w:rsidRPr="00775168" w:rsidRDefault="00DF7F26">
      <w:pPr>
        <w:pStyle w:val="P68B1DB1-a092"/>
        <w:spacing w:line="360" w:lineRule="auto"/>
        <w:ind w:firstLineChars="200" w:firstLine="480"/>
        <w:rPr>
          <w:rFonts w:hAnsi="Times New Roman" w:hint="default"/>
        </w:rPr>
      </w:pPr>
      <w:r w:rsidRPr="00775168">
        <w:rPr>
          <w:rFonts w:hAnsi="Times New Roman"/>
        </w:rPr>
        <w:t xml:space="preserve">The frequency of tumor re-evaluation during treatment depends on the treatment regimen and should be consistent with the type and schedule of treatment. However, in phase II trials where the beneficial effect of treatment is unclear, follow-up every 6 to 8 weeks (timed to coincide with the end of a cycle) is reasonable, and the length of the time interval may be adjusted in special regimens or situations. The protocol should specify which tissue sites are to be evaluated at baseline (usually those most likely to be involved with metastatic disease for the tumor type under study) and how often evaluations are repeated. Normally, target and non-target lesions are evaluated at each assessment. In selected circumstances, certain non-target lesions may be evaluated less frequently. For example, bone scans may need to be repeated only when CR is identified in target disease or when progression in bone is suspected. </w:t>
      </w:r>
    </w:p>
    <w:p w:rsidR="00743320" w:rsidRPr="00775168" w:rsidRDefault="00DF7F26">
      <w:pPr>
        <w:spacing w:line="360" w:lineRule="auto"/>
        <w:ind w:firstLineChars="200" w:firstLine="480"/>
        <w:rPr>
          <w:sz w:val="24"/>
        </w:rPr>
      </w:pPr>
      <w:r w:rsidRPr="00775168">
        <w:rPr>
          <w:rFonts w:hint="eastAsia"/>
          <w:sz w:val="24"/>
        </w:rPr>
        <w:t xml:space="preserve">After the end of treatment, re-evaluation of tumors depends on whether the response rate or the time to an event (progression/death) is used as the clinical trial endpoint. If time to an event (e.g. TTP/DFS) </w:t>
      </w:r>
      <w:r w:rsidRPr="00775168">
        <w:rPr>
          <w:rStyle w:val="17"/>
          <w:sz w:val="24"/>
        </w:rPr>
        <w:footnoteReference w:id="1"/>
      </w:r>
      <w:r w:rsidRPr="00775168">
        <w:rPr>
          <w:rFonts w:hint="eastAsia"/>
          <w:sz w:val="24"/>
        </w:rPr>
        <w:t xml:space="preserve">/PFS) </w:t>
      </w:r>
      <w:r w:rsidRPr="00775168">
        <w:rPr>
          <w:rFonts w:hint="eastAsia"/>
          <w:sz w:val="24"/>
        </w:rPr>
        <w:lastRenderedPageBreak/>
        <w:t xml:space="preserve">requires routine repeat evaluations as specified in the protocol. In randomized comparative trials in particular, the scheduled assessments should be performed as outlined in the schedule (eg, 6 to 8 weeks on treatment or 3 to 4 months after treatment) and should not be affected by delays in therapy, dosing intervals, or any other events that might lead to imbalances in treatment arms in the timing of disease assessments. </w:t>
      </w:r>
    </w:p>
    <w:p w:rsidR="00743320" w:rsidRPr="00775168" w:rsidRDefault="00DF7F26">
      <w:pPr>
        <w:pStyle w:val="P68B1DB1-a024"/>
        <w:numPr>
          <w:ilvl w:val="1"/>
          <w:numId w:val="34"/>
        </w:numPr>
        <w:spacing w:line="360" w:lineRule="auto"/>
        <w:rPr>
          <w:rFonts w:hint="default"/>
        </w:rPr>
      </w:pPr>
      <w:r w:rsidRPr="00775168">
        <w:t xml:space="preserve">Confirmation of response assessment/duration of response </w:t>
      </w:r>
    </w:p>
    <w:p w:rsidR="00743320" w:rsidRPr="00775168" w:rsidRDefault="00DF7F26">
      <w:pPr>
        <w:pStyle w:val="P68B1DB1-a09"/>
        <w:numPr>
          <w:ilvl w:val="2"/>
          <w:numId w:val="34"/>
        </w:numPr>
        <w:spacing w:line="360" w:lineRule="auto"/>
        <w:rPr>
          <w:rFonts w:hint="default"/>
        </w:rPr>
      </w:pPr>
      <w:r w:rsidRPr="00775168">
        <w:t xml:space="preserve">Validation </w:t>
      </w:r>
    </w:p>
    <w:p w:rsidR="00743320" w:rsidRPr="00775168" w:rsidRDefault="00DF7F26">
      <w:pPr>
        <w:pStyle w:val="P68B1DB1-a092"/>
        <w:spacing w:line="360" w:lineRule="auto"/>
        <w:ind w:firstLineChars="200" w:firstLine="480"/>
        <w:rPr>
          <w:rFonts w:hAnsi="Times New Roman" w:hint="default"/>
        </w:rPr>
      </w:pPr>
      <w:r w:rsidRPr="00775168">
        <w:rPr>
          <w:rFonts w:hAnsi="Times New Roman"/>
        </w:rPr>
        <w:t xml:space="preserve">In non-randomized clinical studies where response is the primary endpoint, confirmation of PR and CR is required to ensure responses identified are not the result of measurement error. This also allows for a sound interpretation of results in the context of historical data where response has traditionally required confirmation in such trials. However, in all other circumstances, i.e. in randomized trials (phase II or III) or studies where stable disease or progression are the primary endpoints, confirmation of response is not required since it will not add value to the interpretation of trial results. However, elimination of the requirement for response confirmation may make central review to prevent bias even more important, especially in non-blind experimental studies. </w:t>
      </w:r>
    </w:p>
    <w:p w:rsidR="00743320" w:rsidRPr="00775168" w:rsidRDefault="00DF7F26">
      <w:pPr>
        <w:pStyle w:val="P68B1DB1-a024"/>
        <w:spacing w:line="360" w:lineRule="auto"/>
        <w:ind w:firstLineChars="200" w:firstLine="480"/>
        <w:rPr>
          <w:rFonts w:hint="default"/>
        </w:rPr>
      </w:pPr>
      <w:r w:rsidRPr="00775168">
        <w:t xml:space="preserve">In the case of SD, measurements must have met the SD criteria at least once after study entry at a minimum interval (in general not less than 6 to 8 weeks) that is defined in the protocol. </w:t>
      </w:r>
    </w:p>
    <w:p w:rsidR="00743320" w:rsidRPr="00775168" w:rsidRDefault="00DF7F26">
      <w:pPr>
        <w:pStyle w:val="P68B1DB1-a09"/>
        <w:numPr>
          <w:ilvl w:val="2"/>
          <w:numId w:val="34"/>
        </w:numPr>
        <w:spacing w:line="360" w:lineRule="auto"/>
        <w:rPr>
          <w:rFonts w:hint="default"/>
        </w:rPr>
      </w:pPr>
      <w:r w:rsidRPr="00775168">
        <w:t xml:space="preserve">Overall Response Period </w:t>
      </w:r>
    </w:p>
    <w:p w:rsidR="00743320" w:rsidRPr="00775168" w:rsidRDefault="00DF7F26">
      <w:pPr>
        <w:pStyle w:val="P68B1DB1-a024"/>
        <w:spacing w:line="360" w:lineRule="auto"/>
        <w:ind w:firstLineChars="200" w:firstLine="480"/>
        <w:rPr>
          <w:rFonts w:hint="default"/>
        </w:rPr>
      </w:pPr>
      <w:r w:rsidRPr="00775168">
        <w:t xml:space="preserve">The duration of overall response is measured from the time measurement criteria are first met for CR/PR (whichever is first recorded) until the first date that recurrent or progressive disease is objectively documented (taking as reference for progressive disease the smallest measurements recorded on study). The duration of overall complete response is measured from the time measurement criteria are first met for CR until the first date that recurrent or progressive disease is objectively documented. </w:t>
      </w:r>
    </w:p>
    <w:p w:rsidR="00743320" w:rsidRPr="00775168" w:rsidRDefault="00DF7F26">
      <w:pPr>
        <w:pStyle w:val="P68B1DB1-a09"/>
        <w:numPr>
          <w:ilvl w:val="2"/>
          <w:numId w:val="34"/>
        </w:numPr>
        <w:spacing w:line="360" w:lineRule="auto"/>
        <w:rPr>
          <w:rFonts w:hint="default"/>
        </w:rPr>
      </w:pPr>
      <w:r w:rsidRPr="00775168">
        <w:t xml:space="preserve">Stable disease </w:t>
      </w:r>
    </w:p>
    <w:p w:rsidR="00743320" w:rsidRPr="00775168" w:rsidRDefault="00DF7F26">
      <w:pPr>
        <w:pStyle w:val="P68B1DB1-a024"/>
        <w:spacing w:line="360" w:lineRule="auto"/>
        <w:ind w:firstLineChars="200" w:firstLine="480"/>
        <w:rPr>
          <w:rFonts w:hint="default"/>
        </w:rPr>
      </w:pPr>
      <w:r w:rsidRPr="00775168">
        <w:t xml:space="preserve">Stable disease is measured from the start of the treatment (in randomized trials, from date of randomization) until the criteria for progression are met, taking as reference the smallest sum on study (if the baseline sum is the smallest, this is the reference for calculation of PD). The clinical relevance of the duration of stable disease varies between studies and diseases. If the proportion of patients achieving stable disease for a minimum period of time is an endpoint of importance in a particular trial, the protocol should specify the minimum time interval required between two measurements for determination of SD. </w:t>
      </w:r>
    </w:p>
    <w:p w:rsidR="00743320" w:rsidRPr="00775168" w:rsidRDefault="00DF7F26">
      <w:pPr>
        <w:pStyle w:val="P68B1DB1-a024"/>
        <w:spacing w:line="360" w:lineRule="auto"/>
        <w:ind w:firstLineChars="200" w:firstLine="480"/>
        <w:rPr>
          <w:rFonts w:hint="default"/>
        </w:rPr>
      </w:pPr>
      <w:r w:rsidRPr="00775168">
        <w:t xml:space="preserve">Note: The duration of response and stable disease as well as PFS are influenced by the frequency of follow-up after baseline evaluation. It is not within the scope of this guideline to define a standard follow-up </w:t>
      </w:r>
      <w:r w:rsidRPr="00775168">
        <w:lastRenderedPageBreak/>
        <w:t xml:space="preserve">frequency. The frequency of follow-up should take into account many factors, such as disease type and stage, treatment cycle and standard practice. However, these limitations in the accuracy of the measured endpoints should be taken into account if comparisons between trials are needed. </w:t>
      </w:r>
    </w:p>
    <w:p w:rsidR="00743320" w:rsidRPr="00775168" w:rsidRDefault="00DF7F26">
      <w:pPr>
        <w:pStyle w:val="P68B1DB1-a033"/>
        <w:numPr>
          <w:ilvl w:val="1"/>
          <w:numId w:val="34"/>
        </w:numPr>
        <w:spacing w:line="360" w:lineRule="auto"/>
      </w:pPr>
      <w:r w:rsidRPr="00775168">
        <w:t xml:space="preserve">PFS/TTP </w:t>
      </w:r>
    </w:p>
    <w:p w:rsidR="00743320" w:rsidRPr="00775168" w:rsidRDefault="00DF7F26">
      <w:pPr>
        <w:pStyle w:val="P68B1DB1-a017"/>
        <w:numPr>
          <w:ilvl w:val="2"/>
          <w:numId w:val="34"/>
        </w:numPr>
        <w:spacing w:line="360" w:lineRule="auto"/>
        <w:rPr>
          <w:rFonts w:hAnsi="Times New Roman" w:hint="default"/>
        </w:rPr>
      </w:pPr>
      <w:r w:rsidRPr="00775168">
        <w:rPr>
          <w:rFonts w:hAnsi="Times New Roman"/>
        </w:rPr>
        <w:t xml:space="preserve">Phase II clinical trial </w:t>
      </w:r>
    </w:p>
    <w:p w:rsidR="00743320" w:rsidRPr="00775168" w:rsidRDefault="00DF7F26">
      <w:pPr>
        <w:spacing w:line="360" w:lineRule="auto"/>
        <w:ind w:firstLineChars="200" w:firstLine="480"/>
        <w:rPr>
          <w:sz w:val="24"/>
        </w:rPr>
      </w:pPr>
      <w:r w:rsidRPr="00775168">
        <w:rPr>
          <w:rFonts w:hint="eastAsia"/>
          <w:sz w:val="24"/>
        </w:rPr>
        <w:t xml:space="preserve">This guideline focuses on the use of objective response endpoints for phase II trials. In some cases, response rate may not be optimal for evaluating the potential anticancer activity of new drugs/regimens. In these cases, PFS/PPF at demarcated time points may be considered a suitable surrogate to provide an initial signal of biologic activity of a new drug. However, it is clear that in an uncontrolled trial, these assessments can be called into question because an apparently valuable observation may be related to biological factors such as patient screening rather than the effect of the drug intervention. Therefore, phase II clinical trials with these as study endpoints are best designed with randomized control. However, since certain tumours behave consistently (and often consistently do not perform well), non-randomised trials are justified. However, in these cases, expected PFS or PPF will be assessed due to lack of positive control </w:t>
      </w:r>
      <w:r w:rsidRPr="00775168">
        <w:rPr>
          <w:rStyle w:val="17"/>
          <w:sz w:val="24"/>
        </w:rPr>
        <w:footnoteReference w:id="2"/>
      </w:r>
      <w:r w:rsidRPr="00775168">
        <w:rPr>
          <w:rFonts w:hint="eastAsia"/>
          <w:sz w:val="24"/>
        </w:rPr>
        <w:t xml:space="preserve">Care should be taken to document evidence of efficacy. &amp;#32; </w:t>
      </w:r>
    </w:p>
    <w:p w:rsidR="003A58EF" w:rsidRPr="00775168" w:rsidRDefault="003A58EF">
      <w:pPr>
        <w:widowControl/>
        <w:jc w:val="left"/>
      </w:pPr>
      <w:r w:rsidRPr="00775168">
        <w:br w:type="page"/>
      </w:r>
    </w:p>
    <w:p w:rsidR="00743320" w:rsidRPr="00775168" w:rsidRDefault="00DF7F26">
      <w:pPr>
        <w:pStyle w:val="P68B1DB1-116"/>
        <w:rPr>
          <w:rFonts w:ascii="Times New Roman" w:hAnsi="Times New Roman" w:cs="Times New Roman" w:hint="default"/>
        </w:rPr>
      </w:pPr>
      <w:bookmarkStart w:id="405" w:name="_Toc178589737"/>
      <w:r w:rsidRPr="00775168">
        <w:rPr>
          <w:rFonts w:ascii="Times New Roman" w:hAnsi="Times New Roman"/>
        </w:rPr>
        <w:lastRenderedPageBreak/>
        <w:t>Appendix VII Evaluation Criteria for Progress</w:t>
      </w:r>
      <w:bookmarkEnd w:id="405"/>
      <w:r w:rsidRPr="00775168">
        <w:rPr>
          <w:rFonts w:ascii="Times New Roman" w:hAnsi="Times New Roman"/>
        </w:rPr>
        <w:t xml:space="preserve"> </w:t>
      </w:r>
    </w:p>
    <w:p w:rsidR="00743320" w:rsidRPr="00775168" w:rsidRDefault="00DF7F26">
      <w:pPr>
        <w:pStyle w:val="P68B1DB1-a032"/>
        <w:spacing w:line="360" w:lineRule="auto"/>
        <w:rPr>
          <w:rFonts w:hint="default"/>
        </w:rPr>
      </w:pPr>
      <w:r w:rsidRPr="00775168">
        <w:t xml:space="preserve">Symptom score </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701"/>
        <w:gridCol w:w="1417"/>
      </w:tblGrid>
      <w:tr w:rsidR="00743320" w:rsidRPr="00775168">
        <w:trPr>
          <w:jc w:val="center"/>
        </w:trPr>
        <w:tc>
          <w:tcPr>
            <w:tcW w:w="1271" w:type="dxa"/>
          </w:tcPr>
          <w:p w:rsidR="00743320" w:rsidRPr="00775168" w:rsidRDefault="00DF7F26">
            <w:pPr>
              <w:pStyle w:val="P68B1DB1-a09"/>
              <w:spacing w:line="360" w:lineRule="auto"/>
              <w:rPr>
                <w:rFonts w:hint="default"/>
              </w:rPr>
            </w:pPr>
            <w:r w:rsidRPr="00775168">
              <w:t xml:space="preserve">Evaluation Criteria </w:t>
            </w:r>
          </w:p>
        </w:tc>
        <w:tc>
          <w:tcPr>
            <w:tcW w:w="1276" w:type="dxa"/>
          </w:tcPr>
          <w:p w:rsidR="00743320" w:rsidRPr="00775168" w:rsidRDefault="00DF7F26">
            <w:pPr>
              <w:pStyle w:val="P68B1DB1-a09"/>
              <w:spacing w:line="360" w:lineRule="auto"/>
              <w:rPr>
                <w:rFonts w:hint="default"/>
              </w:rPr>
            </w:pPr>
            <w:r w:rsidRPr="00775168">
              <w:t xml:space="preserve">No symptoms </w:t>
            </w:r>
          </w:p>
        </w:tc>
        <w:tc>
          <w:tcPr>
            <w:tcW w:w="1701" w:type="dxa"/>
          </w:tcPr>
          <w:p w:rsidR="00743320" w:rsidRPr="00775168" w:rsidRDefault="00DF7F26">
            <w:pPr>
              <w:pStyle w:val="P68B1DB1-a09"/>
              <w:spacing w:line="360" w:lineRule="auto"/>
              <w:rPr>
                <w:rFonts w:hint="default"/>
              </w:rPr>
            </w:pPr>
            <w:r w:rsidRPr="00775168">
              <w:t xml:space="preserve">No change in symptoms </w:t>
            </w:r>
          </w:p>
        </w:tc>
        <w:tc>
          <w:tcPr>
            <w:tcW w:w="1417" w:type="dxa"/>
          </w:tcPr>
          <w:p w:rsidR="00743320" w:rsidRPr="00775168" w:rsidRDefault="00DF7F26">
            <w:pPr>
              <w:pStyle w:val="P68B1DB1-a09"/>
              <w:spacing w:line="360" w:lineRule="auto"/>
              <w:rPr>
                <w:rFonts w:hint="default"/>
              </w:rPr>
            </w:pPr>
            <w:r w:rsidRPr="00775168">
              <w:t xml:space="preserve">Worsening of symptoms </w:t>
            </w:r>
          </w:p>
        </w:tc>
      </w:tr>
      <w:tr w:rsidR="00743320" w:rsidRPr="00775168">
        <w:trPr>
          <w:jc w:val="center"/>
        </w:trPr>
        <w:tc>
          <w:tcPr>
            <w:tcW w:w="1271" w:type="dxa"/>
          </w:tcPr>
          <w:p w:rsidR="00743320" w:rsidRPr="00775168" w:rsidRDefault="00DF7F26">
            <w:pPr>
              <w:pStyle w:val="P68B1DB1-a09"/>
              <w:spacing w:line="360" w:lineRule="auto"/>
              <w:rPr>
                <w:rFonts w:hint="default"/>
              </w:rPr>
            </w:pPr>
            <w:r w:rsidRPr="00775168">
              <w:t xml:space="preserve">Score </w:t>
            </w:r>
          </w:p>
        </w:tc>
        <w:tc>
          <w:tcPr>
            <w:tcW w:w="1276" w:type="dxa"/>
          </w:tcPr>
          <w:p w:rsidR="00743320" w:rsidRPr="00775168" w:rsidRDefault="00DF7F26">
            <w:pPr>
              <w:pStyle w:val="P68B1DB1-a033"/>
              <w:spacing w:line="360" w:lineRule="auto"/>
            </w:pPr>
            <w:r w:rsidRPr="00775168">
              <w:t xml:space="preserve">0 </w:t>
            </w:r>
          </w:p>
        </w:tc>
        <w:tc>
          <w:tcPr>
            <w:tcW w:w="1701" w:type="dxa"/>
          </w:tcPr>
          <w:p w:rsidR="00743320" w:rsidRPr="00775168" w:rsidRDefault="00DF7F26">
            <w:pPr>
              <w:pStyle w:val="P68B1DB1-a033"/>
              <w:spacing w:line="360" w:lineRule="auto"/>
            </w:pPr>
            <w:r w:rsidRPr="00775168">
              <w:t xml:space="preserve">1 </w:t>
            </w:r>
          </w:p>
        </w:tc>
        <w:tc>
          <w:tcPr>
            <w:tcW w:w="1417" w:type="dxa"/>
          </w:tcPr>
          <w:p w:rsidR="00743320" w:rsidRPr="00775168" w:rsidRDefault="00DF7F26">
            <w:pPr>
              <w:pStyle w:val="P68B1DB1-a033"/>
              <w:spacing w:line="360" w:lineRule="auto"/>
            </w:pPr>
            <w:r w:rsidRPr="00775168">
              <w:t xml:space="preserve">2 </w:t>
            </w:r>
          </w:p>
        </w:tc>
      </w:tr>
    </w:tbl>
    <w:p w:rsidR="00743320" w:rsidRPr="00775168" w:rsidRDefault="00DF7F26">
      <w:pPr>
        <w:pStyle w:val="P68B1DB1-a032"/>
        <w:spacing w:line="360" w:lineRule="auto"/>
        <w:rPr>
          <w:rFonts w:hint="default"/>
        </w:rPr>
      </w:pPr>
      <w:r w:rsidRPr="00775168">
        <w:t xml:space="preserve">Tumor burden score (represented by non-target lesions, cumulative score) </w:t>
      </w:r>
    </w:p>
    <w:tbl>
      <w:tblPr>
        <w:tblW w:w="5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0"/>
        <w:gridCol w:w="955"/>
        <w:gridCol w:w="1276"/>
        <w:gridCol w:w="1276"/>
        <w:gridCol w:w="1134"/>
      </w:tblGrid>
      <w:tr w:rsidR="00743320" w:rsidRPr="00775168">
        <w:trPr>
          <w:jc w:val="center"/>
        </w:trPr>
        <w:tc>
          <w:tcPr>
            <w:tcW w:w="1030" w:type="dxa"/>
          </w:tcPr>
          <w:p w:rsidR="00743320" w:rsidRPr="00775168" w:rsidRDefault="00DF7F26">
            <w:pPr>
              <w:pStyle w:val="P68B1DB1-a09"/>
              <w:spacing w:line="360" w:lineRule="auto"/>
              <w:jc w:val="center"/>
              <w:rPr>
                <w:rFonts w:hint="default"/>
              </w:rPr>
            </w:pPr>
            <w:r w:rsidRPr="00775168">
              <w:t xml:space="preserve">Evaluation </w:t>
            </w:r>
          </w:p>
          <w:p w:rsidR="00743320" w:rsidRPr="00775168" w:rsidRDefault="00DF7F26">
            <w:pPr>
              <w:pStyle w:val="P68B1DB1-a09"/>
              <w:spacing w:line="360" w:lineRule="auto"/>
              <w:jc w:val="center"/>
              <w:rPr>
                <w:rFonts w:hint="default"/>
              </w:rPr>
            </w:pPr>
            <w:r w:rsidRPr="00775168">
              <w:t xml:space="preserve">Standard </w:t>
            </w:r>
          </w:p>
        </w:tc>
        <w:tc>
          <w:tcPr>
            <w:tcW w:w="955" w:type="dxa"/>
          </w:tcPr>
          <w:p w:rsidR="00743320" w:rsidRPr="00775168" w:rsidRDefault="00DF7F26">
            <w:pPr>
              <w:pStyle w:val="P68B1DB1-a09"/>
              <w:spacing w:line="360" w:lineRule="auto"/>
              <w:jc w:val="center"/>
              <w:rPr>
                <w:rFonts w:hint="default"/>
              </w:rPr>
            </w:pPr>
            <w:r w:rsidRPr="00775168">
              <w:t xml:space="preserve">Progression of non-target lesions </w:t>
            </w:r>
          </w:p>
        </w:tc>
        <w:tc>
          <w:tcPr>
            <w:tcW w:w="1276" w:type="dxa"/>
          </w:tcPr>
          <w:p w:rsidR="00743320" w:rsidRPr="00775168" w:rsidRDefault="00DF7F26">
            <w:pPr>
              <w:pStyle w:val="P68B1DB1-a09"/>
              <w:spacing w:line="360" w:lineRule="auto"/>
              <w:jc w:val="center"/>
              <w:rPr>
                <w:rFonts w:hint="default"/>
              </w:rPr>
            </w:pPr>
            <w:r w:rsidRPr="00775168">
              <w:t xml:space="preserve">New intrathoracic lesions </w:t>
            </w:r>
          </w:p>
        </w:tc>
        <w:tc>
          <w:tcPr>
            <w:tcW w:w="1276" w:type="dxa"/>
          </w:tcPr>
          <w:p w:rsidR="00743320" w:rsidRPr="00775168" w:rsidRDefault="00DF7F26">
            <w:pPr>
              <w:pStyle w:val="P68B1DB1-a09"/>
              <w:spacing w:line="360" w:lineRule="auto"/>
              <w:jc w:val="center"/>
              <w:rPr>
                <w:rFonts w:hint="default"/>
              </w:rPr>
            </w:pPr>
            <w:r w:rsidRPr="00775168">
              <w:t xml:space="preserve">New extrathoracic lesion </w:t>
            </w:r>
          </w:p>
        </w:tc>
        <w:tc>
          <w:tcPr>
            <w:tcW w:w="1134" w:type="dxa"/>
          </w:tcPr>
          <w:p w:rsidR="00743320" w:rsidRPr="00775168" w:rsidRDefault="00DF7F26">
            <w:pPr>
              <w:pStyle w:val="P68B1DB1-a09"/>
              <w:spacing w:line="360" w:lineRule="auto"/>
              <w:jc w:val="center"/>
              <w:rPr>
                <w:rFonts w:hint="default"/>
              </w:rPr>
            </w:pPr>
            <w:r w:rsidRPr="00775168">
              <w:t xml:space="preserve">Malignant pleural effusion </w:t>
            </w:r>
          </w:p>
        </w:tc>
      </w:tr>
      <w:tr w:rsidR="00743320" w:rsidRPr="00775168">
        <w:trPr>
          <w:jc w:val="center"/>
        </w:trPr>
        <w:tc>
          <w:tcPr>
            <w:tcW w:w="1030" w:type="dxa"/>
          </w:tcPr>
          <w:p w:rsidR="00743320" w:rsidRPr="00775168" w:rsidRDefault="00DF7F26">
            <w:pPr>
              <w:pStyle w:val="P68B1DB1-a09"/>
              <w:spacing w:line="360" w:lineRule="auto"/>
              <w:jc w:val="center"/>
              <w:rPr>
                <w:rFonts w:hint="default"/>
              </w:rPr>
            </w:pPr>
            <w:r w:rsidRPr="00775168">
              <w:t xml:space="preserve">Score </w:t>
            </w:r>
          </w:p>
        </w:tc>
        <w:tc>
          <w:tcPr>
            <w:tcW w:w="955" w:type="dxa"/>
          </w:tcPr>
          <w:p w:rsidR="00743320" w:rsidRPr="00775168" w:rsidRDefault="00DF7F26">
            <w:pPr>
              <w:pStyle w:val="P68B1DB1-a033"/>
              <w:spacing w:line="360" w:lineRule="auto"/>
              <w:jc w:val="center"/>
            </w:pPr>
            <w:r w:rsidRPr="00775168">
              <w:t xml:space="preserve">1 </w:t>
            </w:r>
          </w:p>
        </w:tc>
        <w:tc>
          <w:tcPr>
            <w:tcW w:w="1276" w:type="dxa"/>
          </w:tcPr>
          <w:p w:rsidR="00743320" w:rsidRPr="00775168" w:rsidRDefault="00DF7F26">
            <w:pPr>
              <w:pStyle w:val="P68B1DB1-a033"/>
              <w:spacing w:line="360" w:lineRule="auto"/>
              <w:jc w:val="center"/>
            </w:pPr>
            <w:r w:rsidRPr="00775168">
              <w:t xml:space="preserve">1 </w:t>
            </w:r>
          </w:p>
        </w:tc>
        <w:tc>
          <w:tcPr>
            <w:tcW w:w="1276" w:type="dxa"/>
          </w:tcPr>
          <w:p w:rsidR="00743320" w:rsidRPr="00775168" w:rsidRDefault="00DF7F26">
            <w:pPr>
              <w:pStyle w:val="P68B1DB1-a033"/>
              <w:spacing w:line="360" w:lineRule="auto"/>
              <w:jc w:val="center"/>
            </w:pPr>
            <w:r w:rsidRPr="00775168">
              <w:t xml:space="preserve">1 </w:t>
            </w:r>
          </w:p>
        </w:tc>
        <w:tc>
          <w:tcPr>
            <w:tcW w:w="1134" w:type="dxa"/>
          </w:tcPr>
          <w:p w:rsidR="00743320" w:rsidRPr="00775168" w:rsidRDefault="00DF7F26">
            <w:pPr>
              <w:pStyle w:val="P68B1DB1-a033"/>
              <w:spacing w:line="360" w:lineRule="auto"/>
              <w:jc w:val="center"/>
            </w:pPr>
            <w:r w:rsidRPr="00775168">
              <w:t xml:space="preserve">1 </w:t>
            </w:r>
          </w:p>
        </w:tc>
      </w:tr>
    </w:tbl>
    <w:p w:rsidR="00743320" w:rsidRPr="00775168" w:rsidRDefault="00743320">
      <w:pPr>
        <w:spacing w:line="360" w:lineRule="auto"/>
        <w:rPr>
          <w:b/>
          <w:sz w:val="24"/>
        </w:rPr>
      </w:pPr>
    </w:p>
    <w:p w:rsidR="00743320" w:rsidRPr="00775168" w:rsidRDefault="00DF7F26">
      <w:pPr>
        <w:pStyle w:val="P68B1DB1-116"/>
        <w:rPr>
          <w:rFonts w:ascii="Times New Roman" w:hAnsi="Times New Roman" w:cs="Times New Roman" w:hint="default"/>
        </w:rPr>
      </w:pPr>
      <w:bookmarkStart w:id="406" w:name="_Toc178589738"/>
      <w:bookmarkStart w:id="407" w:name="_Toc406587800"/>
      <w:bookmarkStart w:id="408" w:name="_Toc512941761"/>
      <w:bookmarkStart w:id="409" w:name="_Toc512941007"/>
      <w:r w:rsidRPr="00775168">
        <w:rPr>
          <w:rFonts w:ascii="Times New Roman" w:hAnsi="Times New Roman"/>
        </w:rPr>
        <w:lastRenderedPageBreak/>
        <w:t>Appendix VIII Clinical Trial Drug Label of Anlotinib Hydrochloride in the Treatment of Advanced Lung Cancer</w:t>
      </w:r>
      <w:bookmarkEnd w:id="406"/>
      <w:r w:rsidRPr="00775168">
        <w:rPr>
          <w:rFonts w:ascii="Times New Roman" w:hAnsi="Times New Roman"/>
        </w:rPr>
        <w:t xml:space="preserve"> </w:t>
      </w:r>
      <w:bookmarkEnd w:id="407"/>
      <w:bookmarkEnd w:id="408"/>
      <w:bookmarkEnd w:id="409"/>
    </w:p>
    <w:p w:rsidR="00743320" w:rsidRPr="00775168" w:rsidRDefault="00DF7F26">
      <w:pPr>
        <w:pStyle w:val="P68B1DB1-116"/>
        <w:rPr>
          <w:rFonts w:ascii="Times New Roman" w:hAnsi="Times New Roman" w:cs="Times New Roman" w:hint="default"/>
        </w:rPr>
      </w:pPr>
      <w:bookmarkStart w:id="410" w:name="_Toc178589739"/>
      <w:r w:rsidRPr="00775168">
        <w:rPr>
          <w:rFonts w:ascii="Times New Roman" w:hAnsi="Times New Roman"/>
        </w:rPr>
        <w:t>Appendix IX Percentage of bone marrow in human bone</w:t>
      </w:r>
      <w:bookmarkEnd w:id="410"/>
      <w:r w:rsidRPr="00775168">
        <w:rPr>
          <w:rFonts w:ascii="Times New Roman" w:hAnsi="Times New Roman"/>
        </w:rPr>
        <w:t xml:space="preserve"> </w:t>
      </w:r>
    </w:p>
    <w:p w:rsidR="00743320" w:rsidRPr="00D400E8" w:rsidRDefault="00DF7F26">
      <w:pPr>
        <w:pStyle w:val="P68B1DB1-a7121"/>
        <w:spacing w:before="55" w:line="220" w:lineRule="auto"/>
        <w:ind w:right="680"/>
        <w:rPr>
          <w:rFonts w:ascii="Times New Roman" w:hAnsi="Times New Roman"/>
        </w:rPr>
      </w:pPr>
      <w:r w:rsidRPr="00775168">
        <w:rPr>
          <w:rFonts w:ascii="Times New Roman" w:hAnsi="Times New Roman"/>
          <w:noProof/>
        </w:rPr>
        <w:drawing>
          <wp:inline distT="0" distB="0" distL="0" distR="0">
            <wp:extent cx="6505575" cy="73152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505575" cy="7315200"/>
                    </a:xfrm>
                    <a:prstGeom prst="rect">
                      <a:avLst/>
                    </a:prstGeom>
                    <a:noFill/>
                    <a:ln>
                      <a:noFill/>
                    </a:ln>
                  </pic:spPr>
                </pic:pic>
              </a:graphicData>
            </a:graphic>
          </wp:inline>
        </w:drawing>
      </w:r>
    </w:p>
    <w:p w:rsidR="00743320" w:rsidRPr="00D400E8" w:rsidRDefault="00743320">
      <w:pPr>
        <w:pStyle w:val="a6"/>
        <w:spacing w:before="55" w:line="220" w:lineRule="auto"/>
        <w:ind w:right="680"/>
        <w:rPr>
          <w:rFonts w:ascii="Times New Roman" w:hAnsi="Times New Roman" w:cs="Times New Roman"/>
          <w:sz w:val="24"/>
        </w:rPr>
      </w:pPr>
    </w:p>
    <w:sectPr w:rsidR="00743320" w:rsidRPr="00D400E8">
      <w:type w:val="continuous"/>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62CE" w:rsidRDefault="00B762CE">
      <w:r>
        <w:separator/>
      </w:r>
    </w:p>
  </w:endnote>
  <w:endnote w:type="continuationSeparator" w:id="0">
    <w:p w:rsidR="00B762CE" w:rsidRDefault="00B76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NewRomanPSMT">
    <w:altName w:val="Times New Roman"/>
    <w:charset w:val="00"/>
    <w:family w:val="roman"/>
    <w:pitch w:val="default"/>
    <w:sig w:usb0="00000000" w:usb1="00000000" w:usb2="00000000" w:usb3="00000000" w:csb0="00000001" w:csb1="00000000"/>
  </w:font>
  <w:font w:name="Noto Sans CJK JP Regular">
    <w:altName w:val="Arial"/>
    <w:charset w:val="00"/>
    <w:family w:val="swiss"/>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5916910"/>
    </w:sdtPr>
    <w:sdtEndPr/>
    <w:sdtContent>
      <w:sdt>
        <w:sdtPr>
          <w:id w:val="-588155261"/>
        </w:sdtPr>
        <w:sdtEndPr/>
        <w:sdtContent>
          <w:p w:rsidR="009F615D" w:rsidRDefault="009F615D">
            <w:pPr>
              <w:pStyle w:val="ab"/>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BE170A">
              <w:rPr>
                <w:b/>
                <w:bCs/>
                <w:noProof/>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E170A">
              <w:rPr>
                <w:b/>
                <w:bCs/>
                <w:noProof/>
              </w:rPr>
              <w:t>132</w:t>
            </w:r>
            <w:r>
              <w:rPr>
                <w:b/>
                <w:bCs/>
                <w:sz w:val="24"/>
                <w:szCs w:val="24"/>
              </w:rPr>
              <w:fldChar w:fldCharType="end"/>
            </w:r>
          </w:p>
        </w:sdtContent>
      </w:sdt>
    </w:sdtContent>
  </w:sdt>
  <w:p w:rsidR="009F615D" w:rsidRDefault="009F615D">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62CE" w:rsidRDefault="00B762CE">
      <w:r>
        <w:separator/>
      </w:r>
    </w:p>
  </w:footnote>
  <w:footnote w:type="continuationSeparator" w:id="0">
    <w:p w:rsidR="00B762CE" w:rsidRDefault="00B762CE">
      <w:r>
        <w:continuationSeparator/>
      </w:r>
    </w:p>
  </w:footnote>
  <w:footnote w:id="1">
    <w:p w:rsidR="009F615D" w:rsidRDefault="009F615D">
      <w:pPr>
        <w:pStyle w:val="11"/>
        <w:rPr>
          <w:rFonts w:cs="Times New Roman"/>
        </w:rPr>
      </w:pPr>
      <w:r>
        <w:rPr>
          <w:rStyle w:val="17"/>
        </w:rPr>
        <w:footnoteRef/>
      </w:r>
      <w:r>
        <w:rPr>
          <w:rFonts w:ascii="Times New Roman" w:hAnsi="Times New Roman" w:hint="eastAsia"/>
        </w:rPr>
        <w:t xml:space="preserve">Disease free survival </w:t>
      </w:r>
    </w:p>
  </w:footnote>
  <w:footnote w:id="2">
    <w:p w:rsidR="009F615D" w:rsidRDefault="009F615D"/>
    <w:p w:rsidR="009F615D" w:rsidRDefault="009F615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1"/>
    <w:multiLevelType w:val="multilevel"/>
    <w:tmpl w:val="00000011"/>
    <w:lvl w:ilvl="0">
      <w:start w:val="1"/>
      <w:numFmt w:val="bullet"/>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
    <w:nsid w:val="00000012"/>
    <w:multiLevelType w:val="multilevel"/>
    <w:tmpl w:val="00000012"/>
    <w:lvl w:ilvl="0">
      <w:start w:val="1"/>
      <w:numFmt w:val="bullet"/>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1320"/>
        </w:tabs>
        <w:ind w:left="1320" w:hanging="420"/>
      </w:pPr>
      <w:rPr>
        <w:rFonts w:ascii="Wingdings" w:hAnsi="Wingdings" w:cs="Wingdings" w:hint="default"/>
      </w:rPr>
    </w:lvl>
    <w:lvl w:ilvl="2">
      <w:start w:val="1"/>
      <w:numFmt w:val="bullet"/>
      <w:lvlText w:val=""/>
      <w:lvlJc w:val="left"/>
      <w:pPr>
        <w:tabs>
          <w:tab w:val="left" w:pos="1740"/>
        </w:tabs>
        <w:ind w:left="1740" w:hanging="420"/>
      </w:pPr>
      <w:rPr>
        <w:rFonts w:ascii="Wingdings" w:hAnsi="Wingdings" w:cs="Wingdings" w:hint="default"/>
      </w:rPr>
    </w:lvl>
    <w:lvl w:ilvl="3">
      <w:start w:val="1"/>
      <w:numFmt w:val="bullet"/>
      <w:lvlText w:val=""/>
      <w:lvlJc w:val="left"/>
      <w:pPr>
        <w:tabs>
          <w:tab w:val="left" w:pos="2160"/>
        </w:tabs>
        <w:ind w:left="2160" w:hanging="420"/>
      </w:pPr>
      <w:rPr>
        <w:rFonts w:ascii="Wingdings" w:hAnsi="Wingdings" w:cs="Wingdings" w:hint="default"/>
      </w:rPr>
    </w:lvl>
    <w:lvl w:ilvl="4">
      <w:start w:val="1"/>
      <w:numFmt w:val="bullet"/>
      <w:lvlText w:val=""/>
      <w:lvlJc w:val="left"/>
      <w:pPr>
        <w:tabs>
          <w:tab w:val="left" w:pos="2580"/>
        </w:tabs>
        <w:ind w:left="2580" w:hanging="420"/>
      </w:pPr>
      <w:rPr>
        <w:rFonts w:ascii="Wingdings" w:hAnsi="Wingdings" w:cs="Wingdings" w:hint="default"/>
      </w:rPr>
    </w:lvl>
    <w:lvl w:ilvl="5">
      <w:start w:val="1"/>
      <w:numFmt w:val="bullet"/>
      <w:lvlText w:val=""/>
      <w:lvlJc w:val="left"/>
      <w:pPr>
        <w:tabs>
          <w:tab w:val="left" w:pos="3000"/>
        </w:tabs>
        <w:ind w:left="3000" w:hanging="420"/>
      </w:pPr>
      <w:rPr>
        <w:rFonts w:ascii="Wingdings" w:hAnsi="Wingdings" w:cs="Wingdings" w:hint="default"/>
      </w:rPr>
    </w:lvl>
    <w:lvl w:ilvl="6">
      <w:start w:val="1"/>
      <w:numFmt w:val="bullet"/>
      <w:lvlText w:val=""/>
      <w:lvlJc w:val="left"/>
      <w:pPr>
        <w:tabs>
          <w:tab w:val="left" w:pos="3420"/>
        </w:tabs>
        <w:ind w:left="3420" w:hanging="420"/>
      </w:pPr>
      <w:rPr>
        <w:rFonts w:ascii="Wingdings" w:hAnsi="Wingdings" w:cs="Wingdings" w:hint="default"/>
      </w:rPr>
    </w:lvl>
    <w:lvl w:ilvl="7">
      <w:start w:val="1"/>
      <w:numFmt w:val="bullet"/>
      <w:lvlText w:val=""/>
      <w:lvlJc w:val="left"/>
      <w:pPr>
        <w:tabs>
          <w:tab w:val="left" w:pos="3840"/>
        </w:tabs>
        <w:ind w:left="3840" w:hanging="420"/>
      </w:pPr>
      <w:rPr>
        <w:rFonts w:ascii="Wingdings" w:hAnsi="Wingdings" w:cs="Wingdings" w:hint="default"/>
      </w:rPr>
    </w:lvl>
    <w:lvl w:ilvl="8">
      <w:start w:val="1"/>
      <w:numFmt w:val="bullet"/>
      <w:lvlText w:val=""/>
      <w:lvlJc w:val="left"/>
      <w:pPr>
        <w:tabs>
          <w:tab w:val="left" w:pos="4260"/>
        </w:tabs>
        <w:ind w:left="4260" w:hanging="420"/>
      </w:pPr>
      <w:rPr>
        <w:rFonts w:ascii="Wingdings" w:hAnsi="Wingdings" w:cs="Wingdings" w:hint="default"/>
      </w:rPr>
    </w:lvl>
  </w:abstractNum>
  <w:abstractNum w:abstractNumId="2">
    <w:nsid w:val="00000013"/>
    <w:multiLevelType w:val="singleLevel"/>
    <w:tmpl w:val="00000013"/>
    <w:lvl w:ilvl="0">
      <w:start w:val="1"/>
      <w:numFmt w:val="bullet"/>
      <w:lvlText w:val=""/>
      <w:lvlJc w:val="left"/>
      <w:pPr>
        <w:tabs>
          <w:tab w:val="left" w:pos="360"/>
        </w:tabs>
        <w:ind w:left="360" w:hanging="360"/>
      </w:pPr>
      <w:rPr>
        <w:rFonts w:ascii="Symbol" w:hAnsi="Symbol" w:cs="Symbol" w:hint="default"/>
      </w:rPr>
    </w:lvl>
  </w:abstractNum>
  <w:abstractNum w:abstractNumId="3">
    <w:nsid w:val="00000014"/>
    <w:multiLevelType w:val="multilevel"/>
    <w:tmpl w:val="00000014"/>
    <w:lvl w:ilvl="0">
      <w:start w:val="1"/>
      <w:numFmt w:val="bullet"/>
      <w:lvlText w:val="-"/>
      <w:lvlJc w:val="left"/>
      <w:pPr>
        <w:tabs>
          <w:tab w:val="left" w:pos="420"/>
        </w:tabs>
        <w:ind w:left="420" w:hanging="420"/>
      </w:pPr>
      <w:rPr>
        <w:rFonts w:ascii="宋体" w:eastAsia="宋体" w:hAnsi="宋体" w:hint="eastAsia"/>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nsid w:val="00000018"/>
    <w:multiLevelType w:val="multilevel"/>
    <w:tmpl w:val="00000018"/>
    <w:lvl w:ilvl="0">
      <w:start w:val="1"/>
      <w:numFmt w:val="bullet"/>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5">
    <w:nsid w:val="0000001C"/>
    <w:multiLevelType w:val="multilevel"/>
    <w:tmpl w:val="0000001C"/>
    <w:lvl w:ilvl="0">
      <w:start w:val="1"/>
      <w:numFmt w:val="bullet"/>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6">
    <w:nsid w:val="0000001D"/>
    <w:multiLevelType w:val="multilevel"/>
    <w:tmpl w:val="0000001D"/>
    <w:lvl w:ilvl="0">
      <w:start w:val="1"/>
      <w:numFmt w:val="ideographDigital"/>
      <w:pStyle w:val="a"/>
      <w:lvlText w:val="附件%1"/>
      <w:lvlJc w:val="left"/>
      <w:pPr>
        <w:tabs>
          <w:tab w:val="left" w:pos="964"/>
        </w:tabs>
        <w:ind w:left="480" w:hanging="480"/>
      </w:pPr>
      <w:rPr>
        <w:rFonts w:hint="default"/>
        <w:sz w:val="24"/>
        <w:szCs w:val="24"/>
      </w:rPr>
    </w:lvl>
    <w:lvl w:ilvl="1">
      <w:start w:val="1"/>
      <w:numFmt w:val="aiueoFullWidth"/>
      <w:lvlText w:val="(%2)"/>
      <w:lvlJc w:val="left"/>
      <w:pPr>
        <w:ind w:left="960" w:hanging="480"/>
      </w:pPr>
    </w:lvl>
    <w:lvl w:ilvl="2">
      <w:start w:val="1"/>
      <w:numFmt w:val="decimalEnclosedCircle"/>
      <w:lvlText w:val="%3"/>
      <w:lvlJc w:val="left"/>
      <w:pPr>
        <w:ind w:left="1440" w:hanging="480"/>
      </w:pPr>
    </w:lvl>
    <w:lvl w:ilvl="3">
      <w:start w:val="1"/>
      <w:numFmt w:val="decimal"/>
      <w:lvlText w:val="%4."/>
      <w:lvlJc w:val="left"/>
      <w:pPr>
        <w:ind w:left="1920" w:hanging="480"/>
      </w:pPr>
    </w:lvl>
    <w:lvl w:ilvl="4">
      <w:start w:val="1"/>
      <w:numFmt w:val="aiueoFullWidth"/>
      <w:lvlText w:val="(%5)"/>
      <w:lvlJc w:val="left"/>
      <w:pPr>
        <w:ind w:left="2400" w:hanging="480"/>
      </w:pPr>
    </w:lvl>
    <w:lvl w:ilvl="5">
      <w:start w:val="1"/>
      <w:numFmt w:val="decimalEnclosedCircle"/>
      <w:lvlText w:val="%6"/>
      <w:lvlJc w:val="left"/>
      <w:pPr>
        <w:ind w:left="2880" w:hanging="480"/>
      </w:pPr>
    </w:lvl>
    <w:lvl w:ilvl="6">
      <w:start w:val="1"/>
      <w:numFmt w:val="decimal"/>
      <w:lvlText w:val="%7."/>
      <w:lvlJc w:val="left"/>
      <w:pPr>
        <w:ind w:left="3360" w:hanging="480"/>
      </w:pPr>
    </w:lvl>
    <w:lvl w:ilvl="7">
      <w:start w:val="1"/>
      <w:numFmt w:val="aiueoFullWidth"/>
      <w:lvlText w:val="(%8)"/>
      <w:lvlJc w:val="left"/>
      <w:pPr>
        <w:ind w:left="3840" w:hanging="480"/>
      </w:pPr>
    </w:lvl>
    <w:lvl w:ilvl="8">
      <w:start w:val="1"/>
      <w:numFmt w:val="decimalEnclosedCircle"/>
      <w:lvlText w:val="%9"/>
      <w:lvlJc w:val="left"/>
      <w:pPr>
        <w:ind w:left="4320" w:hanging="480"/>
      </w:pPr>
    </w:lvl>
  </w:abstractNum>
  <w:abstractNum w:abstractNumId="7">
    <w:nsid w:val="00000023"/>
    <w:multiLevelType w:val="multilevel"/>
    <w:tmpl w:val="00000023"/>
    <w:lvl w:ilvl="0">
      <w:start w:val="1"/>
      <w:numFmt w:val="decimal"/>
      <w:lvlText w:val="%1"/>
      <w:lvlJc w:val="left"/>
      <w:pPr>
        <w:tabs>
          <w:tab w:val="left" w:pos="360"/>
        </w:tabs>
        <w:ind w:left="360" w:hanging="360"/>
      </w:pPr>
      <w:rPr>
        <w:rFonts w:hint="default"/>
      </w:rPr>
    </w:lvl>
    <w:lvl w:ilvl="1">
      <w:start w:val="1"/>
      <w:numFmt w:val="decimal"/>
      <w:lvlText w:val="%1.%2"/>
      <w:lvlJc w:val="left"/>
      <w:pPr>
        <w:tabs>
          <w:tab w:val="left" w:pos="567"/>
        </w:tabs>
        <w:ind w:left="510" w:hanging="51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8">
    <w:nsid w:val="03B42D5D"/>
    <w:multiLevelType w:val="multilevel"/>
    <w:tmpl w:val="34528EE8"/>
    <w:lvl w:ilvl="0">
      <w:start w:val="1"/>
      <w:numFmt w:val="decimal"/>
      <w:lvlText w:val="%1."/>
      <w:lvlJc w:val="left"/>
      <w:pPr>
        <w:tabs>
          <w:tab w:val="left" w:pos="720"/>
        </w:tabs>
        <w:ind w:left="720" w:hanging="360"/>
      </w:pPr>
      <w:rPr>
        <w:rFonts w:hint="eastAsia"/>
      </w:rPr>
    </w:lvl>
    <w:lvl w:ilvl="1">
      <w:start w:val="1"/>
      <w:numFmt w:val="decimal"/>
      <w:lvlText w:val="%2."/>
      <w:lvlJc w:val="left"/>
      <w:pPr>
        <w:ind w:left="480" w:hanging="480"/>
      </w:pPr>
      <w:rPr>
        <w:rFonts w:ascii="Times New Roman" w:eastAsia="Times New Roman" w:hAnsi="Times New Roman" w:hint="default"/>
        <w:w w:val="100"/>
        <w:sz w:val="24"/>
        <w:szCs w:val="24"/>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9">
    <w:nsid w:val="03F756F3"/>
    <w:multiLevelType w:val="multilevel"/>
    <w:tmpl w:val="03F756F3"/>
    <w:lvl w:ilvl="0">
      <w:start w:val="1"/>
      <w:numFmt w:val="bullet"/>
      <w:lvlText w:val=""/>
      <w:lvlJc w:val="left"/>
      <w:pPr>
        <w:ind w:left="420" w:hanging="420"/>
      </w:pPr>
      <w:rPr>
        <w:rFonts w:ascii="Symbol" w:hAnsi="Symbol" w:cs="Symbol"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10">
    <w:nsid w:val="07531E25"/>
    <w:multiLevelType w:val="multilevel"/>
    <w:tmpl w:val="07531E25"/>
    <w:lvl w:ilvl="0">
      <w:start w:val="7"/>
      <w:numFmt w:val="decimal"/>
      <w:lvlText w:val="%1"/>
      <w:lvlJc w:val="left"/>
      <w:pPr>
        <w:ind w:left="907" w:hanging="368"/>
      </w:pPr>
      <w:rPr>
        <w:rFonts w:hint="default"/>
      </w:rPr>
    </w:lvl>
    <w:lvl w:ilvl="1">
      <w:start w:val="1"/>
      <w:numFmt w:val="decimal"/>
      <w:lvlText w:val="%1.%2"/>
      <w:lvlJc w:val="left"/>
      <w:pPr>
        <w:ind w:left="907" w:hanging="368"/>
      </w:pPr>
      <w:rPr>
        <w:rFonts w:ascii="Times New Roman" w:eastAsia="Times New Roman" w:hAnsi="Times New Roman" w:hint="default"/>
        <w:b/>
        <w:bCs/>
        <w:w w:val="100"/>
        <w:sz w:val="24"/>
        <w:szCs w:val="24"/>
      </w:rPr>
    </w:lvl>
    <w:lvl w:ilvl="2">
      <w:numFmt w:val="bullet"/>
      <w:lvlText w:val=""/>
      <w:lvlJc w:val="left"/>
      <w:pPr>
        <w:ind w:left="1271" w:hanging="420"/>
      </w:pPr>
      <w:rPr>
        <w:rFonts w:ascii="Wingdings" w:eastAsia="Times New Roman" w:hAnsi="Wingdings" w:hint="default"/>
        <w:w w:val="100"/>
        <w:sz w:val="24"/>
        <w:szCs w:val="24"/>
      </w:rPr>
    </w:lvl>
    <w:lvl w:ilvl="3">
      <w:start w:val="1"/>
      <w:numFmt w:val="bullet"/>
      <w:lvlText w:val=""/>
      <w:lvlJc w:val="left"/>
      <w:pPr>
        <w:ind w:left="1800" w:hanging="420"/>
      </w:pPr>
      <w:rPr>
        <w:rFonts w:ascii="Wingdings" w:hAnsi="Wingdings" w:cs="Wingdings" w:hint="default"/>
        <w:w w:val="243"/>
        <w:sz w:val="24"/>
        <w:szCs w:val="24"/>
      </w:rPr>
    </w:lvl>
    <w:lvl w:ilvl="4">
      <w:numFmt w:val="bullet"/>
      <w:lvlText w:val="•"/>
      <w:lvlJc w:val="left"/>
      <w:pPr>
        <w:ind w:left="1560" w:hanging="420"/>
      </w:pPr>
      <w:rPr>
        <w:rFonts w:hint="default"/>
      </w:rPr>
    </w:lvl>
    <w:lvl w:ilvl="5">
      <w:numFmt w:val="bullet"/>
      <w:lvlText w:val="•"/>
      <w:lvlJc w:val="left"/>
      <w:pPr>
        <w:ind w:left="1800" w:hanging="420"/>
      </w:pPr>
      <w:rPr>
        <w:rFonts w:hint="default"/>
      </w:rPr>
    </w:lvl>
    <w:lvl w:ilvl="6">
      <w:numFmt w:val="bullet"/>
      <w:lvlText w:val="•"/>
      <w:lvlJc w:val="left"/>
      <w:pPr>
        <w:ind w:left="1820" w:hanging="420"/>
      </w:pPr>
      <w:rPr>
        <w:rFonts w:hint="default"/>
      </w:rPr>
    </w:lvl>
    <w:lvl w:ilvl="7">
      <w:numFmt w:val="bullet"/>
      <w:lvlText w:val="•"/>
      <w:lvlJc w:val="left"/>
      <w:pPr>
        <w:ind w:left="3876" w:hanging="420"/>
      </w:pPr>
      <w:rPr>
        <w:rFonts w:hint="default"/>
      </w:rPr>
    </w:lvl>
    <w:lvl w:ilvl="8">
      <w:numFmt w:val="bullet"/>
      <w:lvlText w:val="•"/>
      <w:lvlJc w:val="left"/>
      <w:pPr>
        <w:ind w:left="5933" w:hanging="420"/>
      </w:pPr>
      <w:rPr>
        <w:rFonts w:hint="default"/>
      </w:rPr>
    </w:lvl>
  </w:abstractNum>
  <w:abstractNum w:abstractNumId="11">
    <w:nsid w:val="07847BD0"/>
    <w:multiLevelType w:val="multilevel"/>
    <w:tmpl w:val="07847BD0"/>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12">
    <w:nsid w:val="090B0B97"/>
    <w:multiLevelType w:val="multilevel"/>
    <w:tmpl w:val="090B0B9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13E73926"/>
    <w:multiLevelType w:val="multilevel"/>
    <w:tmpl w:val="13E73926"/>
    <w:lvl w:ilvl="0">
      <w:start w:val="7"/>
      <w:numFmt w:val="decimal"/>
      <w:lvlText w:val="%1"/>
      <w:lvlJc w:val="left"/>
      <w:pPr>
        <w:ind w:left="907" w:hanging="368"/>
      </w:pPr>
      <w:rPr>
        <w:rFonts w:hint="default"/>
      </w:rPr>
    </w:lvl>
    <w:lvl w:ilvl="1">
      <w:start w:val="1"/>
      <w:numFmt w:val="decimal"/>
      <w:lvlText w:val="%1.%2"/>
      <w:lvlJc w:val="left"/>
      <w:pPr>
        <w:ind w:left="907" w:hanging="368"/>
      </w:pPr>
      <w:rPr>
        <w:rFonts w:ascii="Times New Roman" w:eastAsia="Times New Roman" w:hAnsi="Times New Roman" w:hint="default"/>
        <w:b/>
        <w:bCs/>
        <w:w w:val="100"/>
        <w:sz w:val="24"/>
        <w:szCs w:val="24"/>
      </w:rPr>
    </w:lvl>
    <w:lvl w:ilvl="2">
      <w:start w:val="1"/>
      <w:numFmt w:val="bullet"/>
      <w:lvlText w:val=""/>
      <w:lvlJc w:val="left"/>
      <w:pPr>
        <w:ind w:left="1271" w:hanging="420"/>
      </w:pPr>
      <w:rPr>
        <w:rFonts w:ascii="Wingdings" w:hAnsi="Wingdings" w:cs="Wingdings" w:hint="default"/>
        <w:w w:val="100"/>
        <w:sz w:val="24"/>
        <w:szCs w:val="24"/>
      </w:rPr>
    </w:lvl>
    <w:lvl w:ilvl="3">
      <w:start w:val="1"/>
      <w:numFmt w:val="bullet"/>
      <w:lvlText w:val=""/>
      <w:lvlJc w:val="left"/>
      <w:pPr>
        <w:ind w:left="1800" w:hanging="420"/>
      </w:pPr>
      <w:rPr>
        <w:rFonts w:ascii="Wingdings" w:hAnsi="Wingdings" w:cs="Wingdings" w:hint="default"/>
        <w:w w:val="243"/>
        <w:sz w:val="24"/>
        <w:szCs w:val="24"/>
      </w:rPr>
    </w:lvl>
    <w:lvl w:ilvl="4">
      <w:numFmt w:val="bullet"/>
      <w:lvlText w:val="•"/>
      <w:lvlJc w:val="left"/>
      <w:pPr>
        <w:ind w:left="1560" w:hanging="420"/>
      </w:pPr>
      <w:rPr>
        <w:rFonts w:hint="default"/>
      </w:rPr>
    </w:lvl>
    <w:lvl w:ilvl="5">
      <w:numFmt w:val="bullet"/>
      <w:lvlText w:val="•"/>
      <w:lvlJc w:val="left"/>
      <w:pPr>
        <w:ind w:left="1800" w:hanging="420"/>
      </w:pPr>
      <w:rPr>
        <w:rFonts w:hint="default"/>
      </w:rPr>
    </w:lvl>
    <w:lvl w:ilvl="6">
      <w:numFmt w:val="bullet"/>
      <w:lvlText w:val="•"/>
      <w:lvlJc w:val="left"/>
      <w:pPr>
        <w:ind w:left="1820" w:hanging="420"/>
      </w:pPr>
      <w:rPr>
        <w:rFonts w:hint="default"/>
      </w:rPr>
    </w:lvl>
    <w:lvl w:ilvl="7">
      <w:numFmt w:val="bullet"/>
      <w:lvlText w:val="•"/>
      <w:lvlJc w:val="left"/>
      <w:pPr>
        <w:ind w:left="3876" w:hanging="420"/>
      </w:pPr>
      <w:rPr>
        <w:rFonts w:hint="default"/>
      </w:rPr>
    </w:lvl>
    <w:lvl w:ilvl="8">
      <w:numFmt w:val="bullet"/>
      <w:lvlText w:val="•"/>
      <w:lvlJc w:val="left"/>
      <w:pPr>
        <w:ind w:left="5933" w:hanging="420"/>
      </w:pPr>
      <w:rPr>
        <w:rFonts w:hint="default"/>
      </w:rPr>
    </w:lvl>
  </w:abstractNum>
  <w:abstractNum w:abstractNumId="14">
    <w:nsid w:val="19E22C4B"/>
    <w:multiLevelType w:val="multilevel"/>
    <w:tmpl w:val="19E22C4B"/>
    <w:lvl w:ilvl="0">
      <w:start w:val="1"/>
      <w:numFmt w:val="decimal"/>
      <w:lvlText w:val="%1."/>
      <w:lvlJc w:val="left"/>
      <w:pPr>
        <w:tabs>
          <w:tab w:val="left" w:pos="720"/>
        </w:tabs>
        <w:ind w:left="720" w:hanging="360"/>
      </w:pPr>
    </w:lvl>
    <w:lvl w:ilvl="1">
      <w:start w:val="1"/>
      <w:numFmt w:val="decimal"/>
      <w:lvlText w:val="%2."/>
      <w:lvlJc w:val="left"/>
      <w:pPr>
        <w:ind w:left="480" w:hanging="48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nsid w:val="1E3B6C34"/>
    <w:multiLevelType w:val="multilevel"/>
    <w:tmpl w:val="1E3B6C34"/>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nsid w:val="1EF849FB"/>
    <w:multiLevelType w:val="multilevel"/>
    <w:tmpl w:val="1EDE7A0E"/>
    <w:lvl w:ilvl="0">
      <w:start w:val="1"/>
      <w:numFmt w:val="decimal"/>
      <w:lvlText w:val="%1."/>
      <w:lvlJc w:val="left"/>
      <w:pPr>
        <w:tabs>
          <w:tab w:val="left" w:pos="720"/>
        </w:tabs>
        <w:ind w:left="720" w:hanging="360"/>
      </w:pPr>
      <w:rPr>
        <w:rFonts w:hint="eastAsia"/>
      </w:rPr>
    </w:lvl>
    <w:lvl w:ilvl="1">
      <w:start w:val="1"/>
      <w:numFmt w:val="decimal"/>
      <w:lvlText w:val="%2."/>
      <w:lvlJc w:val="left"/>
      <w:pPr>
        <w:ind w:left="480" w:hanging="480"/>
      </w:pPr>
      <w:rPr>
        <w:rFonts w:ascii="Times New Roman" w:eastAsia="Times New Roman" w:hAnsi="Times New Roman" w:hint="default"/>
        <w:w w:val="100"/>
        <w:sz w:val="24"/>
        <w:szCs w:val="24"/>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17">
    <w:nsid w:val="203548AE"/>
    <w:multiLevelType w:val="multilevel"/>
    <w:tmpl w:val="203548AE"/>
    <w:lvl w:ilvl="0">
      <w:start w:val="1"/>
      <w:numFmt w:val="decimal"/>
      <w:lvlText w:val="%1."/>
      <w:lvlJc w:val="left"/>
      <w:pPr>
        <w:ind w:left="420" w:hanging="420"/>
      </w:pPr>
      <w:rPr>
        <w:rFonts w:ascii="Times New Roman" w:eastAsia="宋体" w:hAnsi="Times New Roman" w:hint="default"/>
        <w:spacing w:val="-1"/>
        <w:w w:val="99"/>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nsid w:val="21975EAA"/>
    <w:multiLevelType w:val="multilevel"/>
    <w:tmpl w:val="1D8E298A"/>
    <w:lvl w:ilvl="0">
      <w:start w:val="1"/>
      <w:numFmt w:val="decimal"/>
      <w:lvlText w:val="%1."/>
      <w:lvlJc w:val="left"/>
      <w:pPr>
        <w:tabs>
          <w:tab w:val="num" w:pos="720"/>
        </w:tabs>
        <w:ind w:left="720" w:hanging="360"/>
      </w:pPr>
      <w:rPr>
        <w:rFonts w:hint="eastAsia"/>
      </w:rPr>
    </w:lvl>
    <w:lvl w:ilvl="1">
      <w:start w:val="7"/>
      <w:numFmt w:val="decimal"/>
      <w:lvlText w:val="%2."/>
      <w:lvlJc w:val="left"/>
      <w:pPr>
        <w:ind w:left="480" w:hanging="480"/>
      </w:pPr>
      <w:rPr>
        <w:rFonts w:ascii="Times New Roman" w:eastAsia="宋体" w:hAnsi="Times New Roman" w:hint="default"/>
        <w:w w:val="100"/>
        <w:sz w:val="24"/>
        <w:szCs w:val="24"/>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9">
    <w:nsid w:val="228B6C9D"/>
    <w:multiLevelType w:val="multilevel"/>
    <w:tmpl w:val="34528EE8"/>
    <w:lvl w:ilvl="0">
      <w:start w:val="1"/>
      <w:numFmt w:val="decimal"/>
      <w:lvlText w:val="%1."/>
      <w:lvlJc w:val="left"/>
      <w:pPr>
        <w:tabs>
          <w:tab w:val="left" w:pos="720"/>
        </w:tabs>
        <w:ind w:left="720" w:hanging="360"/>
      </w:pPr>
      <w:rPr>
        <w:rFonts w:hint="eastAsia"/>
      </w:rPr>
    </w:lvl>
    <w:lvl w:ilvl="1">
      <w:start w:val="1"/>
      <w:numFmt w:val="decimal"/>
      <w:lvlText w:val="%2."/>
      <w:lvlJc w:val="left"/>
      <w:pPr>
        <w:ind w:left="480" w:hanging="480"/>
      </w:pPr>
      <w:rPr>
        <w:rFonts w:ascii="Times New Roman" w:eastAsia="Times New Roman" w:hAnsi="Times New Roman" w:hint="default"/>
        <w:w w:val="100"/>
        <w:sz w:val="24"/>
        <w:szCs w:val="24"/>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20">
    <w:nsid w:val="22EE4700"/>
    <w:multiLevelType w:val="multilevel"/>
    <w:tmpl w:val="22EE4700"/>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21">
    <w:nsid w:val="29EA3E72"/>
    <w:multiLevelType w:val="multilevel"/>
    <w:tmpl w:val="0F5472F4"/>
    <w:lvl w:ilvl="0">
      <w:start w:val="1"/>
      <w:numFmt w:val="decimal"/>
      <w:lvlText w:val="%1."/>
      <w:lvlJc w:val="left"/>
      <w:pPr>
        <w:tabs>
          <w:tab w:val="num" w:pos="720"/>
        </w:tabs>
        <w:ind w:left="720" w:hanging="360"/>
      </w:pPr>
      <w:rPr>
        <w:rFonts w:hint="eastAsia"/>
      </w:rPr>
    </w:lvl>
    <w:lvl w:ilvl="1">
      <w:start w:val="4"/>
      <w:numFmt w:val="decimal"/>
      <w:lvlText w:val="%2."/>
      <w:lvlJc w:val="left"/>
      <w:pPr>
        <w:ind w:left="480" w:hanging="480"/>
      </w:pPr>
      <w:rPr>
        <w:rFonts w:ascii="Times New Roman" w:eastAsia="宋体" w:hAnsi="Times New Roman" w:hint="default"/>
        <w:w w:val="100"/>
        <w:sz w:val="24"/>
        <w:szCs w:val="24"/>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2">
    <w:nsid w:val="308F1C07"/>
    <w:multiLevelType w:val="multilevel"/>
    <w:tmpl w:val="308F1C07"/>
    <w:lvl w:ilvl="0">
      <w:start w:val="1"/>
      <w:numFmt w:val="bullet"/>
      <w:lvlText w:val=""/>
      <w:lvlJc w:val="left"/>
      <w:pPr>
        <w:ind w:left="900" w:hanging="420"/>
      </w:pPr>
      <w:rPr>
        <w:rFonts w:ascii="Wingdings" w:hAnsi="Wingdings" w:cs="Wingdings" w:hint="default"/>
      </w:rPr>
    </w:lvl>
    <w:lvl w:ilvl="1">
      <w:start w:val="1"/>
      <w:numFmt w:val="bullet"/>
      <w:lvlText w:val=""/>
      <w:lvlJc w:val="left"/>
      <w:pPr>
        <w:ind w:left="1320" w:hanging="420"/>
      </w:pPr>
      <w:rPr>
        <w:rFonts w:ascii="Wingdings" w:hAnsi="Wingdings" w:cs="Wingdings" w:hint="default"/>
      </w:rPr>
    </w:lvl>
    <w:lvl w:ilvl="2">
      <w:start w:val="1"/>
      <w:numFmt w:val="bullet"/>
      <w:lvlText w:val=""/>
      <w:lvlJc w:val="left"/>
      <w:pPr>
        <w:ind w:left="1740" w:hanging="420"/>
      </w:pPr>
      <w:rPr>
        <w:rFonts w:ascii="Wingdings" w:hAnsi="Wingdings" w:cs="Wingdings" w:hint="default"/>
      </w:rPr>
    </w:lvl>
    <w:lvl w:ilvl="3">
      <w:start w:val="1"/>
      <w:numFmt w:val="bullet"/>
      <w:lvlText w:val=""/>
      <w:lvlJc w:val="left"/>
      <w:pPr>
        <w:ind w:left="2160" w:hanging="420"/>
      </w:pPr>
      <w:rPr>
        <w:rFonts w:ascii="Wingdings" w:hAnsi="Wingdings" w:cs="Wingdings" w:hint="default"/>
      </w:rPr>
    </w:lvl>
    <w:lvl w:ilvl="4">
      <w:start w:val="1"/>
      <w:numFmt w:val="bullet"/>
      <w:lvlText w:val=""/>
      <w:lvlJc w:val="left"/>
      <w:pPr>
        <w:ind w:left="2580" w:hanging="420"/>
      </w:pPr>
      <w:rPr>
        <w:rFonts w:ascii="Wingdings" w:hAnsi="Wingdings" w:cs="Wingdings" w:hint="default"/>
      </w:rPr>
    </w:lvl>
    <w:lvl w:ilvl="5">
      <w:start w:val="1"/>
      <w:numFmt w:val="bullet"/>
      <w:lvlText w:val=""/>
      <w:lvlJc w:val="left"/>
      <w:pPr>
        <w:ind w:left="3000" w:hanging="420"/>
      </w:pPr>
      <w:rPr>
        <w:rFonts w:ascii="Wingdings" w:hAnsi="Wingdings" w:cs="Wingdings" w:hint="default"/>
      </w:rPr>
    </w:lvl>
    <w:lvl w:ilvl="6">
      <w:start w:val="1"/>
      <w:numFmt w:val="bullet"/>
      <w:lvlText w:val=""/>
      <w:lvlJc w:val="left"/>
      <w:pPr>
        <w:ind w:left="3420" w:hanging="420"/>
      </w:pPr>
      <w:rPr>
        <w:rFonts w:ascii="Wingdings" w:hAnsi="Wingdings" w:cs="Wingdings" w:hint="default"/>
      </w:rPr>
    </w:lvl>
    <w:lvl w:ilvl="7">
      <w:start w:val="1"/>
      <w:numFmt w:val="bullet"/>
      <w:lvlText w:val=""/>
      <w:lvlJc w:val="left"/>
      <w:pPr>
        <w:ind w:left="3840" w:hanging="420"/>
      </w:pPr>
      <w:rPr>
        <w:rFonts w:ascii="Wingdings" w:hAnsi="Wingdings" w:cs="Wingdings" w:hint="default"/>
      </w:rPr>
    </w:lvl>
    <w:lvl w:ilvl="8">
      <w:start w:val="1"/>
      <w:numFmt w:val="bullet"/>
      <w:lvlText w:val=""/>
      <w:lvlJc w:val="left"/>
      <w:pPr>
        <w:ind w:left="4260" w:hanging="420"/>
      </w:pPr>
      <w:rPr>
        <w:rFonts w:ascii="Wingdings" w:hAnsi="Wingdings" w:cs="Wingdings" w:hint="default"/>
      </w:rPr>
    </w:lvl>
  </w:abstractNum>
  <w:abstractNum w:abstractNumId="23">
    <w:nsid w:val="34D17F01"/>
    <w:multiLevelType w:val="multilevel"/>
    <w:tmpl w:val="34D17F01"/>
    <w:lvl w:ilvl="0">
      <w:start w:val="7"/>
      <w:numFmt w:val="decimal"/>
      <w:lvlText w:val="%1"/>
      <w:lvlJc w:val="left"/>
      <w:pPr>
        <w:ind w:left="907" w:hanging="368"/>
      </w:pPr>
      <w:rPr>
        <w:rFonts w:hint="default"/>
      </w:rPr>
    </w:lvl>
    <w:lvl w:ilvl="1">
      <w:start w:val="1"/>
      <w:numFmt w:val="decimal"/>
      <w:lvlText w:val="%1.%2"/>
      <w:lvlJc w:val="left"/>
      <w:pPr>
        <w:ind w:left="907" w:hanging="368"/>
      </w:pPr>
      <w:rPr>
        <w:rFonts w:ascii="Times New Roman" w:eastAsia="Times New Roman" w:hAnsi="Times New Roman" w:hint="default"/>
        <w:b/>
        <w:bCs/>
        <w:w w:val="100"/>
        <w:sz w:val="24"/>
        <w:szCs w:val="24"/>
      </w:rPr>
    </w:lvl>
    <w:lvl w:ilvl="2">
      <w:start w:val="1"/>
      <w:numFmt w:val="bullet"/>
      <w:lvlText w:val=""/>
      <w:lvlJc w:val="left"/>
      <w:pPr>
        <w:ind w:left="1271" w:hanging="420"/>
      </w:pPr>
      <w:rPr>
        <w:rFonts w:ascii="Wingdings" w:hAnsi="Wingdings" w:cs="Wingdings" w:hint="default"/>
        <w:w w:val="100"/>
        <w:sz w:val="24"/>
        <w:szCs w:val="24"/>
      </w:rPr>
    </w:lvl>
    <w:lvl w:ilvl="3">
      <w:start w:val="1"/>
      <w:numFmt w:val="bullet"/>
      <w:lvlText w:val=""/>
      <w:lvlJc w:val="left"/>
      <w:pPr>
        <w:ind w:left="1800" w:hanging="420"/>
      </w:pPr>
      <w:rPr>
        <w:rFonts w:ascii="Wingdings" w:hAnsi="Wingdings" w:cs="Wingdings" w:hint="default"/>
        <w:w w:val="243"/>
        <w:sz w:val="24"/>
        <w:szCs w:val="24"/>
      </w:rPr>
    </w:lvl>
    <w:lvl w:ilvl="4">
      <w:numFmt w:val="bullet"/>
      <w:lvlText w:val="•"/>
      <w:lvlJc w:val="left"/>
      <w:pPr>
        <w:ind w:left="1560" w:hanging="420"/>
      </w:pPr>
      <w:rPr>
        <w:rFonts w:hint="default"/>
      </w:rPr>
    </w:lvl>
    <w:lvl w:ilvl="5">
      <w:numFmt w:val="bullet"/>
      <w:lvlText w:val="•"/>
      <w:lvlJc w:val="left"/>
      <w:pPr>
        <w:ind w:left="1800" w:hanging="420"/>
      </w:pPr>
      <w:rPr>
        <w:rFonts w:hint="default"/>
      </w:rPr>
    </w:lvl>
    <w:lvl w:ilvl="6">
      <w:numFmt w:val="bullet"/>
      <w:lvlText w:val="•"/>
      <w:lvlJc w:val="left"/>
      <w:pPr>
        <w:ind w:left="1820" w:hanging="420"/>
      </w:pPr>
      <w:rPr>
        <w:rFonts w:hint="default"/>
      </w:rPr>
    </w:lvl>
    <w:lvl w:ilvl="7">
      <w:numFmt w:val="bullet"/>
      <w:lvlText w:val="•"/>
      <w:lvlJc w:val="left"/>
      <w:pPr>
        <w:ind w:left="3876" w:hanging="420"/>
      </w:pPr>
      <w:rPr>
        <w:rFonts w:hint="default"/>
      </w:rPr>
    </w:lvl>
    <w:lvl w:ilvl="8">
      <w:numFmt w:val="bullet"/>
      <w:lvlText w:val="•"/>
      <w:lvlJc w:val="left"/>
      <w:pPr>
        <w:ind w:left="5933" w:hanging="420"/>
      </w:pPr>
      <w:rPr>
        <w:rFonts w:hint="default"/>
      </w:rPr>
    </w:lvl>
  </w:abstractNum>
  <w:abstractNum w:abstractNumId="24">
    <w:nsid w:val="34D479B7"/>
    <w:multiLevelType w:val="multilevel"/>
    <w:tmpl w:val="34D479B7"/>
    <w:lvl w:ilvl="0">
      <w:start w:val="1"/>
      <w:numFmt w:val="decimal"/>
      <w:lvlText w:val="%1)"/>
      <w:lvlJc w:val="left"/>
      <w:pPr>
        <w:ind w:left="879" w:hanging="420"/>
      </w:pPr>
    </w:lvl>
    <w:lvl w:ilvl="1">
      <w:start w:val="1"/>
      <w:numFmt w:val="lowerLetter"/>
      <w:lvlText w:val="%2)"/>
      <w:lvlJc w:val="left"/>
      <w:pPr>
        <w:ind w:left="1299" w:hanging="420"/>
      </w:pPr>
    </w:lvl>
    <w:lvl w:ilvl="2">
      <w:start w:val="1"/>
      <w:numFmt w:val="lowerRoman"/>
      <w:lvlText w:val="%3."/>
      <w:lvlJc w:val="right"/>
      <w:pPr>
        <w:ind w:left="1719" w:hanging="420"/>
      </w:pPr>
    </w:lvl>
    <w:lvl w:ilvl="3">
      <w:start w:val="1"/>
      <w:numFmt w:val="decimal"/>
      <w:lvlText w:val="%4."/>
      <w:lvlJc w:val="left"/>
      <w:pPr>
        <w:ind w:left="2139" w:hanging="420"/>
      </w:pPr>
    </w:lvl>
    <w:lvl w:ilvl="4">
      <w:start w:val="1"/>
      <w:numFmt w:val="lowerLetter"/>
      <w:lvlText w:val="%5)"/>
      <w:lvlJc w:val="left"/>
      <w:pPr>
        <w:ind w:left="2559" w:hanging="420"/>
      </w:pPr>
    </w:lvl>
    <w:lvl w:ilvl="5">
      <w:start w:val="1"/>
      <w:numFmt w:val="lowerRoman"/>
      <w:lvlText w:val="%6."/>
      <w:lvlJc w:val="right"/>
      <w:pPr>
        <w:ind w:left="2979" w:hanging="420"/>
      </w:pPr>
    </w:lvl>
    <w:lvl w:ilvl="6">
      <w:start w:val="1"/>
      <w:numFmt w:val="decimal"/>
      <w:lvlText w:val="%7."/>
      <w:lvlJc w:val="left"/>
      <w:pPr>
        <w:ind w:left="3399" w:hanging="420"/>
      </w:pPr>
    </w:lvl>
    <w:lvl w:ilvl="7">
      <w:start w:val="1"/>
      <w:numFmt w:val="lowerLetter"/>
      <w:lvlText w:val="%8)"/>
      <w:lvlJc w:val="left"/>
      <w:pPr>
        <w:ind w:left="3819" w:hanging="420"/>
      </w:pPr>
    </w:lvl>
    <w:lvl w:ilvl="8">
      <w:start w:val="1"/>
      <w:numFmt w:val="lowerRoman"/>
      <w:lvlText w:val="%9."/>
      <w:lvlJc w:val="right"/>
      <w:pPr>
        <w:ind w:left="4239" w:hanging="420"/>
      </w:pPr>
    </w:lvl>
  </w:abstractNum>
  <w:abstractNum w:abstractNumId="25">
    <w:nsid w:val="40D733BC"/>
    <w:multiLevelType w:val="multilevel"/>
    <w:tmpl w:val="40D733BC"/>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6">
    <w:nsid w:val="42310AA0"/>
    <w:multiLevelType w:val="multilevel"/>
    <w:tmpl w:val="42310AA0"/>
    <w:lvl w:ilvl="0">
      <w:start w:val="7"/>
      <w:numFmt w:val="decimal"/>
      <w:lvlText w:val="%1"/>
      <w:lvlJc w:val="left"/>
      <w:pPr>
        <w:ind w:left="907" w:hanging="368"/>
      </w:pPr>
      <w:rPr>
        <w:rFonts w:hint="default"/>
      </w:rPr>
    </w:lvl>
    <w:lvl w:ilvl="1">
      <w:start w:val="1"/>
      <w:numFmt w:val="decimal"/>
      <w:lvlText w:val="%1.%2"/>
      <w:lvlJc w:val="left"/>
      <w:pPr>
        <w:ind w:left="907" w:hanging="368"/>
      </w:pPr>
      <w:rPr>
        <w:rFonts w:ascii="Times New Roman" w:eastAsia="Times New Roman" w:hAnsi="Times New Roman" w:hint="default"/>
        <w:b/>
        <w:bCs/>
        <w:w w:val="100"/>
        <w:sz w:val="24"/>
        <w:szCs w:val="24"/>
      </w:rPr>
    </w:lvl>
    <w:lvl w:ilvl="2">
      <w:start w:val="1"/>
      <w:numFmt w:val="bullet"/>
      <w:lvlText w:val=""/>
      <w:lvlJc w:val="left"/>
      <w:pPr>
        <w:ind w:left="1271" w:hanging="420"/>
      </w:pPr>
      <w:rPr>
        <w:rFonts w:ascii="Wingdings" w:hAnsi="Wingdings" w:cs="Wingdings" w:hint="default"/>
        <w:w w:val="100"/>
        <w:sz w:val="24"/>
        <w:szCs w:val="24"/>
      </w:rPr>
    </w:lvl>
    <w:lvl w:ilvl="3">
      <w:start w:val="1"/>
      <w:numFmt w:val="bullet"/>
      <w:lvlText w:val=""/>
      <w:lvlJc w:val="left"/>
      <w:pPr>
        <w:ind w:left="1800" w:hanging="420"/>
      </w:pPr>
      <w:rPr>
        <w:rFonts w:ascii="Wingdings" w:hAnsi="Wingdings" w:cs="Wingdings" w:hint="default"/>
        <w:w w:val="243"/>
        <w:sz w:val="24"/>
        <w:szCs w:val="24"/>
      </w:rPr>
    </w:lvl>
    <w:lvl w:ilvl="4">
      <w:numFmt w:val="bullet"/>
      <w:lvlText w:val="•"/>
      <w:lvlJc w:val="left"/>
      <w:pPr>
        <w:ind w:left="1560" w:hanging="420"/>
      </w:pPr>
      <w:rPr>
        <w:rFonts w:hint="default"/>
      </w:rPr>
    </w:lvl>
    <w:lvl w:ilvl="5">
      <w:numFmt w:val="bullet"/>
      <w:lvlText w:val="•"/>
      <w:lvlJc w:val="left"/>
      <w:pPr>
        <w:ind w:left="1800" w:hanging="420"/>
      </w:pPr>
      <w:rPr>
        <w:rFonts w:hint="default"/>
      </w:rPr>
    </w:lvl>
    <w:lvl w:ilvl="6">
      <w:numFmt w:val="bullet"/>
      <w:lvlText w:val="•"/>
      <w:lvlJc w:val="left"/>
      <w:pPr>
        <w:ind w:left="1820" w:hanging="420"/>
      </w:pPr>
      <w:rPr>
        <w:rFonts w:hint="default"/>
      </w:rPr>
    </w:lvl>
    <w:lvl w:ilvl="7">
      <w:numFmt w:val="bullet"/>
      <w:lvlText w:val="•"/>
      <w:lvlJc w:val="left"/>
      <w:pPr>
        <w:ind w:left="3876" w:hanging="420"/>
      </w:pPr>
      <w:rPr>
        <w:rFonts w:hint="default"/>
      </w:rPr>
    </w:lvl>
    <w:lvl w:ilvl="8">
      <w:numFmt w:val="bullet"/>
      <w:lvlText w:val="•"/>
      <w:lvlJc w:val="left"/>
      <w:pPr>
        <w:ind w:left="5933" w:hanging="420"/>
      </w:pPr>
      <w:rPr>
        <w:rFonts w:hint="default"/>
      </w:rPr>
    </w:lvl>
  </w:abstractNum>
  <w:abstractNum w:abstractNumId="27">
    <w:nsid w:val="424A48AC"/>
    <w:multiLevelType w:val="multilevel"/>
    <w:tmpl w:val="424A48AC"/>
    <w:lvl w:ilvl="0">
      <w:start w:val="7"/>
      <w:numFmt w:val="decimal"/>
      <w:lvlText w:val="%1"/>
      <w:lvlJc w:val="left"/>
      <w:pPr>
        <w:ind w:left="907" w:hanging="368"/>
      </w:pPr>
      <w:rPr>
        <w:rFonts w:hint="default"/>
      </w:rPr>
    </w:lvl>
    <w:lvl w:ilvl="1">
      <w:start w:val="1"/>
      <w:numFmt w:val="decimal"/>
      <w:lvlText w:val="%1.%2"/>
      <w:lvlJc w:val="left"/>
      <w:pPr>
        <w:ind w:left="907" w:hanging="368"/>
      </w:pPr>
      <w:rPr>
        <w:rFonts w:ascii="Times New Roman" w:eastAsia="Times New Roman" w:hAnsi="Times New Roman" w:hint="default"/>
        <w:b/>
        <w:bCs/>
        <w:w w:val="100"/>
        <w:sz w:val="24"/>
        <w:szCs w:val="24"/>
      </w:rPr>
    </w:lvl>
    <w:lvl w:ilvl="2">
      <w:start w:val="1"/>
      <w:numFmt w:val="bullet"/>
      <w:lvlText w:val=""/>
      <w:lvlJc w:val="left"/>
      <w:pPr>
        <w:ind w:left="1271" w:hanging="420"/>
      </w:pPr>
      <w:rPr>
        <w:rFonts w:ascii="Wingdings" w:hAnsi="Wingdings" w:cs="Wingdings" w:hint="default"/>
        <w:w w:val="100"/>
        <w:sz w:val="24"/>
        <w:szCs w:val="24"/>
      </w:rPr>
    </w:lvl>
    <w:lvl w:ilvl="3">
      <w:start w:val="1"/>
      <w:numFmt w:val="bullet"/>
      <w:lvlText w:val=""/>
      <w:lvlJc w:val="left"/>
      <w:pPr>
        <w:ind w:left="1800" w:hanging="420"/>
      </w:pPr>
      <w:rPr>
        <w:rFonts w:ascii="Wingdings" w:hAnsi="Wingdings" w:cs="Wingdings" w:hint="default"/>
        <w:w w:val="243"/>
        <w:sz w:val="24"/>
        <w:szCs w:val="24"/>
      </w:rPr>
    </w:lvl>
    <w:lvl w:ilvl="4">
      <w:numFmt w:val="bullet"/>
      <w:lvlText w:val="•"/>
      <w:lvlJc w:val="left"/>
      <w:pPr>
        <w:ind w:left="1560" w:hanging="420"/>
      </w:pPr>
      <w:rPr>
        <w:rFonts w:hint="default"/>
      </w:rPr>
    </w:lvl>
    <w:lvl w:ilvl="5">
      <w:numFmt w:val="bullet"/>
      <w:lvlText w:val="•"/>
      <w:lvlJc w:val="left"/>
      <w:pPr>
        <w:ind w:left="1800" w:hanging="420"/>
      </w:pPr>
      <w:rPr>
        <w:rFonts w:hint="default"/>
      </w:rPr>
    </w:lvl>
    <w:lvl w:ilvl="6">
      <w:numFmt w:val="bullet"/>
      <w:lvlText w:val="•"/>
      <w:lvlJc w:val="left"/>
      <w:pPr>
        <w:ind w:left="1820" w:hanging="420"/>
      </w:pPr>
      <w:rPr>
        <w:rFonts w:hint="default"/>
      </w:rPr>
    </w:lvl>
    <w:lvl w:ilvl="7">
      <w:numFmt w:val="bullet"/>
      <w:lvlText w:val="•"/>
      <w:lvlJc w:val="left"/>
      <w:pPr>
        <w:ind w:left="3876" w:hanging="420"/>
      </w:pPr>
      <w:rPr>
        <w:rFonts w:hint="default"/>
      </w:rPr>
    </w:lvl>
    <w:lvl w:ilvl="8">
      <w:numFmt w:val="bullet"/>
      <w:lvlText w:val="•"/>
      <w:lvlJc w:val="left"/>
      <w:pPr>
        <w:ind w:left="5933" w:hanging="420"/>
      </w:pPr>
      <w:rPr>
        <w:rFonts w:hint="default"/>
      </w:rPr>
    </w:lvl>
  </w:abstractNum>
  <w:abstractNum w:abstractNumId="28">
    <w:nsid w:val="44C44F0D"/>
    <w:multiLevelType w:val="multilevel"/>
    <w:tmpl w:val="44C44F0D"/>
    <w:lvl w:ilvl="0">
      <w:start w:val="1"/>
      <w:numFmt w:val="decimal"/>
      <w:lvlText w:val="%1."/>
      <w:lvlJc w:val="left"/>
      <w:pPr>
        <w:ind w:left="480" w:hanging="480"/>
      </w:pPr>
      <w:rPr>
        <w:rFonts w:ascii="Times New Roman" w:hAnsi="Times New Roman" w:cs="Times New Roman" w:hint="default"/>
        <w:i w:val="0"/>
        <w:iCs w:val="0"/>
        <w:color w:val="auto"/>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29">
    <w:nsid w:val="47321B54"/>
    <w:multiLevelType w:val="multilevel"/>
    <w:tmpl w:val="47321B54"/>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30">
    <w:nsid w:val="49AE6F5E"/>
    <w:multiLevelType w:val="hybridMultilevel"/>
    <w:tmpl w:val="4894A664"/>
    <w:lvl w:ilvl="0" w:tplc="82D245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4AF2738A"/>
    <w:multiLevelType w:val="multilevel"/>
    <w:tmpl w:val="4AF2738A"/>
    <w:lvl w:ilvl="0">
      <w:start w:val="5"/>
      <w:numFmt w:val="decimal"/>
      <w:lvlText w:val="%1"/>
      <w:lvlJc w:val="left"/>
      <w:pPr>
        <w:ind w:left="1193" w:hanging="548"/>
      </w:pPr>
      <w:rPr>
        <w:rFonts w:hint="default"/>
      </w:rPr>
    </w:lvl>
    <w:lvl w:ilvl="1">
      <w:start w:val="4"/>
      <w:numFmt w:val="decimal"/>
      <w:lvlText w:val="%1.%2"/>
      <w:lvlJc w:val="left"/>
      <w:pPr>
        <w:ind w:left="1193" w:hanging="548"/>
      </w:pPr>
      <w:rPr>
        <w:rFonts w:hint="default"/>
      </w:rPr>
    </w:lvl>
    <w:lvl w:ilvl="2">
      <w:start w:val="1"/>
      <w:numFmt w:val="decimal"/>
      <w:lvlText w:val="%1.%2.%3"/>
      <w:lvlJc w:val="left"/>
      <w:pPr>
        <w:ind w:left="1193" w:hanging="548"/>
      </w:pPr>
      <w:rPr>
        <w:rFonts w:ascii="Times New Roman" w:eastAsia="Times New Roman" w:hAnsi="Times New Roman" w:hint="default"/>
        <w:b/>
        <w:bCs/>
        <w:w w:val="100"/>
        <w:sz w:val="24"/>
        <w:szCs w:val="24"/>
      </w:rPr>
    </w:lvl>
    <w:lvl w:ilvl="3">
      <w:start w:val="1"/>
      <w:numFmt w:val="decimal"/>
      <w:lvlText w:val="%4."/>
      <w:lvlJc w:val="left"/>
      <w:pPr>
        <w:ind w:left="967" w:hanging="420"/>
      </w:pPr>
      <w:rPr>
        <w:rFonts w:hint="eastAsia"/>
        <w:w w:val="100"/>
        <w:sz w:val="24"/>
        <w:szCs w:val="24"/>
      </w:rPr>
    </w:lvl>
    <w:lvl w:ilvl="4">
      <w:numFmt w:val="bullet"/>
      <w:lvlText w:val="•"/>
      <w:lvlJc w:val="left"/>
      <w:pPr>
        <w:ind w:left="4148" w:hanging="420"/>
      </w:pPr>
      <w:rPr>
        <w:rFonts w:hint="default"/>
      </w:rPr>
    </w:lvl>
    <w:lvl w:ilvl="5">
      <w:numFmt w:val="bullet"/>
      <w:lvlText w:val="•"/>
      <w:lvlJc w:val="left"/>
      <w:pPr>
        <w:ind w:left="5131" w:hanging="420"/>
      </w:pPr>
      <w:rPr>
        <w:rFonts w:hint="default"/>
      </w:rPr>
    </w:lvl>
    <w:lvl w:ilvl="6">
      <w:numFmt w:val="bullet"/>
      <w:lvlText w:val="•"/>
      <w:lvlJc w:val="left"/>
      <w:pPr>
        <w:ind w:left="6114" w:hanging="420"/>
      </w:pPr>
      <w:rPr>
        <w:rFonts w:hint="default"/>
      </w:rPr>
    </w:lvl>
    <w:lvl w:ilvl="7">
      <w:numFmt w:val="bullet"/>
      <w:lvlText w:val="•"/>
      <w:lvlJc w:val="left"/>
      <w:pPr>
        <w:ind w:left="7097" w:hanging="420"/>
      </w:pPr>
      <w:rPr>
        <w:rFonts w:hint="default"/>
      </w:rPr>
    </w:lvl>
    <w:lvl w:ilvl="8">
      <w:numFmt w:val="bullet"/>
      <w:lvlText w:val="•"/>
      <w:lvlJc w:val="left"/>
      <w:pPr>
        <w:ind w:left="8080" w:hanging="420"/>
      </w:pPr>
      <w:rPr>
        <w:rFonts w:hint="default"/>
      </w:rPr>
    </w:lvl>
  </w:abstractNum>
  <w:abstractNum w:abstractNumId="32">
    <w:nsid w:val="533F5516"/>
    <w:multiLevelType w:val="multilevel"/>
    <w:tmpl w:val="533F5516"/>
    <w:lvl w:ilvl="0">
      <w:start w:val="1"/>
      <w:numFmt w:val="bullet"/>
      <w:lvlText w:val=""/>
      <w:lvlJc w:val="left"/>
      <w:pPr>
        <w:ind w:left="905" w:hanging="420"/>
      </w:pPr>
      <w:rPr>
        <w:rFonts w:ascii="Wingdings" w:hAnsi="Wingdings" w:cs="Wingdings" w:hint="default"/>
      </w:rPr>
    </w:lvl>
    <w:lvl w:ilvl="1">
      <w:start w:val="1"/>
      <w:numFmt w:val="bullet"/>
      <w:lvlText w:val=""/>
      <w:lvlJc w:val="left"/>
      <w:pPr>
        <w:ind w:left="1325" w:hanging="420"/>
      </w:pPr>
      <w:rPr>
        <w:rFonts w:ascii="Wingdings" w:hAnsi="Wingdings" w:cs="Wingdings" w:hint="default"/>
      </w:rPr>
    </w:lvl>
    <w:lvl w:ilvl="2">
      <w:start w:val="1"/>
      <w:numFmt w:val="bullet"/>
      <w:lvlText w:val=""/>
      <w:lvlJc w:val="left"/>
      <w:pPr>
        <w:ind w:left="1745" w:hanging="420"/>
      </w:pPr>
      <w:rPr>
        <w:rFonts w:ascii="Wingdings" w:hAnsi="Wingdings" w:cs="Wingdings" w:hint="default"/>
      </w:rPr>
    </w:lvl>
    <w:lvl w:ilvl="3">
      <w:start w:val="1"/>
      <w:numFmt w:val="bullet"/>
      <w:lvlText w:val=""/>
      <w:lvlJc w:val="left"/>
      <w:pPr>
        <w:ind w:left="2165" w:hanging="420"/>
      </w:pPr>
      <w:rPr>
        <w:rFonts w:ascii="Wingdings" w:hAnsi="Wingdings" w:cs="Wingdings" w:hint="default"/>
      </w:rPr>
    </w:lvl>
    <w:lvl w:ilvl="4">
      <w:start w:val="1"/>
      <w:numFmt w:val="bullet"/>
      <w:lvlText w:val=""/>
      <w:lvlJc w:val="left"/>
      <w:pPr>
        <w:ind w:left="2585" w:hanging="420"/>
      </w:pPr>
      <w:rPr>
        <w:rFonts w:ascii="Wingdings" w:hAnsi="Wingdings" w:cs="Wingdings" w:hint="default"/>
      </w:rPr>
    </w:lvl>
    <w:lvl w:ilvl="5">
      <w:start w:val="1"/>
      <w:numFmt w:val="bullet"/>
      <w:lvlText w:val=""/>
      <w:lvlJc w:val="left"/>
      <w:pPr>
        <w:ind w:left="3005" w:hanging="420"/>
      </w:pPr>
      <w:rPr>
        <w:rFonts w:ascii="Wingdings" w:hAnsi="Wingdings" w:cs="Wingdings" w:hint="default"/>
      </w:rPr>
    </w:lvl>
    <w:lvl w:ilvl="6">
      <w:start w:val="1"/>
      <w:numFmt w:val="bullet"/>
      <w:lvlText w:val=""/>
      <w:lvlJc w:val="left"/>
      <w:pPr>
        <w:ind w:left="3425" w:hanging="420"/>
      </w:pPr>
      <w:rPr>
        <w:rFonts w:ascii="Wingdings" w:hAnsi="Wingdings" w:cs="Wingdings" w:hint="default"/>
      </w:rPr>
    </w:lvl>
    <w:lvl w:ilvl="7">
      <w:start w:val="1"/>
      <w:numFmt w:val="bullet"/>
      <w:lvlText w:val=""/>
      <w:lvlJc w:val="left"/>
      <w:pPr>
        <w:ind w:left="3845" w:hanging="420"/>
      </w:pPr>
      <w:rPr>
        <w:rFonts w:ascii="Wingdings" w:hAnsi="Wingdings" w:cs="Wingdings" w:hint="default"/>
      </w:rPr>
    </w:lvl>
    <w:lvl w:ilvl="8">
      <w:start w:val="1"/>
      <w:numFmt w:val="bullet"/>
      <w:lvlText w:val=""/>
      <w:lvlJc w:val="left"/>
      <w:pPr>
        <w:ind w:left="4265" w:hanging="420"/>
      </w:pPr>
      <w:rPr>
        <w:rFonts w:ascii="Wingdings" w:hAnsi="Wingdings" w:cs="Wingdings" w:hint="default"/>
      </w:rPr>
    </w:lvl>
  </w:abstractNum>
  <w:abstractNum w:abstractNumId="33">
    <w:nsid w:val="5A9A1F01"/>
    <w:multiLevelType w:val="multilevel"/>
    <w:tmpl w:val="5A9A1F01"/>
    <w:lvl w:ilvl="0">
      <w:start w:val="1"/>
      <w:numFmt w:val="decimal"/>
      <w:lvlText w:val="%1."/>
      <w:lvlJc w:val="left"/>
      <w:pPr>
        <w:ind w:left="420" w:hanging="420"/>
      </w:pPr>
      <w:rPr>
        <w:rFonts w:ascii="Times New Roman" w:eastAsia="Times New Roman" w:hAnsi="Times New Roman" w:hint="default"/>
        <w:spacing w:val="-1"/>
        <w:w w:val="99"/>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641123BB"/>
    <w:multiLevelType w:val="multilevel"/>
    <w:tmpl w:val="34528EE8"/>
    <w:lvl w:ilvl="0">
      <w:start w:val="1"/>
      <w:numFmt w:val="decimal"/>
      <w:lvlText w:val="%1."/>
      <w:lvlJc w:val="left"/>
      <w:pPr>
        <w:tabs>
          <w:tab w:val="left" w:pos="720"/>
        </w:tabs>
        <w:ind w:left="720" w:hanging="360"/>
      </w:pPr>
      <w:rPr>
        <w:rFonts w:hint="eastAsia"/>
      </w:rPr>
    </w:lvl>
    <w:lvl w:ilvl="1">
      <w:start w:val="1"/>
      <w:numFmt w:val="decimal"/>
      <w:lvlText w:val="%2."/>
      <w:lvlJc w:val="left"/>
      <w:pPr>
        <w:ind w:left="480" w:hanging="480"/>
      </w:pPr>
      <w:rPr>
        <w:rFonts w:ascii="Times New Roman" w:eastAsia="Times New Roman" w:hAnsi="Times New Roman" w:hint="default"/>
        <w:w w:val="100"/>
        <w:sz w:val="24"/>
        <w:szCs w:val="24"/>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35">
    <w:nsid w:val="69C041CD"/>
    <w:multiLevelType w:val="multilevel"/>
    <w:tmpl w:val="34528EE8"/>
    <w:lvl w:ilvl="0">
      <w:start w:val="1"/>
      <w:numFmt w:val="decimal"/>
      <w:lvlText w:val="%1."/>
      <w:lvlJc w:val="left"/>
      <w:pPr>
        <w:tabs>
          <w:tab w:val="left" w:pos="720"/>
        </w:tabs>
        <w:ind w:left="720" w:hanging="360"/>
      </w:pPr>
      <w:rPr>
        <w:rFonts w:hint="eastAsia"/>
      </w:rPr>
    </w:lvl>
    <w:lvl w:ilvl="1">
      <w:start w:val="1"/>
      <w:numFmt w:val="decimal"/>
      <w:lvlText w:val="%2."/>
      <w:lvlJc w:val="left"/>
      <w:pPr>
        <w:ind w:left="480" w:hanging="480"/>
      </w:pPr>
      <w:rPr>
        <w:rFonts w:ascii="Times New Roman" w:eastAsia="Times New Roman" w:hAnsi="Times New Roman" w:hint="default"/>
        <w:w w:val="100"/>
        <w:sz w:val="24"/>
        <w:szCs w:val="24"/>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36">
    <w:nsid w:val="6CA54327"/>
    <w:multiLevelType w:val="multilevel"/>
    <w:tmpl w:val="6CA54327"/>
    <w:lvl w:ilvl="0">
      <w:start w:val="1"/>
      <w:numFmt w:val="bullet"/>
      <w:lvlText w:val=""/>
      <w:lvlJc w:val="left"/>
      <w:pPr>
        <w:ind w:left="1260" w:hanging="420"/>
      </w:pPr>
      <w:rPr>
        <w:rFonts w:ascii="Wingdings" w:hAnsi="Wingdings" w:cs="Wingdings" w:hint="default"/>
      </w:rPr>
    </w:lvl>
    <w:lvl w:ilvl="1">
      <w:start w:val="1"/>
      <w:numFmt w:val="bullet"/>
      <w:lvlText w:val=""/>
      <w:lvlJc w:val="left"/>
      <w:pPr>
        <w:ind w:left="1680" w:hanging="420"/>
      </w:pPr>
      <w:rPr>
        <w:rFonts w:ascii="Wingdings" w:hAnsi="Wingdings" w:cs="Wingdings" w:hint="default"/>
      </w:rPr>
    </w:lvl>
    <w:lvl w:ilvl="2">
      <w:start w:val="1"/>
      <w:numFmt w:val="bullet"/>
      <w:lvlText w:val=""/>
      <w:lvlJc w:val="left"/>
      <w:pPr>
        <w:ind w:left="2100" w:hanging="420"/>
      </w:pPr>
      <w:rPr>
        <w:rFonts w:ascii="Wingdings" w:hAnsi="Wingdings" w:cs="Wingdings" w:hint="default"/>
      </w:rPr>
    </w:lvl>
    <w:lvl w:ilvl="3">
      <w:start w:val="1"/>
      <w:numFmt w:val="bullet"/>
      <w:lvlText w:val=""/>
      <w:lvlJc w:val="left"/>
      <w:pPr>
        <w:ind w:left="2520" w:hanging="420"/>
      </w:pPr>
      <w:rPr>
        <w:rFonts w:ascii="Wingdings" w:hAnsi="Wingdings" w:cs="Wingdings" w:hint="default"/>
      </w:rPr>
    </w:lvl>
    <w:lvl w:ilvl="4">
      <w:start w:val="1"/>
      <w:numFmt w:val="bullet"/>
      <w:lvlText w:val=""/>
      <w:lvlJc w:val="left"/>
      <w:pPr>
        <w:ind w:left="2940" w:hanging="420"/>
      </w:pPr>
      <w:rPr>
        <w:rFonts w:ascii="Wingdings" w:hAnsi="Wingdings" w:cs="Wingdings" w:hint="default"/>
      </w:rPr>
    </w:lvl>
    <w:lvl w:ilvl="5">
      <w:start w:val="1"/>
      <w:numFmt w:val="bullet"/>
      <w:lvlText w:val=""/>
      <w:lvlJc w:val="left"/>
      <w:pPr>
        <w:ind w:left="3360" w:hanging="420"/>
      </w:pPr>
      <w:rPr>
        <w:rFonts w:ascii="Wingdings" w:hAnsi="Wingdings" w:cs="Wingdings" w:hint="default"/>
      </w:rPr>
    </w:lvl>
    <w:lvl w:ilvl="6">
      <w:start w:val="1"/>
      <w:numFmt w:val="bullet"/>
      <w:lvlText w:val=""/>
      <w:lvlJc w:val="left"/>
      <w:pPr>
        <w:ind w:left="3780" w:hanging="420"/>
      </w:pPr>
      <w:rPr>
        <w:rFonts w:ascii="Wingdings" w:hAnsi="Wingdings" w:cs="Wingdings" w:hint="default"/>
      </w:rPr>
    </w:lvl>
    <w:lvl w:ilvl="7">
      <w:start w:val="1"/>
      <w:numFmt w:val="bullet"/>
      <w:lvlText w:val=""/>
      <w:lvlJc w:val="left"/>
      <w:pPr>
        <w:ind w:left="4200" w:hanging="420"/>
      </w:pPr>
      <w:rPr>
        <w:rFonts w:ascii="Wingdings" w:hAnsi="Wingdings" w:cs="Wingdings" w:hint="default"/>
      </w:rPr>
    </w:lvl>
    <w:lvl w:ilvl="8">
      <w:start w:val="1"/>
      <w:numFmt w:val="bullet"/>
      <w:lvlText w:val=""/>
      <w:lvlJc w:val="left"/>
      <w:pPr>
        <w:ind w:left="4620" w:hanging="420"/>
      </w:pPr>
      <w:rPr>
        <w:rFonts w:ascii="Wingdings" w:hAnsi="Wingdings" w:cs="Wingdings" w:hint="default"/>
      </w:rPr>
    </w:lvl>
  </w:abstractNum>
  <w:abstractNum w:abstractNumId="37">
    <w:nsid w:val="6D287736"/>
    <w:multiLevelType w:val="multilevel"/>
    <w:tmpl w:val="6D287736"/>
    <w:lvl w:ilvl="0">
      <w:start w:val="1"/>
      <w:numFmt w:val="decimal"/>
      <w:lvlText w:val="%1."/>
      <w:lvlJc w:val="left"/>
      <w:pPr>
        <w:tabs>
          <w:tab w:val="left" w:pos="720"/>
        </w:tabs>
        <w:ind w:left="720" w:hanging="360"/>
      </w:pPr>
    </w:lvl>
    <w:lvl w:ilvl="1">
      <w:start w:val="1"/>
      <w:numFmt w:val="decimal"/>
      <w:lvlText w:val="%2."/>
      <w:lvlJc w:val="left"/>
      <w:pPr>
        <w:ind w:left="480" w:hanging="48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8">
    <w:nsid w:val="6E155DE3"/>
    <w:multiLevelType w:val="multilevel"/>
    <w:tmpl w:val="6E155DE3"/>
    <w:lvl w:ilvl="0">
      <w:start w:val="1"/>
      <w:numFmt w:val="decimal"/>
      <w:lvlText w:val="%1."/>
      <w:lvlJc w:val="left"/>
      <w:pPr>
        <w:tabs>
          <w:tab w:val="left" w:pos="720"/>
        </w:tabs>
        <w:ind w:left="720" w:hanging="360"/>
      </w:pPr>
      <w:rPr>
        <w:rFonts w:hint="eastAsia"/>
      </w:rPr>
    </w:lvl>
    <w:lvl w:ilvl="1">
      <w:start w:val="5"/>
      <w:numFmt w:val="decimal"/>
      <w:lvlText w:val="%2."/>
      <w:lvlJc w:val="left"/>
      <w:pPr>
        <w:ind w:left="480" w:hanging="48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39">
    <w:nsid w:val="78B63994"/>
    <w:multiLevelType w:val="multilevel"/>
    <w:tmpl w:val="78B63994"/>
    <w:lvl w:ilvl="0">
      <w:start w:val="1"/>
      <w:numFmt w:val="bullet"/>
      <w:lvlText w:val=""/>
      <w:lvlJc w:val="left"/>
      <w:pPr>
        <w:tabs>
          <w:tab w:val="left" w:pos="420"/>
        </w:tabs>
        <w:ind w:left="420" w:hanging="420"/>
      </w:pPr>
      <w:rPr>
        <w:rFonts w:ascii="Wingdings" w:hAnsi="Wingdings" w:cs="Wingdings" w:hint="default"/>
      </w:rPr>
    </w:lvl>
    <w:lvl w:ilvl="1">
      <w:start w:val="1"/>
      <w:numFmt w:val="decimal"/>
      <w:lvlText w:val="%2)"/>
      <w:lvlJc w:val="left"/>
      <w:pPr>
        <w:tabs>
          <w:tab w:val="left" w:pos="840"/>
        </w:tabs>
        <w:ind w:left="840" w:hanging="420"/>
      </w:pPr>
      <w:rPr>
        <w:rFont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0">
    <w:nsid w:val="79CA0A58"/>
    <w:multiLevelType w:val="multilevel"/>
    <w:tmpl w:val="79CA0A58"/>
    <w:lvl w:ilvl="0">
      <w:start w:val="4"/>
      <w:numFmt w:val="decimal"/>
      <w:lvlText w:val="%1."/>
      <w:lvlJc w:val="left"/>
      <w:pPr>
        <w:ind w:left="480" w:hanging="480"/>
      </w:pPr>
      <w:rPr>
        <w:rFonts w:ascii="Times New Roman" w:hAnsi="Times New Roman" w:cs="Times New Roman" w:hint="default"/>
        <w:i w:val="0"/>
        <w:iCs w:val="0"/>
        <w:color w:val="auto"/>
      </w:rPr>
    </w:lvl>
    <w:lvl w:ilvl="1">
      <w:start w:val="1"/>
      <w:numFmt w:val="decim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lowerLetter"/>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lowerLetter"/>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1">
    <w:nsid w:val="7BBB19DB"/>
    <w:multiLevelType w:val="multilevel"/>
    <w:tmpl w:val="7BBB19D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7E414CF0"/>
    <w:multiLevelType w:val="hybridMultilevel"/>
    <w:tmpl w:val="CA20B0E6"/>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num w:numId="1">
    <w:abstractNumId w:val="6"/>
  </w:num>
  <w:num w:numId="2">
    <w:abstractNumId w:val="9"/>
  </w:num>
  <w:num w:numId="3">
    <w:abstractNumId w:val="14"/>
  </w:num>
  <w:num w:numId="4">
    <w:abstractNumId w:val="37"/>
  </w:num>
  <w:num w:numId="5">
    <w:abstractNumId w:val="28"/>
  </w:num>
  <w:num w:numId="6">
    <w:abstractNumId w:val="40"/>
  </w:num>
  <w:num w:numId="7">
    <w:abstractNumId w:val="38"/>
  </w:num>
  <w:num w:numId="8">
    <w:abstractNumId w:val="31"/>
  </w:num>
  <w:num w:numId="9">
    <w:abstractNumId w:val="12"/>
  </w:num>
  <w:num w:numId="10">
    <w:abstractNumId w:val="22"/>
  </w:num>
  <w:num w:numId="11">
    <w:abstractNumId w:val="15"/>
  </w:num>
  <w:num w:numId="12">
    <w:abstractNumId w:val="1"/>
  </w:num>
  <w:num w:numId="13">
    <w:abstractNumId w:val="19"/>
  </w:num>
  <w:num w:numId="14">
    <w:abstractNumId w:val="18"/>
  </w:num>
  <w:num w:numId="15">
    <w:abstractNumId w:val="33"/>
  </w:num>
  <w:num w:numId="16">
    <w:abstractNumId w:val="17"/>
  </w:num>
  <w:num w:numId="17">
    <w:abstractNumId w:val="25"/>
  </w:num>
  <w:num w:numId="18">
    <w:abstractNumId w:val="3"/>
  </w:num>
  <w:num w:numId="19">
    <w:abstractNumId w:val="2"/>
  </w:num>
  <w:num w:numId="20">
    <w:abstractNumId w:val="4"/>
  </w:num>
  <w:num w:numId="21">
    <w:abstractNumId w:val="10"/>
  </w:num>
  <w:num w:numId="22">
    <w:abstractNumId w:val="27"/>
  </w:num>
  <w:num w:numId="23">
    <w:abstractNumId w:val="26"/>
  </w:num>
  <w:num w:numId="24">
    <w:abstractNumId w:val="23"/>
  </w:num>
  <w:num w:numId="25">
    <w:abstractNumId w:val="13"/>
  </w:num>
  <w:num w:numId="26">
    <w:abstractNumId w:val="36"/>
  </w:num>
  <w:num w:numId="27">
    <w:abstractNumId w:val="5"/>
  </w:num>
  <w:num w:numId="28">
    <w:abstractNumId w:val="32"/>
  </w:num>
  <w:num w:numId="29">
    <w:abstractNumId w:val="39"/>
  </w:num>
  <w:num w:numId="30">
    <w:abstractNumId w:val="11"/>
  </w:num>
  <w:num w:numId="31">
    <w:abstractNumId w:val="24"/>
  </w:num>
  <w:num w:numId="32">
    <w:abstractNumId w:val="0"/>
  </w:num>
  <w:num w:numId="33">
    <w:abstractNumId w:val="41"/>
  </w:num>
  <w:num w:numId="34">
    <w:abstractNumId w:val="7"/>
  </w:num>
  <w:num w:numId="35">
    <w:abstractNumId w:val="20"/>
  </w:num>
  <w:num w:numId="36">
    <w:abstractNumId w:val="29"/>
  </w:num>
  <w:num w:numId="37">
    <w:abstractNumId w:val="42"/>
  </w:num>
  <w:num w:numId="38">
    <w:abstractNumId w:val="16"/>
  </w:num>
  <w:num w:numId="39">
    <w:abstractNumId w:val="34"/>
  </w:num>
  <w:num w:numId="40">
    <w:abstractNumId w:val="8"/>
  </w:num>
  <w:num w:numId="41">
    <w:abstractNumId w:val="21"/>
  </w:num>
  <w:num w:numId="42">
    <w:abstractNumId w:val="35"/>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5D7BE9"/>
    <w:rsid w:val="00001132"/>
    <w:rsid w:val="00001733"/>
    <w:rsid w:val="00002E84"/>
    <w:rsid w:val="00004AFD"/>
    <w:rsid w:val="0000633C"/>
    <w:rsid w:val="00011A8C"/>
    <w:rsid w:val="00021E8B"/>
    <w:rsid w:val="00022563"/>
    <w:rsid w:val="00023A1C"/>
    <w:rsid w:val="00031C45"/>
    <w:rsid w:val="00035069"/>
    <w:rsid w:val="00046446"/>
    <w:rsid w:val="00046FC8"/>
    <w:rsid w:val="00051FAE"/>
    <w:rsid w:val="00052B93"/>
    <w:rsid w:val="00070BE1"/>
    <w:rsid w:val="000715C6"/>
    <w:rsid w:val="00072771"/>
    <w:rsid w:val="00072F09"/>
    <w:rsid w:val="0007534E"/>
    <w:rsid w:val="00090F47"/>
    <w:rsid w:val="00094D92"/>
    <w:rsid w:val="00097851"/>
    <w:rsid w:val="000A6420"/>
    <w:rsid w:val="000B306C"/>
    <w:rsid w:val="000B4AB3"/>
    <w:rsid w:val="000B591E"/>
    <w:rsid w:val="000B5C4E"/>
    <w:rsid w:val="000B7583"/>
    <w:rsid w:val="000C0A40"/>
    <w:rsid w:val="000C74BE"/>
    <w:rsid w:val="000D194E"/>
    <w:rsid w:val="000E4661"/>
    <w:rsid w:val="000E7B9C"/>
    <w:rsid w:val="000F7097"/>
    <w:rsid w:val="00117DB3"/>
    <w:rsid w:val="0012246F"/>
    <w:rsid w:val="00132F7A"/>
    <w:rsid w:val="00156DE5"/>
    <w:rsid w:val="00156E2B"/>
    <w:rsid w:val="00161F4B"/>
    <w:rsid w:val="00164E1C"/>
    <w:rsid w:val="0016767F"/>
    <w:rsid w:val="00175644"/>
    <w:rsid w:val="001857EA"/>
    <w:rsid w:val="0018752E"/>
    <w:rsid w:val="00195798"/>
    <w:rsid w:val="00197E1C"/>
    <w:rsid w:val="001A2349"/>
    <w:rsid w:val="001A28B7"/>
    <w:rsid w:val="001B194D"/>
    <w:rsid w:val="001C2567"/>
    <w:rsid w:val="001D38C9"/>
    <w:rsid w:val="001E324A"/>
    <w:rsid w:val="00205BF5"/>
    <w:rsid w:val="002102FD"/>
    <w:rsid w:val="002115AA"/>
    <w:rsid w:val="002158C2"/>
    <w:rsid w:val="00223BDB"/>
    <w:rsid w:val="00233972"/>
    <w:rsid w:val="00252108"/>
    <w:rsid w:val="002522F0"/>
    <w:rsid w:val="00252A53"/>
    <w:rsid w:val="002557AA"/>
    <w:rsid w:val="00261338"/>
    <w:rsid w:val="00261838"/>
    <w:rsid w:val="002630F9"/>
    <w:rsid w:val="0026775A"/>
    <w:rsid w:val="0027644D"/>
    <w:rsid w:val="00280B20"/>
    <w:rsid w:val="002814A9"/>
    <w:rsid w:val="00284D9E"/>
    <w:rsid w:val="00286493"/>
    <w:rsid w:val="002B1CA5"/>
    <w:rsid w:val="002B4DB6"/>
    <w:rsid w:val="002C0F44"/>
    <w:rsid w:val="002C3FD8"/>
    <w:rsid w:val="002C412A"/>
    <w:rsid w:val="002D2ECA"/>
    <w:rsid w:val="002D5C89"/>
    <w:rsid w:val="002E6825"/>
    <w:rsid w:val="002E6979"/>
    <w:rsid w:val="002E6D3E"/>
    <w:rsid w:val="002F2265"/>
    <w:rsid w:val="002F49F5"/>
    <w:rsid w:val="002F678E"/>
    <w:rsid w:val="002F7017"/>
    <w:rsid w:val="0030228B"/>
    <w:rsid w:val="003026BF"/>
    <w:rsid w:val="00305139"/>
    <w:rsid w:val="00310AD3"/>
    <w:rsid w:val="00311F4A"/>
    <w:rsid w:val="003127FF"/>
    <w:rsid w:val="00337642"/>
    <w:rsid w:val="00355C09"/>
    <w:rsid w:val="00366A5D"/>
    <w:rsid w:val="0036716B"/>
    <w:rsid w:val="00376E64"/>
    <w:rsid w:val="00377BB9"/>
    <w:rsid w:val="00382E93"/>
    <w:rsid w:val="003832D3"/>
    <w:rsid w:val="0038501F"/>
    <w:rsid w:val="003861D8"/>
    <w:rsid w:val="003907D3"/>
    <w:rsid w:val="003928D6"/>
    <w:rsid w:val="003A58EF"/>
    <w:rsid w:val="003A6AEB"/>
    <w:rsid w:val="003A7110"/>
    <w:rsid w:val="003B6C59"/>
    <w:rsid w:val="003D1F76"/>
    <w:rsid w:val="003D591A"/>
    <w:rsid w:val="003D6971"/>
    <w:rsid w:val="003D6996"/>
    <w:rsid w:val="003D71B3"/>
    <w:rsid w:val="003D736C"/>
    <w:rsid w:val="003E592A"/>
    <w:rsid w:val="003F5D3D"/>
    <w:rsid w:val="003F6C47"/>
    <w:rsid w:val="00401DDE"/>
    <w:rsid w:val="00401EB9"/>
    <w:rsid w:val="00403909"/>
    <w:rsid w:val="00405AF3"/>
    <w:rsid w:val="0040703B"/>
    <w:rsid w:val="00407BF3"/>
    <w:rsid w:val="004117A4"/>
    <w:rsid w:val="00412E33"/>
    <w:rsid w:val="004175E6"/>
    <w:rsid w:val="00417F34"/>
    <w:rsid w:val="0042636F"/>
    <w:rsid w:val="00434F2F"/>
    <w:rsid w:val="00440812"/>
    <w:rsid w:val="00443E7A"/>
    <w:rsid w:val="00447A31"/>
    <w:rsid w:val="00450038"/>
    <w:rsid w:val="004508DA"/>
    <w:rsid w:val="004600B6"/>
    <w:rsid w:val="0046236B"/>
    <w:rsid w:val="00462718"/>
    <w:rsid w:val="004712C1"/>
    <w:rsid w:val="00471A4D"/>
    <w:rsid w:val="00481223"/>
    <w:rsid w:val="00486FF3"/>
    <w:rsid w:val="00487722"/>
    <w:rsid w:val="00494F8D"/>
    <w:rsid w:val="0049539F"/>
    <w:rsid w:val="00495411"/>
    <w:rsid w:val="004A2B2D"/>
    <w:rsid w:val="004B31DD"/>
    <w:rsid w:val="004B4D65"/>
    <w:rsid w:val="004B5044"/>
    <w:rsid w:val="004B5159"/>
    <w:rsid w:val="004C54D0"/>
    <w:rsid w:val="004C5D64"/>
    <w:rsid w:val="004C646C"/>
    <w:rsid w:val="004D0783"/>
    <w:rsid w:val="004D135D"/>
    <w:rsid w:val="004E0DFA"/>
    <w:rsid w:val="004E3496"/>
    <w:rsid w:val="004E7396"/>
    <w:rsid w:val="004F15E3"/>
    <w:rsid w:val="004F2D0B"/>
    <w:rsid w:val="004F3283"/>
    <w:rsid w:val="004F46E2"/>
    <w:rsid w:val="00502316"/>
    <w:rsid w:val="00502567"/>
    <w:rsid w:val="005158B1"/>
    <w:rsid w:val="005159A0"/>
    <w:rsid w:val="00515E03"/>
    <w:rsid w:val="00521E3C"/>
    <w:rsid w:val="00531A47"/>
    <w:rsid w:val="00543F1D"/>
    <w:rsid w:val="00544F38"/>
    <w:rsid w:val="00545AB7"/>
    <w:rsid w:val="005469F8"/>
    <w:rsid w:val="005508B1"/>
    <w:rsid w:val="005524E2"/>
    <w:rsid w:val="00552646"/>
    <w:rsid w:val="005617C8"/>
    <w:rsid w:val="00565C9F"/>
    <w:rsid w:val="00572321"/>
    <w:rsid w:val="00575BC8"/>
    <w:rsid w:val="00576F37"/>
    <w:rsid w:val="00591D47"/>
    <w:rsid w:val="005931C7"/>
    <w:rsid w:val="005979B0"/>
    <w:rsid w:val="005A02E1"/>
    <w:rsid w:val="005A4EEC"/>
    <w:rsid w:val="005A529E"/>
    <w:rsid w:val="005A570F"/>
    <w:rsid w:val="005B5077"/>
    <w:rsid w:val="005B6EDC"/>
    <w:rsid w:val="005C1621"/>
    <w:rsid w:val="005D6376"/>
    <w:rsid w:val="005D7BE9"/>
    <w:rsid w:val="005E6012"/>
    <w:rsid w:val="005F2D1C"/>
    <w:rsid w:val="00604938"/>
    <w:rsid w:val="00605CB2"/>
    <w:rsid w:val="006120BA"/>
    <w:rsid w:val="0061389B"/>
    <w:rsid w:val="00620C2E"/>
    <w:rsid w:val="00621A9E"/>
    <w:rsid w:val="00622059"/>
    <w:rsid w:val="00626A3B"/>
    <w:rsid w:val="0063286F"/>
    <w:rsid w:val="00636068"/>
    <w:rsid w:val="00641A6E"/>
    <w:rsid w:val="0065478D"/>
    <w:rsid w:val="00654FBF"/>
    <w:rsid w:val="006603CE"/>
    <w:rsid w:val="00664BFA"/>
    <w:rsid w:val="00665936"/>
    <w:rsid w:val="0066752D"/>
    <w:rsid w:val="006712AF"/>
    <w:rsid w:val="006750AB"/>
    <w:rsid w:val="00681808"/>
    <w:rsid w:val="00681DE4"/>
    <w:rsid w:val="006829E5"/>
    <w:rsid w:val="00684D10"/>
    <w:rsid w:val="00690555"/>
    <w:rsid w:val="00690D1E"/>
    <w:rsid w:val="00694787"/>
    <w:rsid w:val="006A327E"/>
    <w:rsid w:val="006A438F"/>
    <w:rsid w:val="006A5289"/>
    <w:rsid w:val="006A6BDB"/>
    <w:rsid w:val="006B1D98"/>
    <w:rsid w:val="006C4A7A"/>
    <w:rsid w:val="006C60F5"/>
    <w:rsid w:val="006C7ADD"/>
    <w:rsid w:val="006C7FF2"/>
    <w:rsid w:val="006D0360"/>
    <w:rsid w:val="006D136C"/>
    <w:rsid w:val="006D5A1A"/>
    <w:rsid w:val="006E021B"/>
    <w:rsid w:val="006E0E67"/>
    <w:rsid w:val="006E3A4A"/>
    <w:rsid w:val="006E6437"/>
    <w:rsid w:val="006F035B"/>
    <w:rsid w:val="006F4155"/>
    <w:rsid w:val="006F4E83"/>
    <w:rsid w:val="00703FA1"/>
    <w:rsid w:val="00704392"/>
    <w:rsid w:val="00711615"/>
    <w:rsid w:val="00713D59"/>
    <w:rsid w:val="007207A7"/>
    <w:rsid w:val="0072249B"/>
    <w:rsid w:val="00725DDC"/>
    <w:rsid w:val="0072665B"/>
    <w:rsid w:val="007279A0"/>
    <w:rsid w:val="00732E51"/>
    <w:rsid w:val="00735017"/>
    <w:rsid w:val="007359CA"/>
    <w:rsid w:val="00736687"/>
    <w:rsid w:val="0074035F"/>
    <w:rsid w:val="00743320"/>
    <w:rsid w:val="00746B47"/>
    <w:rsid w:val="007544FD"/>
    <w:rsid w:val="0075539A"/>
    <w:rsid w:val="007568EC"/>
    <w:rsid w:val="00757B6F"/>
    <w:rsid w:val="00760FB1"/>
    <w:rsid w:val="007620C3"/>
    <w:rsid w:val="00764607"/>
    <w:rsid w:val="00773C1E"/>
    <w:rsid w:val="00775168"/>
    <w:rsid w:val="00777B89"/>
    <w:rsid w:val="007808C3"/>
    <w:rsid w:val="00781651"/>
    <w:rsid w:val="00787A72"/>
    <w:rsid w:val="00790C69"/>
    <w:rsid w:val="00791FE8"/>
    <w:rsid w:val="007938E7"/>
    <w:rsid w:val="007A0B20"/>
    <w:rsid w:val="007A5033"/>
    <w:rsid w:val="007D0AAD"/>
    <w:rsid w:val="007D45D3"/>
    <w:rsid w:val="007D6D00"/>
    <w:rsid w:val="007E1A63"/>
    <w:rsid w:val="007F7CC1"/>
    <w:rsid w:val="00801D00"/>
    <w:rsid w:val="008044D1"/>
    <w:rsid w:val="008053DA"/>
    <w:rsid w:val="00813CD4"/>
    <w:rsid w:val="0081655B"/>
    <w:rsid w:val="008203C6"/>
    <w:rsid w:val="00826D98"/>
    <w:rsid w:val="00831A88"/>
    <w:rsid w:val="00831EFA"/>
    <w:rsid w:val="00836B35"/>
    <w:rsid w:val="008466BD"/>
    <w:rsid w:val="0084755D"/>
    <w:rsid w:val="00851761"/>
    <w:rsid w:val="008517EB"/>
    <w:rsid w:val="00852745"/>
    <w:rsid w:val="0086569B"/>
    <w:rsid w:val="00874EC2"/>
    <w:rsid w:val="008857E2"/>
    <w:rsid w:val="00885F19"/>
    <w:rsid w:val="00886FFD"/>
    <w:rsid w:val="0089050C"/>
    <w:rsid w:val="00890F03"/>
    <w:rsid w:val="0089797D"/>
    <w:rsid w:val="00897A69"/>
    <w:rsid w:val="008A3646"/>
    <w:rsid w:val="008A63D5"/>
    <w:rsid w:val="008A6ADA"/>
    <w:rsid w:val="008B620D"/>
    <w:rsid w:val="008C141C"/>
    <w:rsid w:val="008C3870"/>
    <w:rsid w:val="008D49E8"/>
    <w:rsid w:val="008D6A81"/>
    <w:rsid w:val="008D7DCC"/>
    <w:rsid w:val="008E418D"/>
    <w:rsid w:val="008E55FD"/>
    <w:rsid w:val="008E5AA5"/>
    <w:rsid w:val="008F75CE"/>
    <w:rsid w:val="00901307"/>
    <w:rsid w:val="00920CE7"/>
    <w:rsid w:val="009212AA"/>
    <w:rsid w:val="00922200"/>
    <w:rsid w:val="00922DAE"/>
    <w:rsid w:val="00924063"/>
    <w:rsid w:val="00924E8E"/>
    <w:rsid w:val="0092718A"/>
    <w:rsid w:val="009309E6"/>
    <w:rsid w:val="00933640"/>
    <w:rsid w:val="00936EBA"/>
    <w:rsid w:val="00942DB9"/>
    <w:rsid w:val="0094396A"/>
    <w:rsid w:val="00944414"/>
    <w:rsid w:val="00944F84"/>
    <w:rsid w:val="00947DDF"/>
    <w:rsid w:val="0095221B"/>
    <w:rsid w:val="009525D7"/>
    <w:rsid w:val="00954084"/>
    <w:rsid w:val="009546D1"/>
    <w:rsid w:val="009550D0"/>
    <w:rsid w:val="00961AFD"/>
    <w:rsid w:val="009645B4"/>
    <w:rsid w:val="00980496"/>
    <w:rsid w:val="00980685"/>
    <w:rsid w:val="00983F7A"/>
    <w:rsid w:val="0098661B"/>
    <w:rsid w:val="009904B6"/>
    <w:rsid w:val="00992754"/>
    <w:rsid w:val="009936AA"/>
    <w:rsid w:val="009A0960"/>
    <w:rsid w:val="009A2337"/>
    <w:rsid w:val="009A4930"/>
    <w:rsid w:val="009B0774"/>
    <w:rsid w:val="009B17AA"/>
    <w:rsid w:val="009B5093"/>
    <w:rsid w:val="009C6B26"/>
    <w:rsid w:val="009C6DCF"/>
    <w:rsid w:val="009D35CC"/>
    <w:rsid w:val="009D4E01"/>
    <w:rsid w:val="009E24B8"/>
    <w:rsid w:val="009E3C7A"/>
    <w:rsid w:val="009E7613"/>
    <w:rsid w:val="009F106B"/>
    <w:rsid w:val="009F615D"/>
    <w:rsid w:val="00A12269"/>
    <w:rsid w:val="00A13A6F"/>
    <w:rsid w:val="00A21B44"/>
    <w:rsid w:val="00A222C1"/>
    <w:rsid w:val="00A517DB"/>
    <w:rsid w:val="00A5540D"/>
    <w:rsid w:val="00A57FAB"/>
    <w:rsid w:val="00A62DE4"/>
    <w:rsid w:val="00A663C1"/>
    <w:rsid w:val="00A76BBF"/>
    <w:rsid w:val="00A86283"/>
    <w:rsid w:val="00A93B81"/>
    <w:rsid w:val="00AA1BC1"/>
    <w:rsid w:val="00AA310C"/>
    <w:rsid w:val="00AA56EF"/>
    <w:rsid w:val="00AB3EB4"/>
    <w:rsid w:val="00AB632A"/>
    <w:rsid w:val="00AC1E6D"/>
    <w:rsid w:val="00AC258D"/>
    <w:rsid w:val="00AC58C5"/>
    <w:rsid w:val="00AD0BAA"/>
    <w:rsid w:val="00AD63EF"/>
    <w:rsid w:val="00AD717A"/>
    <w:rsid w:val="00AE0934"/>
    <w:rsid w:val="00AE38D3"/>
    <w:rsid w:val="00AE630B"/>
    <w:rsid w:val="00AF23FC"/>
    <w:rsid w:val="00AF4F98"/>
    <w:rsid w:val="00B00BB7"/>
    <w:rsid w:val="00B03175"/>
    <w:rsid w:val="00B05D30"/>
    <w:rsid w:val="00B131D2"/>
    <w:rsid w:val="00B13D3C"/>
    <w:rsid w:val="00B1490F"/>
    <w:rsid w:val="00B17A60"/>
    <w:rsid w:val="00B31A71"/>
    <w:rsid w:val="00B31EF8"/>
    <w:rsid w:val="00B36E8E"/>
    <w:rsid w:val="00B4396B"/>
    <w:rsid w:val="00B508C4"/>
    <w:rsid w:val="00B65FBC"/>
    <w:rsid w:val="00B728D4"/>
    <w:rsid w:val="00B72D9F"/>
    <w:rsid w:val="00B73440"/>
    <w:rsid w:val="00B762CE"/>
    <w:rsid w:val="00B816BF"/>
    <w:rsid w:val="00B9679B"/>
    <w:rsid w:val="00BA25B0"/>
    <w:rsid w:val="00BA2800"/>
    <w:rsid w:val="00BA2BC4"/>
    <w:rsid w:val="00BA489C"/>
    <w:rsid w:val="00BB4608"/>
    <w:rsid w:val="00BB50C4"/>
    <w:rsid w:val="00BC2D27"/>
    <w:rsid w:val="00BC5924"/>
    <w:rsid w:val="00BC6304"/>
    <w:rsid w:val="00BC7290"/>
    <w:rsid w:val="00BD17BF"/>
    <w:rsid w:val="00BD1980"/>
    <w:rsid w:val="00BD3A01"/>
    <w:rsid w:val="00BE170A"/>
    <w:rsid w:val="00BF3E04"/>
    <w:rsid w:val="00BF40E2"/>
    <w:rsid w:val="00BF51AB"/>
    <w:rsid w:val="00C02644"/>
    <w:rsid w:val="00C0414D"/>
    <w:rsid w:val="00C160FE"/>
    <w:rsid w:val="00C201EB"/>
    <w:rsid w:val="00C21CCF"/>
    <w:rsid w:val="00C24300"/>
    <w:rsid w:val="00C27F88"/>
    <w:rsid w:val="00C446C1"/>
    <w:rsid w:val="00C50E54"/>
    <w:rsid w:val="00C5129E"/>
    <w:rsid w:val="00C52FA3"/>
    <w:rsid w:val="00C57B17"/>
    <w:rsid w:val="00C6083E"/>
    <w:rsid w:val="00C61ABC"/>
    <w:rsid w:val="00C72736"/>
    <w:rsid w:val="00C765C0"/>
    <w:rsid w:val="00C805D1"/>
    <w:rsid w:val="00C82E69"/>
    <w:rsid w:val="00C85DAB"/>
    <w:rsid w:val="00C8620D"/>
    <w:rsid w:val="00C8641E"/>
    <w:rsid w:val="00C93BEC"/>
    <w:rsid w:val="00C942DD"/>
    <w:rsid w:val="00C955DF"/>
    <w:rsid w:val="00CA17CF"/>
    <w:rsid w:val="00CA2F81"/>
    <w:rsid w:val="00CA43FC"/>
    <w:rsid w:val="00CA515D"/>
    <w:rsid w:val="00CA72DA"/>
    <w:rsid w:val="00CB4550"/>
    <w:rsid w:val="00CD1C0C"/>
    <w:rsid w:val="00CD2A7B"/>
    <w:rsid w:val="00CE0621"/>
    <w:rsid w:val="00CE5E38"/>
    <w:rsid w:val="00CF16ED"/>
    <w:rsid w:val="00CF423A"/>
    <w:rsid w:val="00D00301"/>
    <w:rsid w:val="00D217E9"/>
    <w:rsid w:val="00D400E8"/>
    <w:rsid w:val="00D40811"/>
    <w:rsid w:val="00D45A54"/>
    <w:rsid w:val="00D45CB0"/>
    <w:rsid w:val="00D47511"/>
    <w:rsid w:val="00D51DCB"/>
    <w:rsid w:val="00D551B0"/>
    <w:rsid w:val="00D71266"/>
    <w:rsid w:val="00D73ED3"/>
    <w:rsid w:val="00D747A5"/>
    <w:rsid w:val="00D92623"/>
    <w:rsid w:val="00D97DAF"/>
    <w:rsid w:val="00DB2385"/>
    <w:rsid w:val="00DC2820"/>
    <w:rsid w:val="00DC4671"/>
    <w:rsid w:val="00DC5456"/>
    <w:rsid w:val="00DE5865"/>
    <w:rsid w:val="00DF4173"/>
    <w:rsid w:val="00DF43E5"/>
    <w:rsid w:val="00DF4879"/>
    <w:rsid w:val="00DF5505"/>
    <w:rsid w:val="00DF7F26"/>
    <w:rsid w:val="00E01856"/>
    <w:rsid w:val="00E01E17"/>
    <w:rsid w:val="00E01E2F"/>
    <w:rsid w:val="00E14C4E"/>
    <w:rsid w:val="00E164FD"/>
    <w:rsid w:val="00E23F09"/>
    <w:rsid w:val="00E2753D"/>
    <w:rsid w:val="00E37C43"/>
    <w:rsid w:val="00E42AF8"/>
    <w:rsid w:val="00E64335"/>
    <w:rsid w:val="00E64D52"/>
    <w:rsid w:val="00E650B4"/>
    <w:rsid w:val="00E777A9"/>
    <w:rsid w:val="00E83119"/>
    <w:rsid w:val="00E86A3D"/>
    <w:rsid w:val="00E92167"/>
    <w:rsid w:val="00E9288B"/>
    <w:rsid w:val="00E92F45"/>
    <w:rsid w:val="00E9305D"/>
    <w:rsid w:val="00E950F8"/>
    <w:rsid w:val="00E95753"/>
    <w:rsid w:val="00E95C19"/>
    <w:rsid w:val="00E96F5F"/>
    <w:rsid w:val="00E972B2"/>
    <w:rsid w:val="00EA0D81"/>
    <w:rsid w:val="00EA1C0E"/>
    <w:rsid w:val="00EC4B37"/>
    <w:rsid w:val="00EC4E51"/>
    <w:rsid w:val="00EC564E"/>
    <w:rsid w:val="00EC5C1F"/>
    <w:rsid w:val="00ED2427"/>
    <w:rsid w:val="00ED5E66"/>
    <w:rsid w:val="00EE36A9"/>
    <w:rsid w:val="00EF139E"/>
    <w:rsid w:val="00EF1C08"/>
    <w:rsid w:val="00EF6817"/>
    <w:rsid w:val="00F02EAA"/>
    <w:rsid w:val="00F04D7D"/>
    <w:rsid w:val="00F120F8"/>
    <w:rsid w:val="00F14C5B"/>
    <w:rsid w:val="00F32170"/>
    <w:rsid w:val="00F322FD"/>
    <w:rsid w:val="00F34740"/>
    <w:rsid w:val="00F52998"/>
    <w:rsid w:val="00F53AEA"/>
    <w:rsid w:val="00F62A17"/>
    <w:rsid w:val="00F653CC"/>
    <w:rsid w:val="00F7783D"/>
    <w:rsid w:val="00F82A60"/>
    <w:rsid w:val="00F97949"/>
    <w:rsid w:val="00FA5441"/>
    <w:rsid w:val="00FC1AC4"/>
    <w:rsid w:val="00FC2A5F"/>
    <w:rsid w:val="00FD0DBE"/>
    <w:rsid w:val="00FE11AC"/>
    <w:rsid w:val="00FE1712"/>
    <w:rsid w:val="00FE46E1"/>
    <w:rsid w:val="00FE5966"/>
    <w:rsid w:val="00FE62B1"/>
    <w:rsid w:val="02C665C9"/>
    <w:rsid w:val="037C5955"/>
    <w:rsid w:val="09562BEB"/>
    <w:rsid w:val="0AB1673F"/>
    <w:rsid w:val="0CA807DF"/>
    <w:rsid w:val="0F187AFF"/>
    <w:rsid w:val="104A4AC3"/>
    <w:rsid w:val="111D6E73"/>
    <w:rsid w:val="12586BDE"/>
    <w:rsid w:val="15753EDC"/>
    <w:rsid w:val="172744DC"/>
    <w:rsid w:val="17475E14"/>
    <w:rsid w:val="18773143"/>
    <w:rsid w:val="1C865CDA"/>
    <w:rsid w:val="1CF63175"/>
    <w:rsid w:val="22EB360E"/>
    <w:rsid w:val="236F4579"/>
    <w:rsid w:val="27610A3D"/>
    <w:rsid w:val="291937C6"/>
    <w:rsid w:val="29A43253"/>
    <w:rsid w:val="2AA346FA"/>
    <w:rsid w:val="2ED8039B"/>
    <w:rsid w:val="2EE37452"/>
    <w:rsid w:val="319412BA"/>
    <w:rsid w:val="32D0593F"/>
    <w:rsid w:val="339E24FB"/>
    <w:rsid w:val="34765526"/>
    <w:rsid w:val="349E0061"/>
    <w:rsid w:val="34BE0890"/>
    <w:rsid w:val="380B1F6C"/>
    <w:rsid w:val="3A55646F"/>
    <w:rsid w:val="3B895FC0"/>
    <w:rsid w:val="3BE74386"/>
    <w:rsid w:val="3D3B3FEE"/>
    <w:rsid w:val="3DAD1FFC"/>
    <w:rsid w:val="41863F68"/>
    <w:rsid w:val="426E38D9"/>
    <w:rsid w:val="42D874FD"/>
    <w:rsid w:val="430077B0"/>
    <w:rsid w:val="441441E5"/>
    <w:rsid w:val="442126DD"/>
    <w:rsid w:val="46E643CF"/>
    <w:rsid w:val="480477D1"/>
    <w:rsid w:val="49054EA9"/>
    <w:rsid w:val="49E2564A"/>
    <w:rsid w:val="4BCB514D"/>
    <w:rsid w:val="4C0522A0"/>
    <w:rsid w:val="4C4D32A6"/>
    <w:rsid w:val="4C805568"/>
    <w:rsid w:val="4DE5617E"/>
    <w:rsid w:val="50AB3483"/>
    <w:rsid w:val="51FD4865"/>
    <w:rsid w:val="52B72692"/>
    <w:rsid w:val="531D13F2"/>
    <w:rsid w:val="54EC4604"/>
    <w:rsid w:val="554160A1"/>
    <w:rsid w:val="567D7015"/>
    <w:rsid w:val="567E08D6"/>
    <w:rsid w:val="58DE3348"/>
    <w:rsid w:val="59D648EA"/>
    <w:rsid w:val="5AEC0D29"/>
    <w:rsid w:val="5F1C562B"/>
    <w:rsid w:val="620336BE"/>
    <w:rsid w:val="629C6487"/>
    <w:rsid w:val="62A902FC"/>
    <w:rsid w:val="646066AB"/>
    <w:rsid w:val="653A1CFB"/>
    <w:rsid w:val="66813355"/>
    <w:rsid w:val="678B3B8D"/>
    <w:rsid w:val="67CB4826"/>
    <w:rsid w:val="690C5257"/>
    <w:rsid w:val="6D010BBD"/>
    <w:rsid w:val="6EF260CA"/>
    <w:rsid w:val="7055673D"/>
    <w:rsid w:val="71E71888"/>
    <w:rsid w:val="734D3D74"/>
    <w:rsid w:val="75517F0B"/>
    <w:rsid w:val="77467828"/>
    <w:rsid w:val="78C91162"/>
    <w:rsid w:val="79A60529"/>
    <w:rsid w:val="7F7D42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10AA74D-E643-4F0A-8EC2-EEF449E7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qFormat="1"/>
    <w:lsdException w:name="annotation text" w:semiHidden="1"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semiHidden="1" w:qFormat="1"/>
    <w:lsdException w:name="annotation reference" w:semiHidden="1"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qFormat="1"/>
    <w:lsdException w:name="Body Text First Indent" w:locked="1" w:semiHidden="1" w:unhideWhenUsed="1"/>
    <w:lsdException w:name="Body Text First Indent 2" w:locked="1" w:semiHidden="1" w:unhideWhenUsed="1"/>
    <w:lsdException w:name="Note Heading" w:locked="1" w:semiHidden="1" w:unhideWhenUsed="1"/>
    <w:lsdException w:name="Body Text 2" w:qFormat="1"/>
    <w:lsdException w:name="Body Text 3" w:locked="1" w:semiHidden="1" w:unhideWhenUsed="1"/>
    <w:lsdException w:name="Body Text Indent 2" w:qFormat="1"/>
    <w:lsdException w:name="Body Text Indent 3" w:qFormat="1"/>
    <w:lsdException w:name="Block Text" w:locked="1" w:semiHidden="1" w:unhideWhenUsed="1"/>
    <w:lsdException w:name="Hyperlink" w:qFormat="1"/>
    <w:lsdException w:name="FollowedHyperlink" w:locked="1" w:semiHidden="1" w:unhideWhenUsed="1"/>
    <w:lsdException w:name="Strong" w:locked="1" w:uiPriority="22" w:qFormat="1"/>
    <w:lsdException w:name="Emphasis"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qFormat="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rPr>
  </w:style>
  <w:style w:type="paragraph" w:styleId="1">
    <w:name w:val="heading 1"/>
    <w:basedOn w:val="a0"/>
    <w:next w:val="a0"/>
    <w:link w:val="1Char"/>
    <w:uiPriority w:val="99"/>
    <w:qFormat/>
    <w:pPr>
      <w:keepNext/>
      <w:keepLines/>
      <w:adjustRightInd w:val="0"/>
      <w:snapToGrid w:val="0"/>
      <w:spacing w:before="340" w:after="330" w:line="300" w:lineRule="auto"/>
      <w:ind w:firstLine="397"/>
      <w:jc w:val="center"/>
      <w:outlineLvl w:val="0"/>
    </w:pPr>
    <w:rPr>
      <w:rFonts w:ascii="宋体" w:hAnsi="宋体" w:cs="宋体"/>
      <w:b/>
      <w:kern w:val="44"/>
      <w:sz w:val="26"/>
    </w:rPr>
  </w:style>
  <w:style w:type="paragraph" w:styleId="2">
    <w:name w:val="heading 2"/>
    <w:basedOn w:val="a0"/>
    <w:next w:val="a0"/>
    <w:link w:val="2Char"/>
    <w:uiPriority w:val="99"/>
    <w:qFormat/>
    <w:pPr>
      <w:keepNext/>
      <w:keepLines/>
      <w:tabs>
        <w:tab w:val="left" w:pos="576"/>
      </w:tabs>
      <w:spacing w:before="260" w:after="260" w:line="413" w:lineRule="auto"/>
      <w:ind w:left="576" w:hanging="576"/>
      <w:outlineLvl w:val="1"/>
    </w:pPr>
    <w:rPr>
      <w:rFonts w:ascii="Arial" w:eastAsia="黑体" w:hAnsi="Arial" w:cs="Arial"/>
      <w:b/>
      <w:sz w:val="32"/>
    </w:rPr>
  </w:style>
  <w:style w:type="paragraph" w:styleId="3">
    <w:name w:val="heading 3"/>
    <w:basedOn w:val="a0"/>
    <w:next w:val="a0"/>
    <w:link w:val="3Char"/>
    <w:uiPriority w:val="99"/>
    <w:qFormat/>
    <w:pPr>
      <w:keepNext/>
      <w:keepLines/>
      <w:tabs>
        <w:tab w:val="left" w:pos="720"/>
      </w:tabs>
      <w:spacing w:before="260" w:after="260" w:line="413" w:lineRule="auto"/>
      <w:ind w:left="720" w:hanging="720"/>
      <w:outlineLvl w:val="2"/>
    </w:pPr>
    <w:rPr>
      <w:b/>
      <w:sz w:val="32"/>
    </w:rPr>
  </w:style>
  <w:style w:type="paragraph" w:styleId="4">
    <w:name w:val="heading 4"/>
    <w:basedOn w:val="a0"/>
    <w:next w:val="a0"/>
    <w:link w:val="4Char"/>
    <w:uiPriority w:val="99"/>
    <w:qFormat/>
    <w:pPr>
      <w:keepNext/>
      <w:keepLines/>
      <w:tabs>
        <w:tab w:val="left" w:pos="864"/>
      </w:tabs>
      <w:spacing w:before="280" w:after="290" w:line="372" w:lineRule="auto"/>
      <w:ind w:left="864" w:hanging="864"/>
      <w:outlineLvl w:val="3"/>
    </w:pPr>
    <w:rPr>
      <w:rFonts w:ascii="Arial" w:eastAsia="黑体" w:hAnsi="Arial" w:cs="Arial"/>
      <w:b/>
      <w:sz w:val="28"/>
    </w:rPr>
  </w:style>
  <w:style w:type="paragraph" w:styleId="5">
    <w:name w:val="heading 5"/>
    <w:basedOn w:val="a0"/>
    <w:next w:val="a0"/>
    <w:link w:val="5Char"/>
    <w:uiPriority w:val="99"/>
    <w:qFormat/>
    <w:pPr>
      <w:keepNext/>
      <w:keepLines/>
      <w:tabs>
        <w:tab w:val="left" w:pos="1008"/>
      </w:tabs>
      <w:spacing w:before="280" w:after="290" w:line="372" w:lineRule="auto"/>
      <w:ind w:left="1008" w:hanging="1008"/>
      <w:outlineLvl w:val="4"/>
    </w:pPr>
    <w:rPr>
      <w:b/>
      <w:sz w:val="28"/>
    </w:rPr>
  </w:style>
  <w:style w:type="paragraph" w:styleId="6">
    <w:name w:val="heading 6"/>
    <w:basedOn w:val="a0"/>
    <w:next w:val="a0"/>
    <w:link w:val="6Char"/>
    <w:uiPriority w:val="99"/>
    <w:qFormat/>
    <w:pPr>
      <w:keepNext/>
      <w:keepLines/>
      <w:tabs>
        <w:tab w:val="left" w:pos="1152"/>
      </w:tabs>
      <w:spacing w:before="240" w:after="64" w:line="317" w:lineRule="auto"/>
      <w:ind w:left="1152" w:hanging="1152"/>
      <w:outlineLvl w:val="5"/>
    </w:pPr>
    <w:rPr>
      <w:rFonts w:ascii="Arial" w:eastAsia="黑体" w:hAnsi="Arial" w:cs="Arial"/>
      <w:b/>
      <w:sz w:val="24"/>
    </w:rPr>
  </w:style>
  <w:style w:type="paragraph" w:styleId="7">
    <w:name w:val="heading 7"/>
    <w:basedOn w:val="a0"/>
    <w:next w:val="a0"/>
    <w:link w:val="7Char"/>
    <w:uiPriority w:val="99"/>
    <w:qFormat/>
    <w:pPr>
      <w:keepNext/>
      <w:keepLines/>
      <w:tabs>
        <w:tab w:val="left" w:pos="1296"/>
      </w:tabs>
      <w:spacing w:before="240" w:after="64" w:line="317" w:lineRule="auto"/>
      <w:ind w:left="1296" w:hanging="1296"/>
      <w:outlineLvl w:val="6"/>
    </w:pPr>
    <w:rPr>
      <w:b/>
      <w:sz w:val="24"/>
    </w:rPr>
  </w:style>
  <w:style w:type="paragraph" w:styleId="8">
    <w:name w:val="heading 8"/>
    <w:basedOn w:val="a0"/>
    <w:next w:val="a0"/>
    <w:link w:val="8Char"/>
    <w:uiPriority w:val="99"/>
    <w:qFormat/>
    <w:pPr>
      <w:keepNext/>
      <w:keepLines/>
      <w:tabs>
        <w:tab w:val="left" w:pos="1440"/>
      </w:tabs>
      <w:spacing w:before="240" w:after="64" w:line="317" w:lineRule="auto"/>
      <w:ind w:left="1440" w:hanging="1440"/>
      <w:outlineLvl w:val="7"/>
    </w:pPr>
    <w:rPr>
      <w:rFonts w:ascii="Arial" w:eastAsia="黑体" w:hAnsi="Arial" w:cs="Arial"/>
      <w:sz w:val="24"/>
    </w:rPr>
  </w:style>
  <w:style w:type="paragraph" w:styleId="9">
    <w:name w:val="heading 9"/>
    <w:basedOn w:val="a0"/>
    <w:next w:val="a0"/>
    <w:link w:val="9Char"/>
    <w:uiPriority w:val="99"/>
    <w:qFormat/>
    <w:pPr>
      <w:keepNext/>
      <w:keepLines/>
      <w:tabs>
        <w:tab w:val="left" w:pos="1584"/>
      </w:tabs>
      <w:spacing w:before="240" w:after="64" w:line="317" w:lineRule="auto"/>
      <w:ind w:left="1584" w:hanging="1584"/>
      <w:outlineLvl w:val="8"/>
    </w:pPr>
    <w:rPr>
      <w:rFonts w:ascii="Arial" w:eastAsia="黑体" w:hAnsi="Arial" w:cs="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uiPriority w:val="39"/>
    <w:qFormat/>
    <w:pPr>
      <w:ind w:leftChars="1200" w:left="2520"/>
    </w:pPr>
    <w:rPr>
      <w:rFonts w:ascii="Calibri" w:hAnsi="Calibri" w:cs="Calibri"/>
    </w:rPr>
  </w:style>
  <w:style w:type="paragraph" w:styleId="a4">
    <w:name w:val="Normal Indent"/>
    <w:basedOn w:val="a0"/>
    <w:uiPriority w:val="99"/>
    <w:qFormat/>
    <w:pPr>
      <w:ind w:firstLineChars="200" w:firstLine="420"/>
    </w:pPr>
  </w:style>
  <w:style w:type="paragraph" w:styleId="a5">
    <w:name w:val="annotation text"/>
    <w:basedOn w:val="a0"/>
    <w:link w:val="Char"/>
    <w:uiPriority w:val="99"/>
    <w:semiHidden/>
    <w:qFormat/>
    <w:pPr>
      <w:jc w:val="left"/>
    </w:pPr>
    <w:rPr>
      <w:kern w:val="0"/>
      <w:sz w:val="20"/>
    </w:rPr>
  </w:style>
  <w:style w:type="paragraph" w:styleId="a6">
    <w:name w:val="Body Text"/>
    <w:basedOn w:val="a0"/>
    <w:link w:val="Char0"/>
    <w:uiPriority w:val="99"/>
    <w:qFormat/>
    <w:pPr>
      <w:spacing w:after="120"/>
    </w:pPr>
    <w:rPr>
      <w:rFonts w:ascii="Calibri" w:hAnsi="Calibri" w:cs="Calibri"/>
    </w:rPr>
  </w:style>
  <w:style w:type="paragraph" w:styleId="a7">
    <w:name w:val="Body Text Indent"/>
    <w:basedOn w:val="a0"/>
    <w:link w:val="Char1"/>
    <w:uiPriority w:val="99"/>
    <w:qFormat/>
    <w:pPr>
      <w:spacing w:line="360" w:lineRule="auto"/>
      <w:ind w:firstLineChars="200" w:firstLine="480"/>
    </w:pPr>
    <w:rPr>
      <w:rFonts w:ascii="宋体" w:hAnsi="宋体" w:cs="宋体"/>
      <w:sz w:val="24"/>
    </w:rPr>
  </w:style>
  <w:style w:type="paragraph" w:styleId="50">
    <w:name w:val="toc 5"/>
    <w:basedOn w:val="a0"/>
    <w:next w:val="a0"/>
    <w:uiPriority w:val="39"/>
    <w:qFormat/>
    <w:pPr>
      <w:ind w:leftChars="800" w:left="1680"/>
    </w:pPr>
    <w:rPr>
      <w:rFonts w:ascii="Calibri" w:hAnsi="Calibri" w:cs="Calibri"/>
    </w:rPr>
  </w:style>
  <w:style w:type="paragraph" w:styleId="30">
    <w:name w:val="toc 3"/>
    <w:basedOn w:val="a0"/>
    <w:next w:val="a0"/>
    <w:uiPriority w:val="39"/>
    <w:qFormat/>
    <w:pPr>
      <w:ind w:leftChars="400" w:left="840"/>
    </w:pPr>
  </w:style>
  <w:style w:type="paragraph" w:styleId="a8">
    <w:name w:val="Plain Text"/>
    <w:basedOn w:val="a0"/>
    <w:link w:val="Char2"/>
    <w:uiPriority w:val="99"/>
    <w:qFormat/>
    <w:rPr>
      <w:rFonts w:ascii="宋体" w:hAnsi="Courier New" w:cs="宋体"/>
    </w:rPr>
  </w:style>
  <w:style w:type="paragraph" w:styleId="80">
    <w:name w:val="toc 8"/>
    <w:basedOn w:val="a0"/>
    <w:next w:val="a0"/>
    <w:uiPriority w:val="39"/>
    <w:qFormat/>
    <w:pPr>
      <w:ind w:leftChars="1400" w:left="2940"/>
    </w:pPr>
    <w:rPr>
      <w:rFonts w:ascii="Calibri" w:hAnsi="Calibri" w:cs="Calibri"/>
    </w:rPr>
  </w:style>
  <w:style w:type="paragraph" w:styleId="a9">
    <w:name w:val="Date"/>
    <w:basedOn w:val="a0"/>
    <w:next w:val="a0"/>
    <w:link w:val="Char3"/>
    <w:uiPriority w:val="99"/>
    <w:qFormat/>
    <w:rPr>
      <w:rFonts w:ascii="宋体" w:hAnsi="Courier New" w:cs="宋体"/>
    </w:rPr>
  </w:style>
  <w:style w:type="paragraph" w:styleId="20">
    <w:name w:val="Body Text Indent 2"/>
    <w:basedOn w:val="a0"/>
    <w:link w:val="2Char0"/>
    <w:uiPriority w:val="99"/>
    <w:qFormat/>
    <w:pPr>
      <w:adjustRightInd w:val="0"/>
      <w:snapToGrid w:val="0"/>
      <w:spacing w:line="300" w:lineRule="auto"/>
      <w:ind w:firstLine="397"/>
    </w:pPr>
    <w:rPr>
      <w:rFonts w:ascii="宋体" w:hAnsi="宋体" w:cs="宋体"/>
      <w:sz w:val="26"/>
    </w:rPr>
  </w:style>
  <w:style w:type="paragraph" w:styleId="aa">
    <w:name w:val="Balloon Text"/>
    <w:basedOn w:val="a0"/>
    <w:link w:val="Char4"/>
    <w:uiPriority w:val="99"/>
    <w:semiHidden/>
    <w:qFormat/>
    <w:rPr>
      <w:sz w:val="18"/>
    </w:rPr>
  </w:style>
  <w:style w:type="paragraph" w:styleId="ab">
    <w:name w:val="footer"/>
    <w:basedOn w:val="a0"/>
    <w:link w:val="Char5"/>
    <w:uiPriority w:val="99"/>
    <w:qFormat/>
    <w:pPr>
      <w:tabs>
        <w:tab w:val="center" w:pos="4153"/>
        <w:tab w:val="right" w:pos="8306"/>
      </w:tabs>
      <w:snapToGrid w:val="0"/>
      <w:jc w:val="left"/>
    </w:pPr>
    <w:rPr>
      <w:sz w:val="18"/>
    </w:rPr>
  </w:style>
  <w:style w:type="paragraph" w:styleId="ac">
    <w:name w:val="header"/>
    <w:basedOn w:val="a0"/>
    <w:link w:val="Char6"/>
    <w:uiPriority w:val="99"/>
    <w:qFormat/>
    <w:pPr>
      <w:pBdr>
        <w:bottom w:val="single" w:sz="6" w:space="1" w:color="auto"/>
      </w:pBdr>
      <w:tabs>
        <w:tab w:val="center" w:pos="4153"/>
        <w:tab w:val="right" w:pos="8306"/>
      </w:tabs>
      <w:snapToGrid w:val="0"/>
      <w:jc w:val="center"/>
    </w:pPr>
    <w:rPr>
      <w:sz w:val="18"/>
    </w:rPr>
  </w:style>
  <w:style w:type="paragraph" w:styleId="10">
    <w:name w:val="toc 1"/>
    <w:basedOn w:val="a0"/>
    <w:next w:val="a0"/>
    <w:uiPriority w:val="39"/>
    <w:qFormat/>
  </w:style>
  <w:style w:type="paragraph" w:styleId="40">
    <w:name w:val="toc 4"/>
    <w:basedOn w:val="a0"/>
    <w:next w:val="a0"/>
    <w:uiPriority w:val="39"/>
    <w:qFormat/>
    <w:pPr>
      <w:ind w:leftChars="600" w:left="1260"/>
    </w:pPr>
    <w:rPr>
      <w:rFonts w:ascii="Calibri" w:hAnsi="Calibri" w:cs="Calibri"/>
    </w:rPr>
  </w:style>
  <w:style w:type="paragraph" w:styleId="ad">
    <w:name w:val="footnote text"/>
    <w:basedOn w:val="a0"/>
    <w:link w:val="Char7"/>
    <w:uiPriority w:val="99"/>
    <w:semiHidden/>
    <w:qFormat/>
    <w:pPr>
      <w:snapToGrid w:val="0"/>
      <w:jc w:val="left"/>
    </w:pPr>
    <w:rPr>
      <w:sz w:val="18"/>
    </w:rPr>
  </w:style>
  <w:style w:type="paragraph" w:styleId="60">
    <w:name w:val="toc 6"/>
    <w:basedOn w:val="a0"/>
    <w:next w:val="a0"/>
    <w:uiPriority w:val="39"/>
    <w:qFormat/>
    <w:pPr>
      <w:ind w:leftChars="1000" w:left="2100"/>
    </w:pPr>
    <w:rPr>
      <w:rFonts w:ascii="Calibri" w:hAnsi="Calibri" w:cs="Calibri"/>
    </w:rPr>
  </w:style>
  <w:style w:type="paragraph" w:styleId="31">
    <w:name w:val="Body Text Indent 3"/>
    <w:basedOn w:val="a0"/>
    <w:link w:val="3Char0"/>
    <w:uiPriority w:val="99"/>
    <w:qFormat/>
    <w:pPr>
      <w:spacing w:line="360" w:lineRule="auto"/>
      <w:ind w:firstLineChars="200" w:firstLine="480"/>
    </w:pPr>
    <w:rPr>
      <w:sz w:val="24"/>
    </w:rPr>
  </w:style>
  <w:style w:type="paragraph" w:styleId="21">
    <w:name w:val="toc 2"/>
    <w:basedOn w:val="a0"/>
    <w:next w:val="a0"/>
    <w:uiPriority w:val="39"/>
    <w:qFormat/>
    <w:pPr>
      <w:ind w:leftChars="200" w:left="420"/>
    </w:pPr>
  </w:style>
  <w:style w:type="paragraph" w:styleId="90">
    <w:name w:val="toc 9"/>
    <w:basedOn w:val="a0"/>
    <w:next w:val="a0"/>
    <w:uiPriority w:val="39"/>
    <w:qFormat/>
    <w:pPr>
      <w:ind w:leftChars="1600" w:left="3360"/>
    </w:pPr>
    <w:rPr>
      <w:rFonts w:ascii="Calibri" w:hAnsi="Calibri" w:cs="Calibri"/>
    </w:rPr>
  </w:style>
  <w:style w:type="paragraph" w:styleId="22">
    <w:name w:val="Body Text 2"/>
    <w:basedOn w:val="a0"/>
    <w:link w:val="2Char1"/>
    <w:uiPriority w:val="99"/>
    <w:qFormat/>
    <w:pPr>
      <w:spacing w:after="120" w:line="480" w:lineRule="auto"/>
    </w:pPr>
  </w:style>
  <w:style w:type="paragraph" w:styleId="HTML">
    <w:name w:val="HTML Preformatted"/>
    <w:basedOn w:val="a0"/>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e">
    <w:name w:val="Normal (Web)"/>
    <w:basedOn w:val="a0"/>
    <w:uiPriority w:val="99"/>
    <w:qFormat/>
    <w:pPr>
      <w:widowControl/>
      <w:spacing w:before="100" w:beforeAutospacing="1" w:after="100" w:afterAutospacing="1"/>
      <w:jc w:val="left"/>
    </w:pPr>
    <w:rPr>
      <w:rFonts w:ascii="宋体" w:hAnsi="宋体" w:cs="宋体"/>
      <w:color w:val="000000"/>
      <w:kern w:val="0"/>
      <w:sz w:val="24"/>
    </w:rPr>
  </w:style>
  <w:style w:type="paragraph" w:styleId="af">
    <w:name w:val="Title"/>
    <w:basedOn w:val="a0"/>
    <w:next w:val="a0"/>
    <w:link w:val="Char8"/>
    <w:uiPriority w:val="99"/>
    <w:qFormat/>
    <w:pPr>
      <w:widowControl/>
      <w:spacing w:before="240" w:after="240"/>
      <w:jc w:val="center"/>
    </w:pPr>
    <w:rPr>
      <w:b/>
      <w:caps/>
      <w:kern w:val="28"/>
      <w:sz w:val="24"/>
    </w:rPr>
  </w:style>
  <w:style w:type="paragraph" w:styleId="af0">
    <w:name w:val="annotation subject"/>
    <w:basedOn w:val="a5"/>
    <w:next w:val="a5"/>
    <w:link w:val="Char9"/>
    <w:uiPriority w:val="99"/>
    <w:semiHidden/>
    <w:qFormat/>
    <w:rPr>
      <w:b/>
    </w:rPr>
  </w:style>
  <w:style w:type="table" w:styleId="af1">
    <w:name w:val="Table Grid"/>
    <w:basedOn w:val="a2"/>
    <w:uiPriority w:val="99"/>
    <w:qFormat/>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1"/>
    <w:uiPriority w:val="99"/>
    <w:qFormat/>
  </w:style>
  <w:style w:type="character" w:styleId="af3">
    <w:name w:val="Emphasis"/>
    <w:uiPriority w:val="99"/>
    <w:qFormat/>
    <w:rPr>
      <w:color w:val="auto"/>
    </w:rPr>
  </w:style>
  <w:style w:type="character" w:styleId="af4">
    <w:name w:val="Hyperlink"/>
    <w:uiPriority w:val="99"/>
    <w:qFormat/>
    <w:rPr>
      <w:color w:val="0000FF"/>
      <w:u w:val="single"/>
    </w:rPr>
  </w:style>
  <w:style w:type="character" w:styleId="af5">
    <w:name w:val="annotation reference"/>
    <w:uiPriority w:val="99"/>
    <w:semiHidden/>
    <w:qFormat/>
    <w:rPr>
      <w:sz w:val="21"/>
    </w:rPr>
  </w:style>
  <w:style w:type="character" w:styleId="af6">
    <w:name w:val="footnote reference"/>
    <w:uiPriority w:val="99"/>
    <w:semiHidden/>
    <w:qFormat/>
    <w:rPr>
      <w:vertAlign w:val="superscript"/>
    </w:rPr>
  </w:style>
  <w:style w:type="character" w:customStyle="1" w:styleId="1Char">
    <w:name w:val="标题 1 Char"/>
    <w:link w:val="1"/>
    <w:uiPriority w:val="99"/>
    <w:qFormat/>
    <w:locked/>
    <w:rPr>
      <w:rFonts w:ascii="宋体" w:eastAsia="宋体" w:hAnsi="宋体" w:cs="宋体"/>
      <w:b/>
      <w:kern w:val="44"/>
      <w:sz w:val="20"/>
    </w:rPr>
  </w:style>
  <w:style w:type="character" w:customStyle="1" w:styleId="2Char">
    <w:name w:val="标题 2 Char"/>
    <w:link w:val="2"/>
    <w:uiPriority w:val="99"/>
    <w:qFormat/>
    <w:locked/>
    <w:rPr>
      <w:rFonts w:ascii="Arial" w:eastAsia="黑体" w:hAnsi="Arial" w:cs="Arial"/>
      <w:b/>
      <w:sz w:val="20"/>
    </w:rPr>
  </w:style>
  <w:style w:type="character" w:customStyle="1" w:styleId="3Char">
    <w:name w:val="标题 3 Char"/>
    <w:link w:val="3"/>
    <w:uiPriority w:val="99"/>
    <w:qFormat/>
    <w:locked/>
    <w:rPr>
      <w:rFonts w:ascii="Times New Roman" w:eastAsia="宋体" w:hAnsi="Times New Roman" w:cs="Times New Roman"/>
      <w:b/>
      <w:sz w:val="20"/>
    </w:rPr>
  </w:style>
  <w:style w:type="character" w:customStyle="1" w:styleId="4Char">
    <w:name w:val="标题 4 Char"/>
    <w:link w:val="4"/>
    <w:uiPriority w:val="99"/>
    <w:qFormat/>
    <w:locked/>
    <w:rPr>
      <w:rFonts w:ascii="Arial" w:eastAsia="黑体" w:hAnsi="Arial" w:cs="Arial"/>
      <w:b/>
      <w:sz w:val="20"/>
    </w:rPr>
  </w:style>
  <w:style w:type="character" w:customStyle="1" w:styleId="5Char">
    <w:name w:val="标题 5 Char"/>
    <w:link w:val="5"/>
    <w:uiPriority w:val="99"/>
    <w:qFormat/>
    <w:locked/>
    <w:rPr>
      <w:rFonts w:ascii="Times New Roman" w:eastAsia="宋体" w:hAnsi="Times New Roman" w:cs="Times New Roman"/>
      <w:b/>
      <w:sz w:val="20"/>
    </w:rPr>
  </w:style>
  <w:style w:type="character" w:customStyle="1" w:styleId="6Char">
    <w:name w:val="标题 6 Char"/>
    <w:link w:val="6"/>
    <w:uiPriority w:val="99"/>
    <w:qFormat/>
    <w:locked/>
    <w:rPr>
      <w:rFonts w:ascii="Arial" w:eastAsia="黑体" w:hAnsi="Arial" w:cs="Arial"/>
      <w:b/>
      <w:sz w:val="20"/>
    </w:rPr>
  </w:style>
  <w:style w:type="character" w:customStyle="1" w:styleId="7Char">
    <w:name w:val="标题 7 Char"/>
    <w:link w:val="7"/>
    <w:uiPriority w:val="99"/>
    <w:qFormat/>
    <w:locked/>
    <w:rPr>
      <w:rFonts w:ascii="Times New Roman" w:eastAsia="宋体" w:hAnsi="Times New Roman" w:cs="Times New Roman"/>
      <w:b/>
      <w:sz w:val="20"/>
    </w:rPr>
  </w:style>
  <w:style w:type="character" w:customStyle="1" w:styleId="8Char">
    <w:name w:val="标题 8 Char"/>
    <w:link w:val="8"/>
    <w:uiPriority w:val="99"/>
    <w:qFormat/>
    <w:locked/>
    <w:rPr>
      <w:rFonts w:ascii="Arial" w:eastAsia="黑体" w:hAnsi="Arial" w:cs="Arial"/>
      <w:sz w:val="20"/>
    </w:rPr>
  </w:style>
  <w:style w:type="character" w:customStyle="1" w:styleId="9Char">
    <w:name w:val="标题 9 Char"/>
    <w:link w:val="9"/>
    <w:uiPriority w:val="99"/>
    <w:locked/>
    <w:rPr>
      <w:rFonts w:ascii="Arial" w:eastAsia="黑体" w:hAnsi="Arial" w:cs="Arial"/>
      <w:sz w:val="20"/>
    </w:rPr>
  </w:style>
  <w:style w:type="character" w:customStyle="1" w:styleId="Char">
    <w:name w:val="批注文字 Char"/>
    <w:link w:val="a5"/>
    <w:uiPriority w:val="99"/>
    <w:qFormat/>
    <w:locked/>
    <w:rPr>
      <w:rFonts w:ascii="Times New Roman" w:eastAsia="宋体" w:hAnsi="Times New Roman" w:cs="Times New Roman"/>
      <w:sz w:val="20"/>
    </w:rPr>
  </w:style>
  <w:style w:type="character" w:customStyle="1" w:styleId="Char9">
    <w:name w:val="批注主题 Char"/>
    <w:link w:val="af0"/>
    <w:uiPriority w:val="99"/>
    <w:locked/>
    <w:rPr>
      <w:rFonts w:ascii="Times New Roman" w:eastAsia="宋体" w:hAnsi="Times New Roman" w:cs="Times New Roman"/>
      <w:b/>
      <w:sz w:val="20"/>
    </w:rPr>
  </w:style>
  <w:style w:type="character" w:customStyle="1" w:styleId="Char0">
    <w:name w:val="正文文本 Char"/>
    <w:link w:val="a6"/>
    <w:uiPriority w:val="99"/>
    <w:qFormat/>
    <w:locked/>
    <w:rPr>
      <w:rFonts w:eastAsia="宋体"/>
    </w:rPr>
  </w:style>
  <w:style w:type="character" w:customStyle="1" w:styleId="Char1">
    <w:name w:val="正文文本缩进 Char"/>
    <w:link w:val="a7"/>
    <w:uiPriority w:val="99"/>
    <w:qFormat/>
    <w:locked/>
    <w:rPr>
      <w:rFonts w:ascii="宋体" w:eastAsia="宋体" w:hAnsi="宋体" w:cs="宋体"/>
      <w:sz w:val="20"/>
    </w:rPr>
  </w:style>
  <w:style w:type="character" w:customStyle="1" w:styleId="Char2">
    <w:name w:val="纯文本 Char"/>
    <w:link w:val="a8"/>
    <w:uiPriority w:val="99"/>
    <w:qFormat/>
    <w:locked/>
    <w:rPr>
      <w:rFonts w:ascii="宋体" w:eastAsia="宋体" w:hAnsi="Courier New" w:cs="宋体"/>
      <w:sz w:val="20"/>
    </w:rPr>
  </w:style>
  <w:style w:type="character" w:customStyle="1" w:styleId="Char3">
    <w:name w:val="日期 Char"/>
    <w:link w:val="a9"/>
    <w:uiPriority w:val="99"/>
    <w:qFormat/>
    <w:locked/>
    <w:rPr>
      <w:rFonts w:ascii="宋体" w:eastAsia="宋体" w:hAnsi="Courier New" w:cs="宋体"/>
      <w:sz w:val="20"/>
    </w:rPr>
  </w:style>
  <w:style w:type="character" w:customStyle="1" w:styleId="2Char0">
    <w:name w:val="正文文本缩进 2 Char"/>
    <w:link w:val="20"/>
    <w:uiPriority w:val="99"/>
    <w:qFormat/>
    <w:locked/>
    <w:rPr>
      <w:rFonts w:ascii="宋体" w:eastAsia="宋体" w:hAnsi="宋体" w:cs="宋体"/>
      <w:sz w:val="20"/>
    </w:rPr>
  </w:style>
  <w:style w:type="character" w:customStyle="1" w:styleId="Char4">
    <w:name w:val="批注框文本 Char"/>
    <w:link w:val="aa"/>
    <w:uiPriority w:val="99"/>
    <w:qFormat/>
    <w:locked/>
    <w:rPr>
      <w:rFonts w:ascii="Times New Roman" w:eastAsia="宋体" w:hAnsi="Times New Roman" w:cs="Times New Roman"/>
      <w:sz w:val="18"/>
    </w:rPr>
  </w:style>
  <w:style w:type="character" w:customStyle="1" w:styleId="Char5">
    <w:name w:val="页脚 Char"/>
    <w:link w:val="ab"/>
    <w:uiPriority w:val="99"/>
    <w:qFormat/>
    <w:locked/>
    <w:rPr>
      <w:rFonts w:ascii="Times New Roman" w:eastAsia="宋体" w:hAnsi="Times New Roman" w:cs="Times New Roman"/>
      <w:sz w:val="20"/>
    </w:rPr>
  </w:style>
  <w:style w:type="character" w:customStyle="1" w:styleId="Char6">
    <w:name w:val="页眉 Char"/>
    <w:link w:val="ac"/>
    <w:uiPriority w:val="99"/>
    <w:qFormat/>
    <w:locked/>
    <w:rPr>
      <w:rFonts w:ascii="Times New Roman" w:eastAsia="宋体" w:hAnsi="Times New Roman" w:cs="Times New Roman"/>
      <w:sz w:val="20"/>
    </w:rPr>
  </w:style>
  <w:style w:type="character" w:customStyle="1" w:styleId="FootnoteTextChar">
    <w:name w:val="Footnote Text Char"/>
    <w:link w:val="11"/>
    <w:uiPriority w:val="99"/>
    <w:qFormat/>
    <w:locked/>
    <w:rPr>
      <w:rFonts w:ascii="Calibri" w:hAnsi="Calibri" w:cs="Calibri"/>
      <w:sz w:val="18"/>
    </w:rPr>
  </w:style>
  <w:style w:type="paragraph" w:customStyle="1" w:styleId="11">
    <w:name w:val="脚注文本1"/>
    <w:basedOn w:val="a0"/>
    <w:link w:val="FootnoteTextChar"/>
    <w:uiPriority w:val="99"/>
    <w:qFormat/>
    <w:pPr>
      <w:snapToGrid w:val="0"/>
      <w:jc w:val="left"/>
    </w:pPr>
    <w:rPr>
      <w:rFonts w:ascii="Calibri" w:hAnsi="Calibri" w:cs="Calibri"/>
      <w:kern w:val="0"/>
      <w:sz w:val="18"/>
    </w:rPr>
  </w:style>
  <w:style w:type="character" w:customStyle="1" w:styleId="3Char0">
    <w:name w:val="正文文本缩进 3 Char"/>
    <w:link w:val="31"/>
    <w:uiPriority w:val="99"/>
    <w:qFormat/>
    <w:locked/>
    <w:rPr>
      <w:rFonts w:ascii="Times New Roman" w:eastAsia="宋体" w:hAnsi="Times New Roman" w:cs="Times New Roman"/>
      <w:sz w:val="20"/>
    </w:rPr>
  </w:style>
  <w:style w:type="character" w:customStyle="1" w:styleId="2Char1">
    <w:name w:val="正文文本 2 Char"/>
    <w:link w:val="22"/>
    <w:uiPriority w:val="99"/>
    <w:qFormat/>
    <w:locked/>
    <w:rPr>
      <w:rFonts w:ascii="Times New Roman" w:eastAsia="宋体" w:hAnsi="Times New Roman" w:cs="Times New Roman"/>
      <w:sz w:val="20"/>
    </w:rPr>
  </w:style>
  <w:style w:type="character" w:customStyle="1" w:styleId="HTMLChar">
    <w:name w:val="HTML 预设格式 Char"/>
    <w:link w:val="HTML"/>
    <w:uiPriority w:val="99"/>
    <w:qFormat/>
    <w:locked/>
    <w:rPr>
      <w:rFonts w:ascii="宋体" w:eastAsia="宋体" w:hAnsi="宋体" w:cs="宋体"/>
      <w:kern w:val="0"/>
      <w:sz w:val="24"/>
    </w:rPr>
  </w:style>
  <w:style w:type="character" w:customStyle="1" w:styleId="Char8">
    <w:name w:val="标题 Char"/>
    <w:link w:val="af"/>
    <w:uiPriority w:val="99"/>
    <w:qFormat/>
    <w:locked/>
    <w:rPr>
      <w:rFonts w:ascii="Times New Roman" w:eastAsia="宋体" w:hAnsi="Times New Roman" w:cs="Times New Roman"/>
      <w:b/>
      <w:caps/>
      <w:kern w:val="28"/>
      <w:sz w:val="32"/>
    </w:rPr>
  </w:style>
  <w:style w:type="character" w:customStyle="1" w:styleId="javascript">
    <w:name w:val="javascript"/>
    <w:basedOn w:val="a1"/>
    <w:uiPriority w:val="99"/>
    <w:qFormat/>
  </w:style>
  <w:style w:type="character" w:customStyle="1" w:styleId="12">
    <w:name w:val="已访问的超链接1"/>
    <w:uiPriority w:val="99"/>
    <w:qFormat/>
    <w:rPr>
      <w:color w:val="800080"/>
      <w:u w:val="single"/>
    </w:rPr>
  </w:style>
  <w:style w:type="character" w:customStyle="1" w:styleId="2Char10">
    <w:name w:val="标题 2 Char1"/>
    <w:uiPriority w:val="99"/>
    <w:qFormat/>
    <w:rPr>
      <w:rFonts w:ascii="Arial" w:eastAsia="黑体" w:hAnsi="Arial" w:cs="Arial"/>
      <w:b/>
      <w:kern w:val="2"/>
      <w:sz w:val="32"/>
    </w:rPr>
  </w:style>
  <w:style w:type="paragraph" w:customStyle="1" w:styleId="Text">
    <w:name w:val="Text"/>
    <w:basedOn w:val="a0"/>
    <w:uiPriority w:val="99"/>
    <w:qFormat/>
    <w:pPr>
      <w:widowControl/>
      <w:overflowPunct w:val="0"/>
      <w:autoSpaceDE w:val="0"/>
      <w:autoSpaceDN w:val="0"/>
      <w:adjustRightInd w:val="0"/>
      <w:spacing w:after="240" w:line="312" w:lineRule="exact"/>
      <w:jc w:val="left"/>
      <w:textAlignment w:val="baseline"/>
    </w:pPr>
    <w:rPr>
      <w:rFonts w:ascii="Arial" w:hAnsi="Arial" w:cs="Arial"/>
      <w:kern w:val="0"/>
      <w:sz w:val="24"/>
    </w:rPr>
  </w:style>
  <w:style w:type="character" w:customStyle="1" w:styleId="Char7">
    <w:name w:val="脚注文本 Char"/>
    <w:link w:val="ad"/>
    <w:uiPriority w:val="99"/>
    <w:qFormat/>
    <w:locked/>
    <w:rPr>
      <w:rFonts w:ascii="Times New Roman" w:eastAsia="宋体" w:hAnsi="Times New Roman" w:cs="Times New Roman"/>
      <w:sz w:val="20"/>
    </w:rPr>
  </w:style>
  <w:style w:type="character" w:customStyle="1" w:styleId="Char10">
    <w:name w:val="正文文本 Char1"/>
    <w:uiPriority w:val="99"/>
    <w:semiHidden/>
    <w:qFormat/>
    <w:rPr>
      <w:rFonts w:ascii="Times New Roman" w:eastAsia="宋体" w:hAnsi="Times New Roman" w:cs="Times New Roman"/>
      <w:sz w:val="20"/>
    </w:rPr>
  </w:style>
  <w:style w:type="paragraph" w:customStyle="1" w:styleId="left">
    <w:name w:val="left"/>
    <w:uiPriority w:val="99"/>
    <w:qFormat/>
    <w:pPr>
      <w:tabs>
        <w:tab w:val="left" w:pos="0"/>
        <w:tab w:val="left" w:pos="566"/>
        <w:tab w:val="left" w:pos="851"/>
        <w:tab w:val="left" w:pos="1133"/>
        <w:tab w:val="left" w:pos="1417"/>
        <w:tab w:val="left" w:pos="1701"/>
        <w:tab w:val="left" w:pos="1984"/>
        <w:tab w:val="left" w:pos="2268"/>
        <w:tab w:val="left" w:pos="2552"/>
        <w:tab w:val="left" w:pos="2834"/>
        <w:tab w:val="left" w:pos="3118"/>
        <w:tab w:val="left" w:pos="3401"/>
        <w:tab w:val="left" w:pos="3685"/>
        <w:tab w:val="left" w:pos="3969"/>
        <w:tab w:val="left" w:pos="4252"/>
        <w:tab w:val="left" w:pos="4536"/>
        <w:tab w:val="left" w:pos="4820"/>
        <w:tab w:val="left" w:pos="5102"/>
      </w:tabs>
      <w:spacing w:after="170" w:line="252" w:lineRule="auto"/>
    </w:pPr>
  </w:style>
  <w:style w:type="paragraph" w:customStyle="1" w:styleId="13">
    <w:name w:val="样式1"/>
    <w:basedOn w:val="a0"/>
    <w:uiPriority w:val="99"/>
    <w:qFormat/>
    <w:pPr>
      <w:tabs>
        <w:tab w:val="left" w:pos="720"/>
      </w:tabs>
      <w:spacing w:line="460" w:lineRule="exact"/>
      <w:ind w:left="720" w:hanging="720"/>
    </w:pPr>
    <w:rPr>
      <w:b/>
      <w:sz w:val="28"/>
    </w:rPr>
  </w:style>
  <w:style w:type="paragraph" w:customStyle="1" w:styleId="-11">
    <w:name w:val="彩色列表 - 强调文字颜色 11"/>
    <w:basedOn w:val="a0"/>
    <w:uiPriority w:val="99"/>
    <w:qFormat/>
    <w:pPr>
      <w:spacing w:before="60" w:after="20" w:line="360" w:lineRule="exact"/>
      <w:ind w:firstLineChars="200" w:firstLine="420"/>
    </w:pPr>
    <w:rPr>
      <w:rFonts w:ascii="Calibri" w:hAnsi="Calibri" w:cs="Calibri"/>
    </w:rPr>
  </w:style>
  <w:style w:type="paragraph" w:customStyle="1" w:styleId="14">
    <w:name w:val="列出段落1"/>
    <w:basedOn w:val="a0"/>
    <w:link w:val="Chara"/>
    <w:uiPriority w:val="99"/>
    <w:qFormat/>
    <w:pPr>
      <w:ind w:firstLineChars="200" w:firstLine="420"/>
    </w:pPr>
    <w:rPr>
      <w:kern w:val="0"/>
      <w:sz w:val="20"/>
    </w:rPr>
  </w:style>
  <w:style w:type="paragraph" w:customStyle="1" w:styleId="Default">
    <w:name w:val="Default"/>
    <w:uiPriority w:val="99"/>
    <w:qFormat/>
    <w:pPr>
      <w:widowControl w:val="0"/>
      <w:autoSpaceDE w:val="0"/>
      <w:autoSpaceDN w:val="0"/>
      <w:adjustRightInd w:val="0"/>
    </w:pPr>
    <w:rPr>
      <w:rFonts w:ascii="宋体" w:hAnsi="Calibri" w:cs="宋体"/>
      <w:color w:val="000000"/>
      <w:sz w:val="24"/>
    </w:rPr>
  </w:style>
  <w:style w:type="paragraph" w:customStyle="1" w:styleId="110">
    <w:name w:val="列出段落11"/>
    <w:basedOn w:val="a0"/>
    <w:uiPriority w:val="99"/>
    <w:qFormat/>
    <w:pPr>
      <w:ind w:firstLineChars="200" w:firstLine="420"/>
    </w:pPr>
    <w:rPr>
      <w:rFonts w:ascii="Calibri" w:hAnsi="Calibri" w:cs="Calibri"/>
    </w:rPr>
  </w:style>
  <w:style w:type="paragraph" w:customStyle="1" w:styleId="TextDash">
    <w:name w:val="Text:Dash"/>
    <w:basedOn w:val="a0"/>
    <w:uiPriority w:val="99"/>
    <w:qFormat/>
    <w:pPr>
      <w:tabs>
        <w:tab w:val="left" w:pos="360"/>
      </w:tabs>
      <w:spacing w:after="170"/>
    </w:pPr>
    <w:rPr>
      <w:rFonts w:ascii="Calibri" w:hAnsi="Calibri" w:cs="Calibri"/>
    </w:rPr>
  </w:style>
  <w:style w:type="character" w:customStyle="1" w:styleId="15">
    <w:name w:val="占位符文本1"/>
    <w:uiPriority w:val="99"/>
    <w:semiHidden/>
    <w:qFormat/>
    <w:rPr>
      <w:color w:val="808080"/>
    </w:rPr>
  </w:style>
  <w:style w:type="character" w:customStyle="1" w:styleId="Charb">
    <w:name w:val="！正文 Char"/>
    <w:link w:val="af7"/>
    <w:uiPriority w:val="99"/>
    <w:qFormat/>
    <w:locked/>
    <w:rPr>
      <w:kern w:val="2"/>
      <w:sz w:val="24"/>
    </w:rPr>
  </w:style>
  <w:style w:type="paragraph" w:customStyle="1" w:styleId="af7">
    <w:name w:val="！正文"/>
    <w:link w:val="Charb"/>
    <w:uiPriority w:val="99"/>
    <w:qFormat/>
    <w:pPr>
      <w:widowControl w:val="0"/>
      <w:topLinePunct/>
      <w:adjustRightInd w:val="0"/>
      <w:snapToGrid w:val="0"/>
      <w:spacing w:line="360" w:lineRule="auto"/>
      <w:ind w:firstLineChars="200" w:firstLine="200"/>
      <w:jc w:val="both"/>
    </w:pPr>
    <w:rPr>
      <w:rFonts w:ascii="Calibri" w:hAnsi="Calibri" w:cs="Calibri"/>
      <w:kern w:val="2"/>
      <w:sz w:val="24"/>
    </w:rPr>
  </w:style>
  <w:style w:type="character" w:customStyle="1" w:styleId="16">
    <w:name w:val="不明显参考1"/>
    <w:uiPriority w:val="99"/>
    <w:rPr>
      <w:rFonts w:ascii="Times New Roman" w:eastAsia="宋体" w:hAnsi="Times New Roman" w:cs="Times New Roman"/>
      <w:color w:val="auto"/>
      <w:u w:val="none"/>
    </w:rPr>
  </w:style>
  <w:style w:type="character" w:customStyle="1" w:styleId="17">
    <w:name w:val="脚注引用1"/>
    <w:uiPriority w:val="99"/>
    <w:rPr>
      <w:rFonts w:ascii="Times New Roman" w:eastAsia="宋体" w:hAnsi="Times New Roman" w:cs="Times New Roman"/>
      <w:vertAlign w:val="superscript"/>
    </w:rPr>
  </w:style>
  <w:style w:type="character" w:customStyle="1" w:styleId="fontstyle01">
    <w:name w:val="fontstyle01"/>
    <w:uiPriority w:val="99"/>
    <w:qFormat/>
    <w:rPr>
      <w:rFonts w:ascii="宋体" w:eastAsia="宋体" w:hAnsi="宋体" w:cs="宋体"/>
      <w:color w:val="000000"/>
      <w:sz w:val="24"/>
    </w:rPr>
  </w:style>
  <w:style w:type="character" w:customStyle="1" w:styleId="fontstyle11">
    <w:name w:val="fontstyle11"/>
    <w:uiPriority w:val="99"/>
    <w:rPr>
      <w:rFonts w:ascii="TimesNewRomanPSMT" w:hAnsi="TimesNewRomanPSMT" w:cs="TimesNewRomanPSMT"/>
      <w:color w:val="000000"/>
      <w:sz w:val="24"/>
    </w:rPr>
  </w:style>
  <w:style w:type="paragraph" w:customStyle="1" w:styleId="18">
    <w:name w:val="正文缩进1"/>
    <w:basedOn w:val="a0"/>
    <w:uiPriority w:val="99"/>
    <w:pPr>
      <w:ind w:firstLineChars="200" w:firstLine="420"/>
    </w:pPr>
  </w:style>
  <w:style w:type="character" w:customStyle="1" w:styleId="Chara">
    <w:name w:val="列出段落 Char"/>
    <w:link w:val="14"/>
    <w:uiPriority w:val="99"/>
    <w:locked/>
    <w:rPr>
      <w:rFonts w:ascii="Times New Roman" w:eastAsia="宋体" w:hAnsi="Times New Roman" w:cs="Times New Roman"/>
      <w:sz w:val="20"/>
    </w:rPr>
  </w:style>
  <w:style w:type="paragraph" w:customStyle="1" w:styleId="EndNoteBibliographyTitle">
    <w:name w:val="EndNote Bibliography Title"/>
    <w:basedOn w:val="a0"/>
    <w:link w:val="EndNoteBibliographyTitleChar"/>
    <w:uiPriority w:val="99"/>
    <w:pPr>
      <w:jc w:val="center"/>
    </w:pPr>
    <w:rPr>
      <w:sz w:val="20"/>
    </w:rPr>
  </w:style>
  <w:style w:type="character" w:customStyle="1" w:styleId="EndNoteBibliographyTitleChar">
    <w:name w:val="EndNote Bibliography Title Char"/>
    <w:link w:val="EndNoteBibliographyTitle"/>
    <w:uiPriority w:val="99"/>
    <w:qFormat/>
    <w:locked/>
    <w:rPr>
      <w:rFonts w:ascii="Times New Roman" w:eastAsia="宋体" w:hAnsi="Times New Roman" w:cs="Times New Roman"/>
      <w:sz w:val="20"/>
    </w:rPr>
  </w:style>
  <w:style w:type="paragraph" w:customStyle="1" w:styleId="EndNoteBibliography">
    <w:name w:val="EndNote Bibliography"/>
    <w:basedOn w:val="a0"/>
    <w:link w:val="EndNoteBibliographyChar"/>
    <w:uiPriority w:val="99"/>
    <w:pPr>
      <w:jc w:val="left"/>
    </w:pPr>
    <w:rPr>
      <w:sz w:val="20"/>
    </w:rPr>
  </w:style>
  <w:style w:type="character" w:customStyle="1" w:styleId="EndNoteBibliographyChar">
    <w:name w:val="EndNote Bibliography Char"/>
    <w:link w:val="EndNoteBibliography"/>
    <w:uiPriority w:val="99"/>
    <w:qFormat/>
    <w:locked/>
    <w:rPr>
      <w:rFonts w:ascii="Times New Roman" w:eastAsia="宋体" w:hAnsi="Times New Roman" w:cs="Times New Roman"/>
      <w:sz w:val="20"/>
    </w:rPr>
  </w:style>
  <w:style w:type="table" w:customStyle="1" w:styleId="TableNormal1">
    <w:name w:val="Table Normal1"/>
    <w:uiPriority w:val="99"/>
    <w:semiHidden/>
    <w:pPr>
      <w:widowControl w:val="0"/>
      <w:autoSpaceDE w:val="0"/>
      <w:autoSpaceDN w:val="0"/>
    </w:pPr>
    <w:rPr>
      <w:rFonts w:cs="Calibri"/>
      <w:sz w:val="22"/>
    </w:rPr>
    <w:tblPr>
      <w:tblCellMar>
        <w:top w:w="0" w:type="dxa"/>
        <w:left w:w="0" w:type="dxa"/>
        <w:bottom w:w="0" w:type="dxa"/>
        <w:right w:w="0" w:type="dxa"/>
      </w:tblCellMar>
    </w:tblPr>
  </w:style>
  <w:style w:type="paragraph" w:customStyle="1" w:styleId="TableParagraph">
    <w:name w:val="Table Paragraph"/>
    <w:basedOn w:val="a0"/>
    <w:uiPriority w:val="99"/>
    <w:pPr>
      <w:autoSpaceDE w:val="0"/>
      <w:autoSpaceDN w:val="0"/>
      <w:jc w:val="left"/>
    </w:pPr>
    <w:rPr>
      <w:rFonts w:ascii="Noto Sans CJK JP Regular" w:hAnsi="Noto Sans CJK JP Regular" w:cs="Noto Sans CJK JP Regular"/>
      <w:kern w:val="0"/>
      <w:sz w:val="22"/>
    </w:rPr>
  </w:style>
  <w:style w:type="table" w:customStyle="1" w:styleId="TableNormal11">
    <w:name w:val="Table Normal11"/>
    <w:uiPriority w:val="99"/>
    <w:semiHidden/>
    <w:pPr>
      <w:widowControl w:val="0"/>
      <w:autoSpaceDE w:val="0"/>
      <w:autoSpaceDN w:val="0"/>
    </w:pPr>
    <w:rPr>
      <w:rFonts w:cs="Calibri"/>
      <w:sz w:val="22"/>
    </w:rPr>
    <w:tblPr>
      <w:tblCellMar>
        <w:top w:w="0" w:type="dxa"/>
        <w:left w:w="0" w:type="dxa"/>
        <w:bottom w:w="0" w:type="dxa"/>
        <w:right w:w="0" w:type="dxa"/>
      </w:tblCellMar>
    </w:tblPr>
  </w:style>
  <w:style w:type="table" w:customStyle="1" w:styleId="TableNormal2">
    <w:name w:val="Table Normal2"/>
    <w:uiPriority w:val="99"/>
    <w:semiHidden/>
    <w:pPr>
      <w:widowControl w:val="0"/>
      <w:autoSpaceDE w:val="0"/>
      <w:autoSpaceDN w:val="0"/>
    </w:pPr>
    <w:rPr>
      <w:rFonts w:cs="Calibri"/>
      <w:sz w:val="22"/>
    </w:rPr>
    <w:tblPr>
      <w:tblCellMar>
        <w:top w:w="0" w:type="dxa"/>
        <w:left w:w="0" w:type="dxa"/>
        <w:bottom w:w="0" w:type="dxa"/>
        <w:right w:w="0" w:type="dxa"/>
      </w:tblCellMar>
    </w:tblPr>
  </w:style>
  <w:style w:type="paragraph" w:customStyle="1" w:styleId="a">
    <w:name w:val="！附件"/>
    <w:next w:val="af7"/>
    <w:uiPriority w:val="99"/>
    <w:pPr>
      <w:keepNext/>
      <w:numPr>
        <w:numId w:val="1"/>
      </w:numPr>
      <w:topLinePunct/>
      <w:adjustRightInd w:val="0"/>
      <w:snapToGrid w:val="0"/>
      <w:spacing w:line="360" w:lineRule="auto"/>
      <w:outlineLvl w:val="0"/>
    </w:pPr>
    <w:rPr>
      <w:rFonts w:eastAsia="黑体"/>
      <w:kern w:val="2"/>
      <w:sz w:val="24"/>
    </w:rPr>
  </w:style>
  <w:style w:type="paragraph" w:customStyle="1" w:styleId="19">
    <w:name w:val="纯文本1"/>
    <w:basedOn w:val="a0"/>
    <w:uiPriority w:val="99"/>
    <w:rPr>
      <w:rFonts w:ascii="宋体" w:hAnsi="Courier New" w:cs="宋体"/>
    </w:rPr>
  </w:style>
  <w:style w:type="paragraph" w:customStyle="1" w:styleId="af8">
    <w:name w:val="！方案摘要"/>
    <w:next w:val="a0"/>
    <w:uiPriority w:val="99"/>
    <w:pPr>
      <w:topLinePunct/>
      <w:adjustRightInd w:val="0"/>
      <w:snapToGrid w:val="0"/>
      <w:spacing w:line="360" w:lineRule="auto"/>
      <w:jc w:val="center"/>
      <w:outlineLvl w:val="0"/>
    </w:pPr>
    <w:rPr>
      <w:rFonts w:eastAsia="黑体"/>
      <w:kern w:val="2"/>
      <w:sz w:val="24"/>
    </w:rPr>
  </w:style>
  <w:style w:type="paragraph" w:customStyle="1" w:styleId="1a">
    <w:name w:val="正文1"/>
    <w:pPr>
      <w:jc w:val="both"/>
    </w:pPr>
    <w:rPr>
      <w:rFonts w:ascii="Calibri" w:hAnsi="Calibri" w:cs="Calibri"/>
      <w:kern w:val="2"/>
      <w:sz w:val="21"/>
    </w:rPr>
  </w:style>
  <w:style w:type="paragraph" w:styleId="af9">
    <w:name w:val="List Paragraph"/>
    <w:basedOn w:val="a0"/>
    <w:uiPriority w:val="99"/>
    <w:pPr>
      <w:ind w:firstLineChars="200" w:firstLine="420"/>
    </w:pPr>
  </w:style>
  <w:style w:type="paragraph" w:customStyle="1" w:styleId="P68B1DB1-a01">
    <w:name w:val="P68B1DB1-a01"/>
    <w:basedOn w:val="a0"/>
    <w:rPr>
      <w:kern w:val="0"/>
      <w:sz w:val="24"/>
    </w:rPr>
  </w:style>
  <w:style w:type="paragraph" w:customStyle="1" w:styleId="P68B1DB1-a02">
    <w:name w:val="P68B1DB1-a02"/>
    <w:basedOn w:val="a0"/>
    <w:rPr>
      <w:rFonts w:ascii="宋体" w:hAnsi="宋体" w:cs="宋体" w:hint="eastAsia"/>
      <w:b/>
      <w:sz w:val="36"/>
    </w:rPr>
  </w:style>
  <w:style w:type="paragraph" w:customStyle="1" w:styleId="P68B1DB1-a03">
    <w:name w:val="P68B1DB1-a03"/>
    <w:basedOn w:val="a0"/>
    <w:rPr>
      <w:rFonts w:hAnsi="宋体" w:cs="宋体" w:hint="eastAsia"/>
      <w:sz w:val="36"/>
    </w:rPr>
  </w:style>
  <w:style w:type="paragraph" w:customStyle="1" w:styleId="P68B1DB1-a04">
    <w:name w:val="P68B1DB1-a04"/>
    <w:basedOn w:val="a0"/>
    <w:rPr>
      <w:rFonts w:ascii="宋体" w:hAnsi="宋体" w:cs="宋体" w:hint="eastAsia"/>
      <w:sz w:val="24"/>
    </w:rPr>
  </w:style>
  <w:style w:type="paragraph" w:customStyle="1" w:styleId="P68B1DB1-a05">
    <w:name w:val="P68B1DB1-a05"/>
    <w:basedOn w:val="a0"/>
    <w:rPr>
      <w:sz w:val="28"/>
    </w:rPr>
  </w:style>
  <w:style w:type="paragraph" w:customStyle="1" w:styleId="P68B1DB1-a06">
    <w:name w:val="P68B1DB1-a06"/>
    <w:basedOn w:val="a0"/>
    <w:rPr>
      <w:rFonts w:hAnsi="宋体" w:cs="宋体" w:hint="eastAsia"/>
      <w:sz w:val="28"/>
    </w:rPr>
  </w:style>
  <w:style w:type="paragraph" w:customStyle="1" w:styleId="P68B1DB1-a07">
    <w:name w:val="P68B1DB1-a07"/>
    <w:basedOn w:val="a0"/>
    <w:rPr>
      <w:rFonts w:hAnsi="宋体" w:cs="宋体" w:hint="eastAsia"/>
      <w:kern w:val="0"/>
      <w:sz w:val="28"/>
    </w:rPr>
  </w:style>
  <w:style w:type="paragraph" w:customStyle="1" w:styleId="P68B1DB1-a08">
    <w:name w:val="P68B1DB1-a08"/>
    <w:basedOn w:val="a0"/>
    <w:rPr>
      <w:rFonts w:cs="宋体" w:hint="eastAsia"/>
    </w:rPr>
  </w:style>
  <w:style w:type="paragraph" w:customStyle="1" w:styleId="P68B1DB1-a09">
    <w:name w:val="P68B1DB1-a09"/>
    <w:basedOn w:val="a0"/>
    <w:rPr>
      <w:rFonts w:cs="宋体" w:hint="eastAsia"/>
      <w:sz w:val="24"/>
    </w:rPr>
  </w:style>
  <w:style w:type="paragraph" w:customStyle="1" w:styleId="P68B1DB1-TableParagraph10">
    <w:name w:val="P68B1DB1-TableParagraph10"/>
    <w:basedOn w:val="TableParagraph"/>
    <w:rPr>
      <w:rFonts w:ascii="宋体" w:hAnsi="宋体" w:cs="宋体" w:hint="eastAsia"/>
      <w:sz w:val="24"/>
    </w:rPr>
  </w:style>
  <w:style w:type="paragraph" w:customStyle="1" w:styleId="P68B1DB1-TableParagraph11">
    <w:name w:val="P68B1DB1-TableParagraph11"/>
    <w:basedOn w:val="TableParagraph"/>
    <w:rPr>
      <w:rFonts w:ascii="Times New Roman" w:eastAsia="Times New Roman" w:cs="Times New Roman"/>
      <w:sz w:val="24"/>
    </w:rPr>
  </w:style>
  <w:style w:type="paragraph" w:customStyle="1" w:styleId="P68B1DB1-TableParagraph12">
    <w:name w:val="P68B1DB1-TableParagraph12"/>
    <w:basedOn w:val="TableParagraph"/>
    <w:rPr>
      <w:rFonts w:ascii="Times New Roman" w:hint="eastAsia"/>
      <w:sz w:val="24"/>
    </w:rPr>
  </w:style>
  <w:style w:type="paragraph" w:customStyle="1" w:styleId="P68B1DB1-TableParagraph13">
    <w:name w:val="P68B1DB1-TableParagraph13"/>
    <w:basedOn w:val="TableParagraph"/>
    <w:rPr>
      <w:rFonts w:ascii="Times New Roman" w:cs="Times New Roman" w:hint="eastAsia"/>
      <w:sz w:val="24"/>
    </w:rPr>
  </w:style>
  <w:style w:type="paragraph" w:customStyle="1" w:styleId="P68B1DB1-a014">
    <w:name w:val="P68B1DB1-a014"/>
    <w:basedOn w:val="a0"/>
    <w:rPr>
      <w:rFonts w:cs="宋体" w:hint="eastAsia"/>
      <w:b/>
      <w:sz w:val="32"/>
    </w:rPr>
  </w:style>
  <w:style w:type="paragraph" w:customStyle="1" w:styleId="P68B1DB1-1115">
    <w:name w:val="P68B1DB1-1115"/>
    <w:basedOn w:val="10"/>
    <w:rPr>
      <w:b/>
      <w:sz w:val="32"/>
    </w:rPr>
  </w:style>
  <w:style w:type="paragraph" w:customStyle="1" w:styleId="P68B1DB1-116">
    <w:name w:val="P68B1DB1-116"/>
    <w:basedOn w:val="1"/>
    <w:rPr>
      <w:rFonts w:hint="eastAsia"/>
      <w:sz w:val="24"/>
    </w:rPr>
  </w:style>
  <w:style w:type="paragraph" w:customStyle="1" w:styleId="P68B1DB1-a017">
    <w:name w:val="P68B1DB1-a017"/>
    <w:basedOn w:val="a0"/>
    <w:rPr>
      <w:rFonts w:hAnsi="宋体" w:cs="宋体" w:hint="eastAsia"/>
      <w:sz w:val="24"/>
    </w:rPr>
  </w:style>
  <w:style w:type="paragraph" w:customStyle="1" w:styleId="P68B1DB1-af518">
    <w:name w:val="P68B1DB1-af518"/>
    <w:basedOn w:val="ad"/>
    <w:rPr>
      <w:rFonts w:hAnsi="宋体" w:hint="eastAsia"/>
      <w:sz w:val="24"/>
    </w:rPr>
  </w:style>
  <w:style w:type="paragraph" w:customStyle="1" w:styleId="P68B1DB1-af519">
    <w:name w:val="P68B1DB1-af519"/>
    <w:basedOn w:val="ad"/>
    <w:rPr>
      <w:rFonts w:asciiTheme="minorEastAsia" w:eastAsiaTheme="minorEastAsia" w:hAnsiTheme="minorEastAsia" w:cstheme="minorEastAsia"/>
      <w:sz w:val="24"/>
    </w:rPr>
  </w:style>
  <w:style w:type="paragraph" w:customStyle="1" w:styleId="P68B1DB1-af520">
    <w:name w:val="P68B1DB1-af520"/>
    <w:basedOn w:val="ad"/>
    <w:rPr>
      <w:sz w:val="24"/>
    </w:rPr>
  </w:style>
  <w:style w:type="paragraph" w:customStyle="1" w:styleId="P68B1DB1-af521">
    <w:name w:val="P68B1DB1-af521"/>
    <w:basedOn w:val="ad"/>
    <w:rPr>
      <w:rFonts w:hAnsi="宋体" w:cs="宋体" w:hint="eastAsia"/>
      <w:sz w:val="24"/>
    </w:rPr>
  </w:style>
  <w:style w:type="paragraph" w:customStyle="1" w:styleId="P68B1DB1-af522">
    <w:name w:val="P68B1DB1-af522"/>
    <w:basedOn w:val="ad"/>
    <w:rPr>
      <w:rFonts w:cs="宋体" w:hint="eastAsia"/>
      <w:sz w:val="24"/>
    </w:rPr>
  </w:style>
  <w:style w:type="paragraph" w:customStyle="1" w:styleId="P68B1DB1-a023">
    <w:name w:val="P68B1DB1-a023"/>
    <w:basedOn w:val="a0"/>
    <w:rPr>
      <w:rFonts w:hAnsi="宋体" w:hint="eastAsia"/>
      <w:sz w:val="24"/>
    </w:rPr>
  </w:style>
  <w:style w:type="paragraph" w:customStyle="1" w:styleId="P68B1DB1-a024">
    <w:name w:val="P68B1DB1-a024"/>
    <w:basedOn w:val="a0"/>
    <w:rPr>
      <w:rFonts w:hint="eastAsia"/>
      <w:sz w:val="24"/>
    </w:rPr>
  </w:style>
  <w:style w:type="paragraph" w:customStyle="1" w:styleId="P68B1DB1-1925">
    <w:name w:val="P68B1DB1-1925"/>
    <w:basedOn w:val="18"/>
    <w:rPr>
      <w:rFonts w:hint="eastAsia"/>
      <w:sz w:val="24"/>
    </w:rPr>
  </w:style>
  <w:style w:type="paragraph" w:customStyle="1" w:styleId="P68B1DB1-1926">
    <w:name w:val="P68B1DB1-1926"/>
    <w:basedOn w:val="18"/>
    <w:rPr>
      <w:rFonts w:cs="宋体" w:hint="eastAsia"/>
      <w:sz w:val="24"/>
    </w:rPr>
  </w:style>
  <w:style w:type="paragraph" w:customStyle="1" w:styleId="P68B1DB1-left27">
    <w:name w:val="P68B1DB1-left27"/>
    <w:basedOn w:val="left"/>
    <w:rPr>
      <w:rFonts w:hint="eastAsia"/>
      <w:sz w:val="24"/>
    </w:rPr>
  </w:style>
  <w:style w:type="paragraph" w:customStyle="1" w:styleId="P68B1DB1-left28">
    <w:name w:val="P68B1DB1-left28"/>
    <w:basedOn w:val="left"/>
    <w:rPr>
      <w:rFonts w:hAnsi="宋体" w:hint="eastAsia"/>
      <w:sz w:val="24"/>
    </w:rPr>
  </w:style>
  <w:style w:type="paragraph" w:customStyle="1" w:styleId="P68B1DB1-left29">
    <w:name w:val="P68B1DB1-left29"/>
    <w:basedOn w:val="left"/>
    <w:rPr>
      <w:rFonts w:ascii="宋体" w:hAnsi="宋体" w:cs="宋体" w:hint="eastAsia"/>
      <w:sz w:val="24"/>
    </w:rPr>
  </w:style>
  <w:style w:type="paragraph" w:customStyle="1" w:styleId="P68B1DB1-left30">
    <w:name w:val="P68B1DB1-left30"/>
    <w:basedOn w:val="left"/>
    <w:rPr>
      <w:rFonts w:hAnsi="宋体" w:cs="宋体" w:hint="eastAsia"/>
      <w:sz w:val="24"/>
    </w:rPr>
  </w:style>
  <w:style w:type="paragraph" w:customStyle="1" w:styleId="P68B1DB1-a031">
    <w:name w:val="P68B1DB1-a031"/>
    <w:basedOn w:val="a0"/>
    <w:rPr>
      <w:rFonts w:hAnsi="宋体" w:cs="宋体" w:hint="eastAsia"/>
      <w:b/>
      <w:sz w:val="24"/>
    </w:rPr>
  </w:style>
  <w:style w:type="paragraph" w:customStyle="1" w:styleId="P68B1DB1-a032">
    <w:name w:val="P68B1DB1-a032"/>
    <w:basedOn w:val="a0"/>
    <w:rPr>
      <w:rFonts w:cs="宋体" w:hint="eastAsia"/>
      <w:b/>
      <w:sz w:val="24"/>
    </w:rPr>
  </w:style>
  <w:style w:type="paragraph" w:customStyle="1" w:styleId="P68B1DB1-a033">
    <w:name w:val="P68B1DB1-a033"/>
    <w:basedOn w:val="a0"/>
    <w:rPr>
      <w:sz w:val="24"/>
    </w:rPr>
  </w:style>
  <w:style w:type="paragraph" w:customStyle="1" w:styleId="P68B1DB1-a034">
    <w:name w:val="P68B1DB1-a034"/>
    <w:basedOn w:val="a0"/>
    <w:rPr>
      <w:rFonts w:hint="eastAsia"/>
      <w:sz w:val="24"/>
    </w:rPr>
  </w:style>
  <w:style w:type="paragraph" w:customStyle="1" w:styleId="P68B1DB1-1535">
    <w:name w:val="P68B1DB1-1535"/>
    <w:basedOn w:val="14"/>
    <w:rPr>
      <w:rFonts w:hint="eastAsia"/>
      <w:kern w:val="2"/>
      <w:sz w:val="24"/>
    </w:rPr>
  </w:style>
  <w:style w:type="paragraph" w:customStyle="1" w:styleId="P68B1DB1-1536">
    <w:name w:val="P68B1DB1-1536"/>
    <w:basedOn w:val="14"/>
    <w:rPr>
      <w:rFonts w:cs="宋体" w:hint="eastAsia"/>
      <w:kern w:val="2"/>
      <w:sz w:val="24"/>
    </w:rPr>
  </w:style>
  <w:style w:type="paragraph" w:customStyle="1" w:styleId="P68B1DB1-1537">
    <w:name w:val="P68B1DB1-1537"/>
    <w:basedOn w:val="14"/>
    <w:rPr>
      <w:kern w:val="2"/>
      <w:sz w:val="24"/>
    </w:rPr>
  </w:style>
  <w:style w:type="paragraph" w:customStyle="1" w:styleId="P68B1DB1-1538">
    <w:name w:val="P68B1DB1-1538"/>
    <w:basedOn w:val="14"/>
    <w:rPr>
      <w:rFonts w:hAnsi="宋体" w:cs="宋体" w:hint="eastAsia"/>
      <w:kern w:val="2"/>
      <w:sz w:val="24"/>
    </w:rPr>
  </w:style>
  <w:style w:type="paragraph" w:customStyle="1" w:styleId="P68B1DB1-1539">
    <w:name w:val="P68B1DB1-1539"/>
    <w:basedOn w:val="14"/>
    <w:rPr>
      <w:rFonts w:hAnsi="宋体" w:hint="eastAsia"/>
      <w:kern w:val="2"/>
      <w:sz w:val="24"/>
    </w:rPr>
  </w:style>
  <w:style w:type="paragraph" w:customStyle="1" w:styleId="P68B1DB1-aff240">
    <w:name w:val="P68B1DB1-aff240"/>
    <w:basedOn w:val="af7"/>
    <w:rPr>
      <w:rFonts w:hint="eastAsia"/>
      <w:b/>
    </w:rPr>
  </w:style>
  <w:style w:type="paragraph" w:customStyle="1" w:styleId="P68B1DB1-aff241">
    <w:name w:val="P68B1DB1-aff241"/>
    <w:basedOn w:val="af7"/>
    <w:rPr>
      <w:rFonts w:cs="宋体" w:hint="eastAsia"/>
    </w:rPr>
  </w:style>
  <w:style w:type="paragraph" w:customStyle="1" w:styleId="P68B1DB1-aff242">
    <w:name w:val="P68B1DB1-aff242"/>
    <w:basedOn w:val="af7"/>
    <w:rPr>
      <w:rFonts w:cs="宋体" w:hint="eastAsia"/>
      <w:b/>
    </w:rPr>
  </w:style>
  <w:style w:type="paragraph" w:customStyle="1" w:styleId="P68B1DB1-Default43">
    <w:name w:val="P68B1DB1-Default43"/>
    <w:basedOn w:val="Default"/>
    <w:rPr>
      <w:rFonts w:ascii="Times New Roman" w:hAnsi="Times New Roman" w:hint="eastAsia"/>
      <w:color w:val="auto"/>
    </w:rPr>
  </w:style>
  <w:style w:type="paragraph" w:customStyle="1" w:styleId="P68B1DB1-Default44">
    <w:name w:val="P68B1DB1-Default44"/>
    <w:basedOn w:val="Default"/>
    <w:rPr>
      <w:rFonts w:ascii="Times New Roman" w:hAnsi="Times New Roman" w:hint="eastAsia"/>
      <w:b/>
      <w:color w:val="auto"/>
      <w:kern w:val="2"/>
    </w:rPr>
  </w:style>
  <w:style w:type="paragraph" w:customStyle="1" w:styleId="P68B1DB1-Default45">
    <w:name w:val="P68B1DB1-Default45"/>
    <w:basedOn w:val="Default"/>
    <w:rPr>
      <w:rFonts w:ascii="Times New Roman" w:hAnsi="Times New Roman" w:hint="eastAsia"/>
      <w:color w:val="auto"/>
      <w:kern w:val="2"/>
    </w:rPr>
  </w:style>
  <w:style w:type="paragraph" w:customStyle="1" w:styleId="P68B1DB1-146">
    <w:name w:val="P68B1DB1-146"/>
    <w:basedOn w:val="1"/>
    <w:rPr>
      <w:rFonts w:hint="eastAsia"/>
      <w:sz w:val="24"/>
    </w:rPr>
  </w:style>
  <w:style w:type="paragraph" w:customStyle="1" w:styleId="P68B1DB1-TableParagraph47">
    <w:name w:val="P68B1DB1-TableParagraph47"/>
    <w:basedOn w:val="TableParagraph"/>
    <w:rPr>
      <w:sz w:val="24"/>
    </w:rPr>
  </w:style>
  <w:style w:type="paragraph" w:customStyle="1" w:styleId="P68B1DB1-a048">
    <w:name w:val="P68B1DB1-a048"/>
    <w:basedOn w:val="a0"/>
    <w:rPr>
      <w:rFonts w:ascii="宋体" w:hAnsi="宋体" w:cs="宋体" w:hint="eastAsia"/>
      <w:b/>
      <w:sz w:val="18"/>
    </w:rPr>
  </w:style>
  <w:style w:type="paragraph" w:customStyle="1" w:styleId="P68B1DB1-a049">
    <w:name w:val="P68B1DB1-a049"/>
    <w:basedOn w:val="a0"/>
    <w:rPr>
      <w:b/>
    </w:rPr>
  </w:style>
  <w:style w:type="paragraph" w:customStyle="1" w:styleId="P68B1DB1-a050">
    <w:name w:val="P68B1DB1-a050"/>
    <w:basedOn w:val="a0"/>
    <w:rPr>
      <w:rFonts w:ascii="宋体" w:hAnsi="宋体" w:cs="宋体"/>
      <w:b/>
      <w:sz w:val="18"/>
    </w:rPr>
  </w:style>
  <w:style w:type="paragraph" w:customStyle="1" w:styleId="P68B1DB1-a051">
    <w:name w:val="P68B1DB1-a051"/>
    <w:basedOn w:val="a0"/>
    <w:rPr>
      <w:rFonts w:ascii="宋体" w:hAnsi="宋体" w:cs="宋体"/>
      <w:b/>
    </w:rPr>
  </w:style>
  <w:style w:type="paragraph" w:customStyle="1" w:styleId="P68B1DB1-a052">
    <w:name w:val="P68B1DB1-a052"/>
    <w:basedOn w:val="a0"/>
    <w:rPr>
      <w:rFonts w:ascii="宋体" w:hint="eastAsia"/>
      <w:b/>
      <w:sz w:val="18"/>
    </w:rPr>
  </w:style>
  <w:style w:type="paragraph" w:customStyle="1" w:styleId="P68B1DB1-a053">
    <w:name w:val="P68B1DB1-a053"/>
    <w:basedOn w:val="a0"/>
    <w:rPr>
      <w:rFonts w:hint="eastAsia"/>
      <w:b/>
      <w:sz w:val="18"/>
    </w:rPr>
  </w:style>
  <w:style w:type="paragraph" w:customStyle="1" w:styleId="P68B1DB1-1554">
    <w:name w:val="P68B1DB1-1554"/>
    <w:basedOn w:val="14"/>
    <w:rPr>
      <w:rFonts w:hint="eastAsia"/>
      <w:b/>
      <w:sz w:val="18"/>
    </w:rPr>
  </w:style>
  <w:style w:type="paragraph" w:customStyle="1" w:styleId="P68B1DB1-a055">
    <w:name w:val="P68B1DB1-a055"/>
    <w:basedOn w:val="a0"/>
    <w:rPr>
      <w:rFonts w:ascii="Calibri" w:hAnsi="Calibri" w:hint="eastAsia"/>
    </w:rPr>
  </w:style>
  <w:style w:type="paragraph" w:customStyle="1" w:styleId="P68B1DB1-EndNoteBibliography56">
    <w:name w:val="P68B1DB1-EndNoteBibliography56"/>
    <w:basedOn w:val="EndNoteBibliography"/>
    <w:rPr>
      <w:sz w:val="21"/>
    </w:rPr>
  </w:style>
  <w:style w:type="paragraph" w:customStyle="1" w:styleId="P68B1DB1-a057">
    <w:name w:val="P68B1DB1-a057"/>
    <w:basedOn w:val="a0"/>
    <w:rPr>
      <w:rFonts w:eastAsia="黑体" w:cs="黑体" w:hint="eastAsia"/>
    </w:rPr>
  </w:style>
  <w:style w:type="paragraph" w:customStyle="1" w:styleId="P68B1DB1-a058">
    <w:name w:val="P68B1DB1-a058"/>
    <w:basedOn w:val="a0"/>
    <w:rPr>
      <w:rFonts w:hint="eastAsia"/>
    </w:rPr>
  </w:style>
  <w:style w:type="paragraph" w:customStyle="1" w:styleId="P68B1DB1-a059">
    <w:name w:val="P68B1DB1-a059"/>
    <w:basedOn w:val="a0"/>
    <w:rPr>
      <w:rFonts w:cs="宋体" w:hint="eastAsia"/>
      <w:kern w:val="0"/>
    </w:rPr>
  </w:style>
  <w:style w:type="paragraph" w:customStyle="1" w:styleId="P68B1DB1-a060">
    <w:name w:val="P68B1DB1-a060"/>
    <w:basedOn w:val="a0"/>
    <w:rPr>
      <w:kern w:val="0"/>
    </w:rPr>
  </w:style>
  <w:style w:type="paragraph" w:customStyle="1" w:styleId="P68B1DB1-161">
    <w:name w:val="P68B1DB1-161"/>
    <w:basedOn w:val="1"/>
    <w:rPr>
      <w:sz w:val="24"/>
    </w:rPr>
  </w:style>
  <w:style w:type="paragraph" w:customStyle="1" w:styleId="P68B1DB1-262">
    <w:name w:val="P68B1DB1-262"/>
    <w:basedOn w:val="2"/>
    <w:rPr>
      <w:rFonts w:hint="eastAsia"/>
      <w:sz w:val="24"/>
    </w:rPr>
  </w:style>
  <w:style w:type="paragraph" w:customStyle="1" w:styleId="P68B1DB1-a063">
    <w:name w:val="P68B1DB1-a063"/>
    <w:basedOn w:val="a0"/>
    <w:rPr>
      <w:rFonts w:ascii="宋体" w:hAnsi="宋体" w:cs="宋体" w:hint="eastAsia"/>
      <w:kern w:val="0"/>
      <w:sz w:val="24"/>
    </w:rPr>
  </w:style>
  <w:style w:type="paragraph" w:customStyle="1" w:styleId="P68B1DB1-aff464">
    <w:name w:val="P68B1DB1-aff464"/>
    <w:basedOn w:val="af9"/>
    <w:rPr>
      <w:rFonts w:ascii="宋体" w:hAnsi="宋体" w:cs="宋体" w:hint="eastAsia"/>
      <w:kern w:val="0"/>
      <w:sz w:val="24"/>
    </w:rPr>
  </w:style>
  <w:style w:type="paragraph" w:customStyle="1" w:styleId="P68B1DB1-265">
    <w:name w:val="P68B1DB1-265"/>
    <w:basedOn w:val="2"/>
    <w:rPr>
      <w:sz w:val="24"/>
    </w:rPr>
  </w:style>
  <w:style w:type="paragraph" w:customStyle="1" w:styleId="P68B1DB1-a066">
    <w:name w:val="P68B1DB1-a066"/>
    <w:basedOn w:val="a0"/>
    <w:rPr>
      <w:rFonts w:ascii="宋体" w:hint="eastAsia"/>
      <w:kern w:val="0"/>
      <w:sz w:val="24"/>
    </w:rPr>
  </w:style>
  <w:style w:type="paragraph" w:customStyle="1" w:styleId="P68B1DB1-a067">
    <w:name w:val="P68B1DB1-a067"/>
    <w:basedOn w:val="a0"/>
    <w:rPr>
      <w:rFonts w:hAnsi="宋体" w:hint="eastAsia"/>
      <w:b/>
      <w:sz w:val="24"/>
    </w:rPr>
  </w:style>
  <w:style w:type="paragraph" w:customStyle="1" w:styleId="P68B1DB1-aff268">
    <w:name w:val="P68B1DB1-aff268"/>
    <w:basedOn w:val="af7"/>
    <w:rPr>
      <w:rFonts w:hint="eastAsia"/>
    </w:rPr>
  </w:style>
  <w:style w:type="paragraph" w:customStyle="1" w:styleId="P68B1DB1-a069">
    <w:name w:val="P68B1DB1-a069"/>
    <w:basedOn w:val="a0"/>
    <w:rPr>
      <w:rFonts w:hint="eastAsia"/>
      <w:b/>
      <w:sz w:val="24"/>
    </w:rPr>
  </w:style>
  <w:style w:type="paragraph" w:customStyle="1" w:styleId="P68B1DB1-a070">
    <w:name w:val="P68B1DB1-a070"/>
    <w:basedOn w:val="a0"/>
    <w:rPr>
      <w:rFonts w:hint="eastAsia"/>
      <w:kern w:val="0"/>
      <w:sz w:val="24"/>
    </w:rPr>
  </w:style>
  <w:style w:type="paragraph" w:customStyle="1" w:styleId="P68B1DB1-a471">
    <w:name w:val="P68B1DB1-a471"/>
    <w:basedOn w:val="a4"/>
    <w:rPr>
      <w:sz w:val="24"/>
    </w:rPr>
  </w:style>
  <w:style w:type="paragraph" w:customStyle="1" w:styleId="P68B1DB1-a072">
    <w:name w:val="P68B1DB1-a072"/>
    <w:basedOn w:val="a0"/>
    <w:rPr>
      <w:rFonts w:hint="eastAsia"/>
      <w:kern w:val="0"/>
      <w:sz w:val="24"/>
    </w:rPr>
  </w:style>
  <w:style w:type="paragraph" w:customStyle="1" w:styleId="P68B1DB1-a073">
    <w:name w:val="P68B1DB1-a073"/>
    <w:basedOn w:val="a0"/>
    <w:rPr>
      <w:rFonts w:hAnsi="宋体"/>
      <w:sz w:val="24"/>
    </w:rPr>
  </w:style>
  <w:style w:type="paragraph" w:customStyle="1" w:styleId="P68B1DB1-a074">
    <w:name w:val="P68B1DB1-a074"/>
    <w:basedOn w:val="a0"/>
    <w:rPr>
      <w:rFonts w:ascii="宋体" w:hAnsi="宋体" w:cs="宋体" w:hint="eastAsia"/>
      <w:b/>
      <w:sz w:val="24"/>
    </w:rPr>
  </w:style>
  <w:style w:type="paragraph" w:customStyle="1" w:styleId="P68B1DB1-1575">
    <w:name w:val="P68B1DB1-1575"/>
    <w:basedOn w:val="14"/>
    <w:rPr>
      <w:rFonts w:hAnsi="宋体" w:cs="宋体" w:hint="eastAsia"/>
      <w:sz w:val="24"/>
    </w:rPr>
  </w:style>
  <w:style w:type="paragraph" w:customStyle="1" w:styleId="P68B1DB1-1576">
    <w:name w:val="P68B1DB1-1576"/>
    <w:basedOn w:val="14"/>
    <w:rPr>
      <w:rFonts w:hAnsi="宋体" w:hint="eastAsia"/>
      <w:sz w:val="24"/>
    </w:rPr>
  </w:style>
  <w:style w:type="paragraph" w:customStyle="1" w:styleId="P68B1DB1-377">
    <w:name w:val="P68B1DB1-377"/>
    <w:basedOn w:val="3"/>
    <w:rPr>
      <w:rFonts w:ascii="宋体" w:hAnsi="宋体" w:cs="宋体" w:hint="eastAsia"/>
      <w:sz w:val="24"/>
    </w:rPr>
  </w:style>
  <w:style w:type="paragraph" w:customStyle="1" w:styleId="P68B1DB1-11078">
    <w:name w:val="P68B1DB1-11078"/>
    <w:basedOn w:val="110"/>
    <w:rPr>
      <w:rFonts w:ascii="Times New Roman" w:hAnsi="Times New Roman" w:hint="eastAsia"/>
      <w:sz w:val="24"/>
    </w:rPr>
  </w:style>
  <w:style w:type="paragraph" w:customStyle="1" w:styleId="P68B1DB1-11079">
    <w:name w:val="P68B1DB1-11079"/>
    <w:basedOn w:val="110"/>
    <w:rPr>
      <w:rFonts w:ascii="Times New Roman" w:hAnsi="Times New Roman" w:cs="宋体" w:hint="eastAsia"/>
      <w:sz w:val="24"/>
    </w:rPr>
  </w:style>
  <w:style w:type="paragraph" w:customStyle="1" w:styleId="P68B1DB1-1580">
    <w:name w:val="P68B1DB1-1580"/>
    <w:basedOn w:val="14"/>
    <w:rPr>
      <w:rFonts w:ascii="Calibri" w:hAnsi="Calibri" w:hint="eastAsia"/>
      <w:sz w:val="24"/>
    </w:rPr>
  </w:style>
  <w:style w:type="paragraph" w:customStyle="1" w:styleId="P68B1DB1-aff281">
    <w:name w:val="P68B1DB1-aff281"/>
    <w:basedOn w:val="af7"/>
    <w:rPr>
      <w:rFonts w:ascii="Times New Roman" w:hAnsi="Times New Roman" w:cs="宋体" w:hint="eastAsia"/>
    </w:rPr>
  </w:style>
  <w:style w:type="paragraph" w:customStyle="1" w:styleId="P68B1DB1-aff282">
    <w:name w:val="P68B1DB1-aff282"/>
    <w:basedOn w:val="af7"/>
    <w:rPr>
      <w:rFonts w:ascii="Times New Roman" w:hAnsi="Times New Roman" w:cs="Times New Roman"/>
    </w:rPr>
  </w:style>
  <w:style w:type="paragraph" w:customStyle="1" w:styleId="P68B1DB1-aff283">
    <w:name w:val="P68B1DB1-aff283"/>
    <w:basedOn w:val="af7"/>
    <w:rPr>
      <w:rFonts w:ascii="Times New Roman" w:hAnsi="Times New Roman" w:hint="eastAsia"/>
    </w:rPr>
  </w:style>
  <w:style w:type="paragraph" w:customStyle="1" w:styleId="P68B1DB1-aff284">
    <w:name w:val="P68B1DB1-aff284"/>
    <w:basedOn w:val="af7"/>
    <w:rPr>
      <w:rFonts w:ascii="Times New Roman" w:hAnsi="Times New Roman" w:cs="Times New Roman" w:hint="eastAsia"/>
    </w:rPr>
  </w:style>
  <w:style w:type="paragraph" w:customStyle="1" w:styleId="P68B1DB1-aff285">
    <w:name w:val="P68B1DB1-aff285"/>
    <w:basedOn w:val="af7"/>
    <w:rPr>
      <w:rFonts w:ascii="Times New Roman" w:hAnsi="Times New Roman" w:cs="宋体"/>
    </w:rPr>
  </w:style>
  <w:style w:type="paragraph" w:customStyle="1" w:styleId="P68B1DB1-11086">
    <w:name w:val="P68B1DB1-11086"/>
    <w:basedOn w:val="110"/>
    <w:rPr>
      <w:rFonts w:ascii="Times New Roman" w:hAnsi="Times New Roman" w:cs="Times New Roman"/>
      <w:sz w:val="24"/>
    </w:rPr>
  </w:style>
  <w:style w:type="paragraph" w:customStyle="1" w:styleId="P68B1DB1-11087">
    <w:name w:val="P68B1DB1-11087"/>
    <w:basedOn w:val="110"/>
    <w:rPr>
      <w:rFonts w:ascii="Times New Roman" w:hAnsi="Times New Roman" w:cs="宋体" w:hint="eastAsia"/>
      <w:b/>
      <w:sz w:val="24"/>
    </w:rPr>
  </w:style>
  <w:style w:type="paragraph" w:customStyle="1" w:styleId="P68B1DB1-a088">
    <w:name w:val="P68B1DB1-a088"/>
    <w:basedOn w:val="a0"/>
    <w:rPr>
      <w:rFonts w:ascii="TimesNewRomanPSMT" w:hAnsi="TimesNewRomanPSMT" w:hint="eastAsia"/>
      <w:kern w:val="0"/>
      <w:sz w:val="24"/>
    </w:rPr>
  </w:style>
  <w:style w:type="paragraph" w:customStyle="1" w:styleId="P68B1DB1-a089">
    <w:name w:val="P68B1DB1-a089"/>
    <w:basedOn w:val="a0"/>
    <w:rPr>
      <w:rFonts w:ascii="TimesNewRomanPSMT" w:hint="eastAsia"/>
      <w:kern w:val="0"/>
      <w:sz w:val="24"/>
    </w:rPr>
  </w:style>
  <w:style w:type="paragraph" w:customStyle="1" w:styleId="P68B1DB1-11090">
    <w:name w:val="P68B1DB1-11090"/>
    <w:basedOn w:val="110"/>
    <w:rPr>
      <w:rFonts w:ascii="Times New Roman" w:hAnsi="Times New Roman" w:hint="eastAsia"/>
      <w:b/>
      <w:sz w:val="24"/>
    </w:rPr>
  </w:style>
  <w:style w:type="paragraph" w:customStyle="1" w:styleId="P68B1DB1-a091">
    <w:name w:val="P68B1DB1-a091"/>
    <w:basedOn w:val="a0"/>
    <w:rPr>
      <w:rFonts w:ascii="黑体" w:hint="eastAsia"/>
      <w:sz w:val="24"/>
    </w:rPr>
  </w:style>
  <w:style w:type="paragraph" w:customStyle="1" w:styleId="P68B1DB1-a092">
    <w:name w:val="P68B1DB1-a092"/>
    <w:basedOn w:val="a0"/>
    <w:rPr>
      <w:rFonts w:hAnsi="宋体" w:hint="eastAsia"/>
      <w:sz w:val="24"/>
    </w:rPr>
  </w:style>
  <w:style w:type="paragraph" w:customStyle="1" w:styleId="P68B1DB1-a093">
    <w:name w:val="P68B1DB1-a093"/>
    <w:basedOn w:val="a0"/>
    <w:rPr>
      <w:rFonts w:cs="宋体" w:hint="eastAsia"/>
      <w:b/>
    </w:rPr>
  </w:style>
  <w:style w:type="paragraph" w:customStyle="1" w:styleId="P68B1DB1-a094">
    <w:name w:val="P68B1DB1-a094"/>
    <w:basedOn w:val="a0"/>
    <w:rPr>
      <w:rFonts w:hAnsi="宋体" w:hint="eastAsia"/>
    </w:rPr>
  </w:style>
  <w:style w:type="paragraph" w:customStyle="1" w:styleId="P68B1DB1-aff295">
    <w:name w:val="P68B1DB1-aff295"/>
    <w:basedOn w:val="af7"/>
    <w:rPr>
      <w:rFonts w:hAnsi="宋体" w:cs="宋体" w:hint="eastAsia"/>
    </w:rPr>
  </w:style>
  <w:style w:type="paragraph" w:customStyle="1" w:styleId="P68B1DB1-a096">
    <w:name w:val="P68B1DB1-a096"/>
    <w:basedOn w:val="a0"/>
    <w:rPr>
      <w:rFonts w:ascii="宋体" w:hAnsi="宋体" w:cs="宋体" w:hint="eastAsia"/>
    </w:rPr>
  </w:style>
  <w:style w:type="paragraph" w:customStyle="1" w:styleId="P68B1DB1-a097">
    <w:name w:val="P68B1DB1-a097"/>
    <w:basedOn w:val="a0"/>
    <w:rPr>
      <w:rFonts w:hAnsi="宋体" w:cs="宋体" w:hint="eastAsia"/>
    </w:rPr>
  </w:style>
  <w:style w:type="paragraph" w:customStyle="1" w:styleId="P68B1DB1-a098">
    <w:name w:val="P68B1DB1-a098"/>
    <w:basedOn w:val="a0"/>
    <w:rPr>
      <w:rFonts w:hint="eastAsia"/>
      <w:b/>
    </w:rPr>
  </w:style>
  <w:style w:type="paragraph" w:customStyle="1" w:styleId="P68B1DB1-TextDash99">
    <w:name w:val="P68B1DB1-TextDash99"/>
    <w:basedOn w:val="TextDash"/>
    <w:rPr>
      <w:rFonts w:cs="宋体" w:hint="eastAsia"/>
      <w:sz w:val="24"/>
    </w:rPr>
  </w:style>
  <w:style w:type="paragraph" w:customStyle="1" w:styleId="P68B1DB1-4100">
    <w:name w:val="P68B1DB1-4100"/>
    <w:basedOn w:val="4"/>
    <w:rPr>
      <w:sz w:val="24"/>
    </w:rPr>
  </w:style>
  <w:style w:type="paragraph" w:customStyle="1" w:styleId="P68B1DB1-a7101">
    <w:name w:val="P68B1DB1-a7101"/>
    <w:basedOn w:val="a6"/>
    <w:rPr>
      <w:rFonts w:ascii="宋体" w:hAnsi="宋体" w:cs="宋体" w:hint="eastAsia"/>
      <w:sz w:val="24"/>
    </w:rPr>
  </w:style>
  <w:style w:type="paragraph" w:customStyle="1" w:styleId="P68B1DB1-15102">
    <w:name w:val="P68B1DB1-15102"/>
    <w:basedOn w:val="14"/>
    <w:rPr>
      <w:rFonts w:cs="宋体" w:hint="eastAsia"/>
      <w:sz w:val="24"/>
    </w:rPr>
  </w:style>
  <w:style w:type="paragraph" w:customStyle="1" w:styleId="P68B1DB1-15103">
    <w:name w:val="P68B1DB1-15103"/>
    <w:basedOn w:val="14"/>
    <w:rPr>
      <w:rFonts w:hint="eastAsia"/>
      <w:sz w:val="24"/>
    </w:rPr>
  </w:style>
  <w:style w:type="paragraph" w:customStyle="1" w:styleId="P68B1DB1-15104">
    <w:name w:val="P68B1DB1-15104"/>
    <w:basedOn w:val="14"/>
    <w:rPr>
      <w:sz w:val="24"/>
    </w:rPr>
  </w:style>
  <w:style w:type="paragraph" w:customStyle="1" w:styleId="P68B1DB1-15105">
    <w:name w:val="P68B1DB1-15105"/>
    <w:basedOn w:val="14"/>
    <w:rPr>
      <w:rFonts w:hint="eastAsia"/>
      <w:sz w:val="24"/>
    </w:rPr>
  </w:style>
  <w:style w:type="paragraph" w:customStyle="1" w:styleId="P68B1DB1-a7106">
    <w:name w:val="P68B1DB1-a7106"/>
    <w:basedOn w:val="a6"/>
    <w:rPr>
      <w:sz w:val="24"/>
    </w:rPr>
  </w:style>
  <w:style w:type="paragraph" w:customStyle="1" w:styleId="P68B1DB1-a0107">
    <w:name w:val="P68B1DB1-a0107"/>
    <w:basedOn w:val="a0"/>
    <w:rPr>
      <w:rFonts w:cs="宋体" w:hint="eastAsia"/>
      <w:caps/>
      <w:sz w:val="24"/>
    </w:rPr>
  </w:style>
  <w:style w:type="paragraph" w:customStyle="1" w:styleId="P68B1DB1-Default108">
    <w:name w:val="P68B1DB1-Default108"/>
    <w:basedOn w:val="Default"/>
    <w:rPr>
      <w:color w:val="auto"/>
    </w:rPr>
  </w:style>
  <w:style w:type="paragraph" w:customStyle="1" w:styleId="P68B1DB1-TableParagraph109">
    <w:name w:val="P68B1DB1-TableParagraph109"/>
    <w:basedOn w:val="TableParagraph"/>
    <w:rPr>
      <w:rFonts w:ascii="宋体" w:cs="宋体"/>
      <w:sz w:val="24"/>
    </w:rPr>
  </w:style>
  <w:style w:type="paragraph" w:customStyle="1" w:styleId="P68B1DB1-TableParagraph110">
    <w:name w:val="P68B1DB1-TableParagraph110"/>
    <w:basedOn w:val="TableParagraph"/>
    <w:rPr>
      <w:rFonts w:ascii="宋体" w:hAnsi="宋体" w:cs="宋体"/>
      <w:sz w:val="24"/>
    </w:rPr>
  </w:style>
  <w:style w:type="paragraph" w:customStyle="1" w:styleId="P68B1DB1-TableParagraph111">
    <w:name w:val="P68B1DB1-TableParagraph111"/>
    <w:basedOn w:val="TableParagraph"/>
    <w:rPr>
      <w:sz w:val="21"/>
    </w:rPr>
  </w:style>
  <w:style w:type="paragraph" w:customStyle="1" w:styleId="P68B1DB1-TableParagraph112">
    <w:name w:val="P68B1DB1-TableParagraph112"/>
    <w:basedOn w:val="TableParagraph"/>
    <w:rPr>
      <w:rFonts w:ascii="宋体" w:hAnsi="宋体" w:cs="宋体" w:hint="eastAsia"/>
      <w:sz w:val="21"/>
    </w:rPr>
  </w:style>
  <w:style w:type="paragraph" w:customStyle="1" w:styleId="P68B1DB1-TableParagraph113">
    <w:name w:val="P68B1DB1-TableParagraph113"/>
    <w:basedOn w:val="TableParagraph"/>
    <w:rPr>
      <w:rFonts w:ascii="Times New Roman" w:eastAsia="Times New Roman" w:cs="Times New Roman"/>
      <w:sz w:val="21"/>
    </w:rPr>
  </w:style>
  <w:style w:type="paragraph" w:customStyle="1" w:styleId="P68B1DB1-TableParagraph114">
    <w:name w:val="P68B1DB1-TableParagraph114"/>
    <w:basedOn w:val="TableParagraph"/>
    <w:rPr>
      <w:rFonts w:ascii="Times New Roman" w:hint="eastAsia"/>
      <w:sz w:val="21"/>
    </w:rPr>
  </w:style>
  <w:style w:type="paragraph" w:customStyle="1" w:styleId="P68B1DB1-a0115">
    <w:name w:val="P68B1DB1-a0115"/>
    <w:basedOn w:val="a0"/>
    <w:rPr>
      <w:rFonts w:hAnsi="宋体" w:cs="宋体" w:hint="eastAsia"/>
      <w:b/>
    </w:rPr>
  </w:style>
  <w:style w:type="paragraph" w:customStyle="1" w:styleId="P68B1DB1-a0116">
    <w:name w:val="P68B1DB1-a0116"/>
    <w:basedOn w:val="a0"/>
    <w:rPr>
      <w:rFonts w:hint="eastAsia"/>
      <w:kern w:val="0"/>
    </w:rPr>
  </w:style>
  <w:style w:type="paragraph" w:customStyle="1" w:styleId="P68B1DB1-a0117">
    <w:name w:val="P68B1DB1-a0117"/>
    <w:basedOn w:val="a0"/>
    <w:rPr>
      <w:rFonts w:hAnsi="宋体" w:cs="宋体" w:hint="eastAsia"/>
      <w:kern w:val="0"/>
    </w:rPr>
  </w:style>
  <w:style w:type="paragraph" w:customStyle="1" w:styleId="P68B1DB1-a0118">
    <w:name w:val="P68B1DB1-a0118"/>
    <w:basedOn w:val="a0"/>
    <w:rPr>
      <w:rFonts w:hAnsi="宋体" w:cs="宋体" w:hint="eastAsia"/>
      <w:b/>
      <w:kern w:val="0"/>
    </w:rPr>
  </w:style>
  <w:style w:type="paragraph" w:customStyle="1" w:styleId="P68B1DB1-a7119">
    <w:name w:val="P68B1DB1-a7119"/>
    <w:basedOn w:val="a6"/>
    <w:rPr>
      <w:rFonts w:ascii="Times New Roman" w:hAnsi="宋体" w:hint="eastAsia"/>
      <w:sz w:val="24"/>
    </w:rPr>
  </w:style>
  <w:style w:type="paragraph" w:customStyle="1" w:styleId="P68B1DB1-a7120">
    <w:name w:val="P68B1DB1-a7120"/>
    <w:basedOn w:val="a6"/>
    <w:rPr>
      <w:rFonts w:ascii="Times New Roman" w:hAnsi="宋体" w:hint="eastAsia"/>
      <w:b/>
      <w:sz w:val="24"/>
    </w:rPr>
  </w:style>
  <w:style w:type="paragraph" w:customStyle="1" w:styleId="P68B1DB1-a7121">
    <w:name w:val="P68B1DB1-a7121"/>
    <w:basedOn w:val="a6"/>
    <w:rPr>
      <w:rFonts w:hAnsi="宋体" w:cs="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ACC17F-8AD2-4790-B7C1-ED77ECF2A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1146</TotalTime>
  <Pages>132</Pages>
  <Words>33844</Words>
  <Characters>192914</Characters>
  <Application>Microsoft Office Word</Application>
  <DocSecurity>0</DocSecurity>
  <Lines>1607</Lines>
  <Paragraphs>452</Paragraphs>
  <ScaleCrop>false</ScaleCrop>
  <Company>Microsoft</Company>
  <LinksUpToDate>false</LinksUpToDate>
  <CharactersWithSpaces>226306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王义</dc:creator>
  <cp:lastModifiedBy>朱恂</cp:lastModifiedBy>
  <cp:revision>36</cp:revision>
  <cp:lastPrinted>2018-11-21T08:50:00Z</cp:lastPrinted>
  <dcterms:created xsi:type="dcterms:W3CDTF">2019-07-02T02:57:00Z</dcterms:created>
  <dcterms:modified xsi:type="dcterms:W3CDTF">2024-09-30T04:02:00Z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2052-11.1.0.11115</vt:lpwstr>
  </property>
  <property fmtid="{D5CDD505-2E9C-101B-9397-08002B2CF9AE}" pid="4" name="ICV">
    <vt:lpwstr>4DABA105501C4EA3B2316CFD946BB2E7</vt:lpwstr>
  </property>
</Properties>
</file>