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77AD3C" w14:textId="77777777" w:rsidR="009440A1" w:rsidRPr="005A14BF" w:rsidRDefault="009440A1" w:rsidP="009440A1">
      <w:pPr>
        <w:rPr>
          <w:rFonts w:ascii="Times New Roman" w:hAnsi="Times New Roman" w:cs="Times New Roman"/>
          <w:b/>
          <w:bCs/>
          <w:sz w:val="24"/>
          <w:szCs w:val="32"/>
        </w:rPr>
      </w:pPr>
      <w:r w:rsidRPr="005A14BF">
        <w:rPr>
          <w:rFonts w:ascii="Times New Roman" w:hAnsi="Times New Roman" w:cs="Times New Roman"/>
          <w:b/>
          <w:bCs/>
          <w:sz w:val="24"/>
          <w:szCs w:val="32"/>
        </w:rPr>
        <w:t xml:space="preserve">Extended </w:t>
      </w:r>
      <w:r>
        <w:rPr>
          <w:rFonts w:ascii="Times New Roman" w:hAnsi="Times New Roman" w:cs="Times New Roman"/>
          <w:b/>
          <w:bCs/>
          <w:sz w:val="24"/>
          <w:szCs w:val="32"/>
        </w:rPr>
        <w:t>d</w:t>
      </w:r>
      <w:r w:rsidRPr="005A14BF">
        <w:rPr>
          <w:rFonts w:ascii="Times New Roman" w:hAnsi="Times New Roman" w:cs="Times New Roman"/>
          <w:b/>
          <w:bCs/>
          <w:sz w:val="24"/>
          <w:szCs w:val="32"/>
        </w:rPr>
        <w:t xml:space="preserve">ata </w:t>
      </w:r>
      <w:r>
        <w:rPr>
          <w:rFonts w:ascii="Times New Roman" w:hAnsi="Times New Roman" w:cs="Times New Roman"/>
          <w:b/>
          <w:bCs/>
          <w:sz w:val="24"/>
          <w:szCs w:val="32"/>
        </w:rPr>
        <w:t>F</w:t>
      </w:r>
      <w:r w:rsidRPr="005A14BF">
        <w:rPr>
          <w:rFonts w:ascii="Times New Roman" w:hAnsi="Times New Roman" w:cs="Times New Roman"/>
          <w:b/>
          <w:bCs/>
          <w:sz w:val="24"/>
          <w:szCs w:val="32"/>
        </w:rPr>
        <w:t>igures</w:t>
      </w:r>
      <w:r>
        <w:rPr>
          <w:rFonts w:ascii="Times New Roman" w:hAnsi="Times New Roman" w:cs="Times New Roman"/>
          <w:b/>
          <w:bCs/>
          <w:sz w:val="24"/>
          <w:szCs w:val="32"/>
        </w:rPr>
        <w:t xml:space="preserve"> and Tables</w:t>
      </w:r>
    </w:p>
    <w:p w14:paraId="173DD128" w14:textId="77777777" w:rsidR="009440A1" w:rsidRPr="005A14BF" w:rsidRDefault="009440A1" w:rsidP="009440A1">
      <w:pPr>
        <w:rPr>
          <w:rFonts w:ascii="Times New Roman" w:hAnsi="Times New Roman" w:cs="Times New Roman"/>
          <w:b/>
          <w:bCs/>
          <w:sz w:val="24"/>
          <w:szCs w:val="32"/>
        </w:rPr>
      </w:pPr>
      <w:r w:rsidRPr="005A14BF">
        <w:rPr>
          <w:rFonts w:ascii="Times New Roman" w:hAnsi="Times New Roman" w:cs="Times New Roman"/>
          <w:b/>
          <w:bCs/>
          <w:noProof/>
          <w:sz w:val="24"/>
          <w:szCs w:val="32"/>
          <w14:ligatures w14:val="standardContextual"/>
        </w:rPr>
        <w:drawing>
          <wp:inline distT="0" distB="0" distL="0" distR="0" wp14:anchorId="4189B982" wp14:editId="346601D6">
            <wp:extent cx="5322113" cy="4967306"/>
            <wp:effectExtent l="0" t="0" r="0" b="0"/>
            <wp:docPr id="972482832" name="Picture 1" descr="A screenshot of different ma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482832" name="Picture 1" descr="A screenshot of different maps&#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322113" cy="4967306"/>
                    </a:xfrm>
                    <a:prstGeom prst="rect">
                      <a:avLst/>
                    </a:prstGeom>
                  </pic:spPr>
                </pic:pic>
              </a:graphicData>
            </a:graphic>
          </wp:inline>
        </w:drawing>
      </w:r>
    </w:p>
    <w:p w14:paraId="398DB6D6" w14:textId="77777777" w:rsidR="009440A1" w:rsidRPr="005A14BF" w:rsidRDefault="009440A1" w:rsidP="009440A1">
      <w:pPr>
        <w:rPr>
          <w:rFonts w:ascii="Times New Roman" w:hAnsi="Times New Roman" w:cs="Times New Roman"/>
          <w:b/>
          <w:bCs/>
          <w:szCs w:val="21"/>
        </w:rPr>
      </w:pPr>
      <w:r w:rsidRPr="005A14BF">
        <w:rPr>
          <w:rFonts w:ascii="Times New Roman" w:hAnsi="Times New Roman" w:cs="Times New Roman"/>
          <w:b/>
          <w:bCs/>
          <w:szCs w:val="21"/>
        </w:rPr>
        <w:t xml:space="preserve">Extended data Figure 1 Present-day climate and habitability. </w:t>
      </w:r>
      <w:r w:rsidRPr="005A14BF">
        <w:rPr>
          <w:rFonts w:ascii="Times New Roman" w:hAnsi="Times New Roman" w:cs="Times New Roman"/>
          <w:szCs w:val="21"/>
        </w:rPr>
        <w:t>(A) Contour map of max SAT averaged over 1960 to 2000 CE. SAT is derived from the CRU TS 4.07 dataset</w:t>
      </w:r>
      <w:r w:rsidRPr="005A14BF">
        <w:rPr>
          <w:rFonts w:ascii="Times New Roman" w:hAnsi="Times New Roman" w:cs="Times New Roman"/>
          <w:noProof/>
          <w:szCs w:val="21"/>
          <w:vertAlign w:val="superscript"/>
        </w:rPr>
        <w:t>42</w:t>
      </w:r>
      <w:r w:rsidRPr="005A14BF">
        <w:rPr>
          <w:rFonts w:ascii="Times New Roman" w:hAnsi="Times New Roman" w:cs="Times New Roman"/>
          <w:szCs w:val="21"/>
        </w:rPr>
        <w:t xml:space="preserve"> Regions where max SAT is beyond the habitability of modern hunter-gatherers (M</w:t>
      </w:r>
      <w:r w:rsidRPr="005A14BF">
        <w:rPr>
          <w:rFonts w:ascii="Times New Roman" w:hAnsi="Times New Roman" w:cs="Times New Roman"/>
          <w:szCs w:val="21"/>
          <w:vertAlign w:val="subscript"/>
        </w:rPr>
        <w:t>METs</w:t>
      </w:r>
      <w:r w:rsidRPr="005A14BF">
        <w:rPr>
          <w:rFonts w:ascii="Times New Roman" w:hAnsi="Times New Roman" w:cs="Times New Roman"/>
          <w:szCs w:val="21"/>
        </w:rPr>
        <w:t xml:space="preserve"> &lt; 3.0 METs, Figure 2), are shown in dark-red colours. (B) Contour map of M</w:t>
      </w:r>
      <w:r w:rsidRPr="005A14BF">
        <w:rPr>
          <w:rFonts w:ascii="Times New Roman" w:hAnsi="Times New Roman" w:cs="Times New Roman"/>
          <w:szCs w:val="21"/>
          <w:vertAlign w:val="subscript"/>
        </w:rPr>
        <w:t>METs</w:t>
      </w:r>
      <w:r w:rsidRPr="005A14BF">
        <w:rPr>
          <w:rFonts w:ascii="Times New Roman" w:hAnsi="Times New Roman" w:cs="Times New Roman"/>
          <w:szCs w:val="21"/>
        </w:rPr>
        <w:t xml:space="preserve"> for modern hunter-gatherers, estimated from the human physiological model of Vanos et al.</w:t>
      </w:r>
      <w:r w:rsidRPr="005A14BF">
        <w:rPr>
          <w:rFonts w:ascii="Times New Roman" w:hAnsi="Times New Roman" w:cs="Times New Roman"/>
          <w:szCs w:val="21"/>
          <w:vertAlign w:val="superscript"/>
        </w:rPr>
        <w:t>17</w:t>
      </w:r>
      <w:r w:rsidRPr="005A14BF">
        <w:rPr>
          <w:rFonts w:ascii="Times New Roman" w:hAnsi="Times New Roman" w:cs="Times New Roman"/>
          <w:szCs w:val="21"/>
        </w:rPr>
        <w:t>. Blue shading indicates regions where modern hunter-gatherers can safely engage in hunting-gathering activities without being affected by heat. The dashed red line indicates the limit to engaging in hunting-gathering activities (M</w:t>
      </w:r>
      <w:r w:rsidRPr="005A14BF">
        <w:rPr>
          <w:rFonts w:ascii="Times New Roman" w:hAnsi="Times New Roman" w:cs="Times New Roman"/>
          <w:szCs w:val="21"/>
          <w:vertAlign w:val="subscript"/>
        </w:rPr>
        <w:t>METs</w:t>
      </w:r>
      <w:r w:rsidRPr="005A14BF">
        <w:rPr>
          <w:rFonts w:ascii="Times New Roman" w:hAnsi="Times New Roman" w:cs="Times New Roman"/>
          <w:szCs w:val="21"/>
        </w:rPr>
        <w:t xml:space="preserve"> = 3.0 METs). The warm colour shading (M</w:t>
      </w:r>
      <w:r w:rsidRPr="005A14BF">
        <w:rPr>
          <w:rFonts w:ascii="Times New Roman" w:hAnsi="Times New Roman" w:cs="Times New Roman"/>
          <w:szCs w:val="21"/>
          <w:vertAlign w:val="subscript"/>
        </w:rPr>
        <w:t>METs</w:t>
      </w:r>
      <w:r w:rsidRPr="005A14BF">
        <w:rPr>
          <w:rFonts w:ascii="Times New Roman" w:hAnsi="Times New Roman" w:cs="Times New Roman"/>
          <w:szCs w:val="21"/>
        </w:rPr>
        <w:t xml:space="preserve"> &lt; 3.0 METs) indicates regions that are beyond the limit to engaging in hunting-gathering activities due to summer heat. Dark red colours show regions where summer heat is beyond the liveability of modern hunter-gatherers (M</w:t>
      </w:r>
      <w:r w:rsidRPr="005A14BF">
        <w:rPr>
          <w:rFonts w:ascii="Times New Roman" w:hAnsi="Times New Roman" w:cs="Times New Roman"/>
          <w:szCs w:val="21"/>
          <w:vertAlign w:val="subscript"/>
        </w:rPr>
        <w:t>METs</w:t>
      </w:r>
      <w:r w:rsidRPr="005A14BF">
        <w:rPr>
          <w:rFonts w:ascii="Times New Roman" w:hAnsi="Times New Roman" w:cs="Times New Roman"/>
          <w:szCs w:val="21"/>
        </w:rPr>
        <w:t xml:space="preserve"> &lt; 1.5 METs). (C) Contour map of max rainfall averaged over 1960 to 2000 CE. Rainfall is derived from the CRU TS 4.07 dataset</w:t>
      </w:r>
      <w:r w:rsidRPr="005A14BF">
        <w:rPr>
          <w:rFonts w:ascii="Times New Roman" w:hAnsi="Times New Roman" w:cs="Times New Roman"/>
          <w:noProof/>
          <w:szCs w:val="21"/>
          <w:vertAlign w:val="superscript"/>
        </w:rPr>
        <w:t>42</w:t>
      </w:r>
      <w:r w:rsidRPr="005A14BF">
        <w:rPr>
          <w:rFonts w:ascii="Times New Roman" w:hAnsi="Times New Roman" w:cs="Times New Roman"/>
          <w:szCs w:val="21"/>
        </w:rPr>
        <w:t>.</w:t>
      </w:r>
      <w:r w:rsidRPr="005A14BF" w:rsidDel="00105612">
        <w:rPr>
          <w:rFonts w:ascii="Times New Roman" w:hAnsi="Times New Roman" w:cs="Times New Roman"/>
          <w:szCs w:val="21"/>
        </w:rPr>
        <w:t xml:space="preserve"> </w:t>
      </w:r>
      <w:r w:rsidRPr="005A14BF">
        <w:rPr>
          <w:rFonts w:ascii="Times New Roman" w:hAnsi="Times New Roman" w:cs="Times New Roman"/>
          <w:szCs w:val="21"/>
        </w:rPr>
        <w:t>Hyper-arid regions that were not habitable due to extremely low rainfall are masked in yellow. (D) Synthesis map showing habitable (light blue) and not habitable (warm colours) regions for modern hunter-gatherers. Dark red or magenta shades mark regions that are beyond the liveability or survivability of modern hunter-gatherers.</w:t>
      </w:r>
    </w:p>
    <w:p w14:paraId="0CABF847" w14:textId="77777777" w:rsidR="009440A1" w:rsidRPr="005A14BF" w:rsidRDefault="009440A1" w:rsidP="009440A1">
      <w:pPr>
        <w:widowControl/>
        <w:jc w:val="left"/>
        <w:rPr>
          <w:rFonts w:ascii="Times New Roman" w:hAnsi="Times New Roman" w:cs="Times New Roman"/>
          <w:b/>
          <w:bCs/>
          <w:sz w:val="24"/>
          <w:szCs w:val="32"/>
        </w:rPr>
      </w:pPr>
      <w:r w:rsidRPr="005A14BF">
        <w:rPr>
          <w:rFonts w:ascii="Times New Roman" w:hAnsi="Times New Roman" w:cs="Times New Roman"/>
          <w:b/>
          <w:bCs/>
          <w:sz w:val="24"/>
          <w:szCs w:val="32"/>
        </w:rPr>
        <w:br w:type="page"/>
      </w:r>
    </w:p>
    <w:p w14:paraId="3C6068AD" w14:textId="77777777" w:rsidR="009440A1" w:rsidRPr="005A14BF" w:rsidRDefault="009440A1" w:rsidP="009440A1">
      <w:pPr>
        <w:widowControl/>
        <w:spacing w:line="240" w:lineRule="exact"/>
        <w:rPr>
          <w:rFonts w:ascii="Times New Roman" w:hAnsi="Times New Roman" w:cs="Times New Roman"/>
        </w:rPr>
      </w:pPr>
    </w:p>
    <w:p w14:paraId="599C871E" w14:textId="77777777" w:rsidR="009440A1" w:rsidRPr="005A14BF" w:rsidRDefault="009440A1" w:rsidP="009440A1">
      <w:pPr>
        <w:widowControl/>
        <w:jc w:val="center"/>
        <w:rPr>
          <w:rFonts w:ascii="Times New Roman" w:hAnsi="Times New Roman" w:cs="Times New Roman"/>
          <w:b/>
          <w:bCs/>
        </w:rPr>
      </w:pPr>
      <w:r w:rsidRPr="005A14BF">
        <w:rPr>
          <w:rFonts w:ascii="Times New Roman" w:hAnsi="Times New Roman" w:cs="Times New Roman"/>
          <w:b/>
          <w:bCs/>
          <w:noProof/>
        </w:rPr>
        <w:drawing>
          <wp:inline distT="0" distB="0" distL="0" distR="0" wp14:anchorId="698E5D97" wp14:editId="486135A0">
            <wp:extent cx="3712825" cy="3776400"/>
            <wp:effectExtent l="0" t="0" r="0" b="0"/>
            <wp:docPr id="2122669076" name="Picture 2" descr="A graph of different weather condit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669076" name="Picture 2" descr="A graph of different weather condition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12825" cy="3776400"/>
                    </a:xfrm>
                    <a:prstGeom prst="rect">
                      <a:avLst/>
                    </a:prstGeom>
                  </pic:spPr>
                </pic:pic>
              </a:graphicData>
            </a:graphic>
          </wp:inline>
        </w:drawing>
      </w:r>
    </w:p>
    <w:p w14:paraId="64F874AB" w14:textId="77777777" w:rsidR="009440A1" w:rsidRPr="005A14BF" w:rsidRDefault="009440A1" w:rsidP="009440A1">
      <w:pPr>
        <w:widowControl/>
        <w:spacing w:line="240" w:lineRule="exact"/>
        <w:rPr>
          <w:rFonts w:ascii="Times New Roman" w:hAnsi="Times New Roman" w:cs="Times New Roman"/>
          <w:szCs w:val="21"/>
        </w:rPr>
      </w:pPr>
      <w:r w:rsidRPr="005A14BF">
        <w:rPr>
          <w:rFonts w:ascii="Times New Roman" w:hAnsi="Times New Roman" w:cs="Times New Roman"/>
          <w:b/>
          <w:bCs/>
          <w:szCs w:val="21"/>
        </w:rPr>
        <w:t xml:space="preserve">Extended data Figure 2. Mean seasonal cycle of present-day climate in the eastern Arabian Peninsula. </w:t>
      </w:r>
      <w:r w:rsidRPr="005A14BF">
        <w:rPr>
          <w:rFonts w:ascii="Times New Roman" w:hAnsi="Times New Roman" w:cs="Times New Roman"/>
          <w:szCs w:val="21"/>
        </w:rPr>
        <w:t>Upper panel: Mean seasonal cycles of monthly SAT (black) and relative humidity (blue) measured at Seeb Airport, Oman</w:t>
      </w:r>
      <w:r w:rsidRPr="005A14BF">
        <w:rPr>
          <w:rFonts w:ascii="Times New Roman" w:hAnsi="Times New Roman" w:cs="Times New Roman"/>
          <w:noProof/>
          <w:szCs w:val="21"/>
          <w:vertAlign w:val="superscript"/>
        </w:rPr>
        <w:t>27</w:t>
      </w:r>
      <w:r w:rsidRPr="005A14BF">
        <w:rPr>
          <w:rFonts w:ascii="Times New Roman" w:hAnsi="Times New Roman" w:cs="Times New Roman"/>
          <w:szCs w:val="21"/>
        </w:rPr>
        <w:t xml:space="preserve">. </w:t>
      </w:r>
      <w:r w:rsidRPr="005A14BF">
        <w:rPr>
          <w:rFonts w:ascii="Times New Roman" w:hAnsi="Times New Roman" w:cs="Times New Roman"/>
          <w:szCs w:val="21"/>
          <w:lang w:val="en-US"/>
        </w:rPr>
        <w:t xml:space="preserve">Middle panel: </w:t>
      </w:r>
      <w:r w:rsidRPr="005A14BF">
        <w:rPr>
          <w:rFonts w:ascii="Times New Roman" w:hAnsi="Times New Roman" w:cs="Times New Roman"/>
          <w:szCs w:val="21"/>
        </w:rPr>
        <w:t>The red line indicates the M</w:t>
      </w:r>
      <w:r w:rsidRPr="005A14BF">
        <w:rPr>
          <w:rFonts w:ascii="Times New Roman" w:hAnsi="Times New Roman" w:cs="Times New Roman"/>
          <w:szCs w:val="21"/>
          <w:vertAlign w:val="subscript"/>
        </w:rPr>
        <w:t>METs</w:t>
      </w:r>
      <w:r w:rsidRPr="005A14BF">
        <w:rPr>
          <w:rFonts w:ascii="Times New Roman" w:hAnsi="Times New Roman" w:cs="Times New Roman"/>
          <w:szCs w:val="21"/>
        </w:rPr>
        <w:t xml:space="preserve"> for modern hunter-gatherers estimated from monthly SAT and relative humidity, using the human physiological model of Vanos et al.</w:t>
      </w:r>
      <w:r w:rsidRPr="005A14BF">
        <w:rPr>
          <w:rFonts w:ascii="Times New Roman" w:hAnsi="Times New Roman" w:cs="Times New Roman"/>
          <w:szCs w:val="21"/>
          <w:vertAlign w:val="superscript"/>
        </w:rPr>
        <w:t>17</w:t>
      </w:r>
      <w:r w:rsidRPr="005A14BF">
        <w:rPr>
          <w:rFonts w:ascii="Times New Roman" w:hAnsi="Times New Roman" w:cs="Times New Roman"/>
          <w:szCs w:val="21"/>
        </w:rPr>
        <w:t>. Red and black dashed horizontal lines are the limits to engaging in hunting-gathering activities (M</w:t>
      </w:r>
      <w:r w:rsidRPr="005A14BF">
        <w:rPr>
          <w:rFonts w:ascii="Times New Roman" w:hAnsi="Times New Roman" w:cs="Times New Roman"/>
          <w:szCs w:val="21"/>
          <w:vertAlign w:val="subscript"/>
        </w:rPr>
        <w:t>METS</w:t>
      </w:r>
      <w:r w:rsidRPr="005A14BF">
        <w:rPr>
          <w:rFonts w:ascii="Times New Roman" w:hAnsi="Times New Roman" w:cs="Times New Roman"/>
          <w:szCs w:val="21"/>
        </w:rPr>
        <w:t xml:space="preserve"> = 3.0 METs) and liveable limit (M</w:t>
      </w:r>
      <w:r w:rsidRPr="005A14BF">
        <w:rPr>
          <w:rFonts w:ascii="Times New Roman" w:hAnsi="Times New Roman" w:cs="Times New Roman"/>
          <w:szCs w:val="21"/>
          <w:vertAlign w:val="subscript"/>
        </w:rPr>
        <w:t>METS</w:t>
      </w:r>
      <w:r w:rsidRPr="005A14BF">
        <w:rPr>
          <w:rFonts w:ascii="Times New Roman" w:hAnsi="Times New Roman" w:cs="Times New Roman"/>
          <w:szCs w:val="21"/>
        </w:rPr>
        <w:t xml:space="preserve"> = 1.5 METs), respectively. The red bar is the number of days per month with heat exceeding the limit to engaging in hunting-gathering activity. The black bar is the number of days per month with heat exceeding the liveability. Lower panel: The black and green lines are the seasonal variations of SST and chlorophyll-a density in the Arabian Sea. SST and chlorophyll-a density are from OISSTv2p1</w:t>
      </w:r>
      <w:r w:rsidRPr="005A14BF">
        <w:rPr>
          <w:rFonts w:ascii="Times New Roman" w:hAnsi="Times New Roman" w:cs="Times New Roman"/>
          <w:noProof/>
          <w:szCs w:val="21"/>
          <w:vertAlign w:val="superscript"/>
        </w:rPr>
        <w:t>52</w:t>
      </w:r>
      <w:r w:rsidRPr="005A14BF">
        <w:rPr>
          <w:rFonts w:ascii="Times New Roman" w:hAnsi="Times New Roman" w:cs="Times New Roman"/>
          <w:szCs w:val="21"/>
        </w:rPr>
        <w:t xml:space="preserve"> and SeaWiFS satellite data, respectively. The Arabian Sea upwelling season continues from July to September (grey shading).</w:t>
      </w:r>
    </w:p>
    <w:p w14:paraId="2AA0BE1B" w14:textId="77777777" w:rsidR="009440A1" w:rsidRPr="005A14BF" w:rsidRDefault="009440A1" w:rsidP="009440A1">
      <w:pPr>
        <w:widowControl/>
        <w:rPr>
          <w:rFonts w:ascii="Times New Roman" w:hAnsi="Times New Roman" w:cs="Times New Roman"/>
          <w:szCs w:val="21"/>
        </w:rPr>
      </w:pPr>
      <w:r w:rsidRPr="005A14BF">
        <w:rPr>
          <w:rFonts w:ascii="Times New Roman" w:hAnsi="Times New Roman" w:cs="Times New Roman"/>
          <w:szCs w:val="21"/>
        </w:rPr>
        <w:br w:type="page"/>
      </w:r>
    </w:p>
    <w:p w14:paraId="73A9E08E" w14:textId="77777777" w:rsidR="009440A1" w:rsidRPr="005A14BF" w:rsidRDefault="009440A1" w:rsidP="009440A1">
      <w:pPr>
        <w:widowControl/>
        <w:spacing w:line="240" w:lineRule="exact"/>
        <w:rPr>
          <w:rFonts w:ascii="Times New Roman" w:hAnsi="Times New Roman" w:cs="Times New Roman"/>
        </w:rPr>
      </w:pPr>
    </w:p>
    <w:p w14:paraId="5718A41E" w14:textId="77777777" w:rsidR="009440A1" w:rsidRPr="005A14BF" w:rsidRDefault="009440A1" w:rsidP="009440A1">
      <w:pPr>
        <w:widowControl/>
        <w:jc w:val="center"/>
        <w:rPr>
          <w:rFonts w:ascii="Times New Roman" w:hAnsi="Times New Roman" w:cs="Times New Roman"/>
          <w:b/>
          <w:bCs/>
        </w:rPr>
      </w:pPr>
      <w:r w:rsidRPr="005A14BF">
        <w:rPr>
          <w:rFonts w:ascii="Times New Roman" w:hAnsi="Times New Roman" w:cs="Times New Roman"/>
          <w:noProof/>
        </w:rPr>
        <w:drawing>
          <wp:inline distT="0" distB="0" distL="0" distR="0" wp14:anchorId="1D96274C" wp14:editId="54530E85">
            <wp:extent cx="5270500" cy="4914900"/>
            <wp:effectExtent l="0" t="0" r="0" b="0"/>
            <wp:docPr id="2142266597" name="図 4" descr="A group of graphs showing the different seas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266597" name="図 4" descr="A group of graphs showing the different season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0500" cy="4914900"/>
                    </a:xfrm>
                    <a:prstGeom prst="rect">
                      <a:avLst/>
                    </a:prstGeom>
                  </pic:spPr>
                </pic:pic>
              </a:graphicData>
            </a:graphic>
          </wp:inline>
        </w:drawing>
      </w:r>
    </w:p>
    <w:p w14:paraId="675CE88A" w14:textId="77777777" w:rsidR="009440A1" w:rsidRPr="005A14BF" w:rsidRDefault="009440A1" w:rsidP="009440A1">
      <w:pPr>
        <w:widowControl/>
        <w:spacing w:line="240" w:lineRule="exact"/>
        <w:rPr>
          <w:rFonts w:ascii="Times New Roman" w:hAnsi="Times New Roman" w:cs="Times New Roman"/>
        </w:rPr>
      </w:pPr>
      <w:r w:rsidRPr="005A14BF">
        <w:rPr>
          <w:rFonts w:ascii="Times New Roman" w:hAnsi="Times New Roman" w:cs="Times New Roman"/>
          <w:b/>
          <w:bCs/>
        </w:rPr>
        <w:t>Extended data Figure 3. Time series of SAT, relative humidity and M</w:t>
      </w:r>
      <w:r w:rsidRPr="005A14BF">
        <w:rPr>
          <w:rFonts w:ascii="Times New Roman" w:hAnsi="Times New Roman" w:cs="Times New Roman"/>
          <w:b/>
          <w:bCs/>
          <w:vertAlign w:val="subscript"/>
        </w:rPr>
        <w:t>METs</w:t>
      </w:r>
      <w:r w:rsidRPr="005A14BF">
        <w:rPr>
          <w:rFonts w:ascii="Times New Roman" w:hAnsi="Times New Roman" w:cs="Times New Roman"/>
        </w:rPr>
        <w:t xml:space="preserve"> </w:t>
      </w:r>
      <w:r w:rsidRPr="005A14BF">
        <w:rPr>
          <w:rFonts w:ascii="Times New Roman" w:hAnsi="Times New Roman" w:cs="Times New Roman"/>
          <w:b/>
          <w:bCs/>
        </w:rPr>
        <w:t xml:space="preserve">in summer (June to August) in the eastern Arabian Peninsula. </w:t>
      </w:r>
      <w:r w:rsidRPr="005A14BF">
        <w:rPr>
          <w:rFonts w:ascii="Times New Roman" w:hAnsi="Times New Roman" w:cs="Times New Roman"/>
        </w:rPr>
        <w:t>(A) SAT measured at Seeb Airport, Oman</w:t>
      </w:r>
      <w:r w:rsidRPr="005A14BF">
        <w:rPr>
          <w:rFonts w:ascii="Times New Roman" w:hAnsi="Times New Roman" w:cs="Times New Roman"/>
          <w:noProof/>
          <w:vertAlign w:val="superscript"/>
        </w:rPr>
        <w:t>27</w:t>
      </w:r>
      <w:r w:rsidRPr="005A14BF">
        <w:rPr>
          <w:rFonts w:ascii="Times New Roman" w:hAnsi="Times New Roman" w:cs="Times New Roman"/>
        </w:rPr>
        <w:t xml:space="preserve"> in June (orange), July (red) and August (purple). (B) Same as (A) but for relative humidity. (C) Same as (A) but for the M</w:t>
      </w:r>
      <w:r w:rsidRPr="005A14BF">
        <w:rPr>
          <w:rFonts w:ascii="Times New Roman" w:hAnsi="Times New Roman" w:cs="Times New Roman"/>
          <w:vertAlign w:val="subscript"/>
        </w:rPr>
        <w:t>METs</w:t>
      </w:r>
      <w:r w:rsidRPr="005A14BF">
        <w:rPr>
          <w:rFonts w:ascii="Times New Roman" w:hAnsi="Times New Roman" w:cs="Times New Roman"/>
        </w:rPr>
        <w:t xml:space="preserve"> for modern hunter-gatherers, estimated from SAT and relative humidity. We only considered years with over 2000 observations/year for statistical analyses. (D) XY plot of SAT and M</w:t>
      </w:r>
      <w:r w:rsidRPr="005A14BF">
        <w:rPr>
          <w:rFonts w:ascii="Times New Roman" w:hAnsi="Times New Roman" w:cs="Times New Roman"/>
          <w:vertAlign w:val="subscript"/>
        </w:rPr>
        <w:t>METs</w:t>
      </w:r>
      <w:r w:rsidRPr="005A14BF">
        <w:rPr>
          <w:rFonts w:ascii="Times New Roman" w:hAnsi="Times New Roman" w:cs="Times New Roman"/>
        </w:rPr>
        <w:t>. (E) XY plot of relative humidity and M</w:t>
      </w:r>
      <w:r w:rsidRPr="005A14BF">
        <w:rPr>
          <w:rFonts w:ascii="Times New Roman" w:hAnsi="Times New Roman" w:cs="Times New Roman"/>
          <w:vertAlign w:val="subscript"/>
        </w:rPr>
        <w:t>METs</w:t>
      </w:r>
      <w:r w:rsidRPr="005A14BF">
        <w:rPr>
          <w:rFonts w:ascii="Times New Roman" w:hAnsi="Times New Roman" w:cs="Times New Roman"/>
        </w:rPr>
        <w:t xml:space="preserve">. (F) XY plot of SAT and relative humidity. The dashed black line shown in panels (C), (D) and (E) marks the </w:t>
      </w:r>
      <w:r w:rsidRPr="005A14BF">
        <w:rPr>
          <w:rFonts w:ascii="Times New Roman" w:hAnsi="Times New Roman" w:cs="Times New Roman"/>
          <w:sz w:val="22"/>
          <w:szCs w:val="28"/>
        </w:rPr>
        <w:t>liveable limit for modern hunter-gatherers (M</w:t>
      </w:r>
      <w:r w:rsidRPr="005A14BF">
        <w:rPr>
          <w:rFonts w:ascii="Times New Roman" w:hAnsi="Times New Roman" w:cs="Times New Roman"/>
          <w:sz w:val="22"/>
          <w:szCs w:val="28"/>
          <w:vertAlign w:val="subscript"/>
        </w:rPr>
        <w:t>METs</w:t>
      </w:r>
      <w:r w:rsidRPr="005A14BF">
        <w:rPr>
          <w:rFonts w:ascii="Times New Roman" w:hAnsi="Times New Roman" w:cs="Times New Roman"/>
          <w:sz w:val="22"/>
          <w:szCs w:val="28"/>
        </w:rPr>
        <w:t xml:space="preserve"> = 1.5 METs)</w:t>
      </w:r>
      <w:r w:rsidRPr="005A14BF">
        <w:rPr>
          <w:rFonts w:ascii="Times New Roman" w:hAnsi="Times New Roman" w:cs="Times New Roman"/>
        </w:rPr>
        <w:t>.</w:t>
      </w:r>
    </w:p>
    <w:p w14:paraId="7251E792" w14:textId="77777777" w:rsidR="009440A1" w:rsidRPr="005A14BF" w:rsidRDefault="009440A1" w:rsidP="009440A1">
      <w:pPr>
        <w:widowControl/>
        <w:jc w:val="left"/>
        <w:rPr>
          <w:rFonts w:ascii="Times New Roman" w:hAnsi="Times New Roman" w:cs="Times New Roman"/>
        </w:rPr>
      </w:pPr>
      <w:r w:rsidRPr="005A14BF">
        <w:rPr>
          <w:rFonts w:ascii="Times New Roman" w:hAnsi="Times New Roman" w:cs="Times New Roman"/>
        </w:rPr>
        <w:br w:type="page"/>
      </w:r>
    </w:p>
    <w:p w14:paraId="4B2DCC64" w14:textId="77777777" w:rsidR="009440A1" w:rsidRPr="005A14BF" w:rsidRDefault="009440A1" w:rsidP="009440A1">
      <w:pPr>
        <w:widowControl/>
        <w:jc w:val="center"/>
        <w:rPr>
          <w:rFonts w:ascii="Times New Roman" w:hAnsi="Times New Roman" w:cs="Times New Roman"/>
        </w:rPr>
      </w:pPr>
      <w:r w:rsidRPr="005A14BF">
        <w:rPr>
          <w:rFonts w:ascii="Times New Roman" w:hAnsi="Times New Roman" w:cs="Times New Roman"/>
          <w:noProof/>
        </w:rPr>
        <w:lastRenderedPageBreak/>
        <w:drawing>
          <wp:inline distT="0" distB="0" distL="0" distR="0" wp14:anchorId="39342643" wp14:editId="3E9EC71A">
            <wp:extent cx="3416300" cy="4787900"/>
            <wp:effectExtent l="0" t="0" r="0" b="0"/>
            <wp:docPr id="516072819" name="図 3" descr="A graph of different types of weath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072819" name="図 3" descr="A graph of different types of weather&#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16300" cy="4787900"/>
                    </a:xfrm>
                    <a:prstGeom prst="rect">
                      <a:avLst/>
                    </a:prstGeom>
                  </pic:spPr>
                </pic:pic>
              </a:graphicData>
            </a:graphic>
          </wp:inline>
        </w:drawing>
      </w:r>
    </w:p>
    <w:p w14:paraId="3706F803" w14:textId="77777777" w:rsidR="009440A1" w:rsidRPr="005A14BF" w:rsidRDefault="009440A1" w:rsidP="009440A1">
      <w:pPr>
        <w:widowControl/>
        <w:jc w:val="left"/>
        <w:rPr>
          <w:rFonts w:ascii="Times New Roman" w:hAnsi="Times New Roman" w:cs="Times New Roman"/>
        </w:rPr>
      </w:pPr>
      <w:r w:rsidRPr="005A14BF">
        <w:rPr>
          <w:rFonts w:ascii="Times New Roman" w:hAnsi="Times New Roman" w:cs="Times New Roman"/>
          <w:b/>
          <w:bCs/>
        </w:rPr>
        <w:t>Extended data Figure 4. Time series of summer mean (June to August) of SAT, relative humidity and M</w:t>
      </w:r>
      <w:r w:rsidRPr="005A14BF">
        <w:rPr>
          <w:rFonts w:ascii="Times New Roman" w:hAnsi="Times New Roman" w:cs="Times New Roman"/>
          <w:b/>
          <w:bCs/>
          <w:vertAlign w:val="subscript"/>
        </w:rPr>
        <w:t>METs</w:t>
      </w:r>
      <w:r w:rsidRPr="005A14BF">
        <w:rPr>
          <w:rFonts w:ascii="Times New Roman" w:hAnsi="Times New Roman" w:cs="Times New Roman"/>
        </w:rPr>
        <w:t xml:space="preserve"> </w:t>
      </w:r>
      <w:r w:rsidRPr="005A14BF">
        <w:rPr>
          <w:rFonts w:ascii="Times New Roman" w:hAnsi="Times New Roman" w:cs="Times New Roman"/>
          <w:b/>
          <w:bCs/>
        </w:rPr>
        <w:t xml:space="preserve">in the eastern Arabian Peninsula. </w:t>
      </w:r>
      <w:r w:rsidRPr="005A14BF">
        <w:rPr>
          <w:rFonts w:ascii="Times New Roman" w:hAnsi="Times New Roman" w:cs="Times New Roman"/>
        </w:rPr>
        <w:t>(A) SAT (black) and relative humidity (blue) measured at Seeb Airport, Oman. (B) M</w:t>
      </w:r>
      <w:r w:rsidRPr="005A14BF">
        <w:rPr>
          <w:rFonts w:ascii="Times New Roman" w:hAnsi="Times New Roman" w:cs="Times New Roman"/>
          <w:vertAlign w:val="subscript"/>
        </w:rPr>
        <w:t>METs</w:t>
      </w:r>
      <w:r w:rsidRPr="005A14BF">
        <w:rPr>
          <w:rFonts w:ascii="Times New Roman" w:hAnsi="Times New Roman" w:cs="Times New Roman"/>
        </w:rPr>
        <w:t xml:space="preserve"> (red) and Arabian Sea SST (0 to 20ºN, 50ºE to 60ºE, data from OISSTv2.1, black). The red dashed line marks the </w:t>
      </w:r>
      <w:r w:rsidRPr="005A14BF">
        <w:rPr>
          <w:rFonts w:ascii="Times New Roman" w:hAnsi="Times New Roman" w:cs="Times New Roman"/>
          <w:sz w:val="22"/>
          <w:szCs w:val="28"/>
        </w:rPr>
        <w:t>liveable limit (M</w:t>
      </w:r>
      <w:r w:rsidRPr="005A14BF">
        <w:rPr>
          <w:rFonts w:ascii="Times New Roman" w:hAnsi="Times New Roman" w:cs="Times New Roman"/>
          <w:sz w:val="22"/>
          <w:szCs w:val="28"/>
          <w:vertAlign w:val="subscript"/>
        </w:rPr>
        <w:t>METs</w:t>
      </w:r>
      <w:r w:rsidRPr="005A14BF">
        <w:rPr>
          <w:rFonts w:ascii="Times New Roman" w:hAnsi="Times New Roman" w:cs="Times New Roman"/>
          <w:sz w:val="22"/>
          <w:szCs w:val="28"/>
        </w:rPr>
        <w:t xml:space="preserve"> = 1.5 METs)</w:t>
      </w:r>
      <w:r w:rsidRPr="005A14BF">
        <w:rPr>
          <w:rFonts w:ascii="Times New Roman" w:hAnsi="Times New Roman" w:cs="Times New Roman"/>
        </w:rPr>
        <w:t xml:space="preserve"> (C) Webster-Yang monsoon index. All time series are shown in summer mean (June to August).</w:t>
      </w:r>
      <w:r w:rsidRPr="005A14BF">
        <w:rPr>
          <w:rFonts w:ascii="Times New Roman" w:hAnsi="Times New Roman" w:cs="Times New Roman"/>
        </w:rPr>
        <w:br w:type="page"/>
      </w:r>
    </w:p>
    <w:p w14:paraId="21656335" w14:textId="77777777" w:rsidR="009440A1" w:rsidRPr="005A14BF" w:rsidRDefault="009440A1" w:rsidP="009440A1">
      <w:pPr>
        <w:rPr>
          <w:rFonts w:ascii="Times New Roman" w:hAnsi="Times New Roman" w:cs="Times New Roman"/>
          <w:b/>
          <w:bCs/>
          <w:sz w:val="24"/>
          <w:szCs w:val="32"/>
          <w:lang w:val="en-US"/>
        </w:rPr>
      </w:pPr>
    </w:p>
    <w:p w14:paraId="499BB31B" w14:textId="77777777" w:rsidR="009440A1" w:rsidRPr="005A14BF" w:rsidRDefault="009440A1" w:rsidP="009440A1">
      <w:pPr>
        <w:jc w:val="center"/>
        <w:rPr>
          <w:rFonts w:ascii="Times New Roman" w:hAnsi="Times New Roman" w:cs="Times New Roman"/>
        </w:rPr>
      </w:pPr>
      <w:r w:rsidRPr="005A14BF">
        <w:rPr>
          <w:rFonts w:ascii="Times New Roman" w:hAnsi="Times New Roman" w:cs="Times New Roman"/>
          <w:noProof/>
        </w:rPr>
        <w:drawing>
          <wp:inline distT="0" distB="0" distL="0" distR="0" wp14:anchorId="1BF7637D" wp14:editId="6C48F813">
            <wp:extent cx="4557289" cy="5399999"/>
            <wp:effectExtent l="0" t="0" r="2540" b="0"/>
            <wp:docPr id="470732952" name="Picture 1" descr="A diagram of different weather condit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732952" name="Picture 1" descr="A diagram of different weather condition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57289" cy="5399999"/>
                    </a:xfrm>
                    <a:prstGeom prst="rect">
                      <a:avLst/>
                    </a:prstGeom>
                  </pic:spPr>
                </pic:pic>
              </a:graphicData>
            </a:graphic>
          </wp:inline>
        </w:drawing>
      </w:r>
    </w:p>
    <w:p w14:paraId="7532FE41" w14:textId="77777777" w:rsidR="009440A1" w:rsidRPr="005A14BF" w:rsidRDefault="009440A1" w:rsidP="009440A1">
      <w:pPr>
        <w:widowControl/>
        <w:spacing w:line="240" w:lineRule="exact"/>
        <w:rPr>
          <w:rFonts w:ascii="Times New Roman" w:hAnsi="Times New Roman" w:cs="Times New Roman"/>
          <w:b/>
          <w:bCs/>
        </w:rPr>
      </w:pPr>
      <w:r w:rsidRPr="005A14BF">
        <w:rPr>
          <w:rFonts w:ascii="Times New Roman" w:hAnsi="Times New Roman" w:cs="Times New Roman"/>
          <w:b/>
          <w:bCs/>
        </w:rPr>
        <w:t xml:space="preserve">Extended data Figure 5. LIG evolution of max and min SAT inferred from the CESM2. </w:t>
      </w:r>
      <w:r w:rsidRPr="005A14BF">
        <w:rPr>
          <w:rFonts w:ascii="Times New Roman" w:hAnsi="Times New Roman" w:cs="Times New Roman"/>
          <w:szCs w:val="21"/>
        </w:rPr>
        <w:t xml:space="preserve">(A) LIG averages of max and min SAT in the eastern Arabian Peninsula (orange lines) and the Levant (blue lines) at 0.5 ka intervals. Orange or blue dotted lines are the 90%tiles of max/min SAT in each time window. Red, dark-red and black horizontal lines mark the SAT limits for AMH to engaging in hunting-gathering activities, liveability and survivability, respectively (Figure 2-B). (B) The SAT limit to engaging in hunting-gathering activities, liveability, and survivability of AMH (black circles, corresponding to panel A and Figure 2-B) and Neanderthals (red triangles, Figure 2-C). The mean values of max SAT and 90%iles of max SAT during the LIG are shown with horizontal lines and shades (red lines: eastern Arabian Peninsula; blue lines: Levant) (C) Insolation changes in the eastern Arabian Peninsula (orange lines, latitude: 23 ºN) and the Levant (blue line, latitude: 32 ºN) during the summer (June) and winter (December). Insolation changes are estimated following Laskar </w:t>
      </w:r>
      <w:r w:rsidRPr="005A14BF">
        <w:rPr>
          <w:rFonts w:ascii="Times New Roman" w:hAnsi="Times New Roman" w:cs="Times New Roman"/>
          <w:i/>
          <w:iCs/>
          <w:szCs w:val="21"/>
        </w:rPr>
        <w:t>et al.</w:t>
      </w:r>
      <w:r w:rsidRPr="005A14BF">
        <w:rPr>
          <w:rFonts w:ascii="Times New Roman" w:hAnsi="Times New Roman" w:cs="Times New Roman"/>
          <w:noProof/>
          <w:szCs w:val="21"/>
          <w:vertAlign w:val="superscript"/>
        </w:rPr>
        <w:t>50</w:t>
      </w:r>
      <w:r w:rsidRPr="005A14BF">
        <w:rPr>
          <w:rFonts w:ascii="Times New Roman" w:hAnsi="Times New Roman" w:cs="Times New Roman"/>
          <w:szCs w:val="21"/>
        </w:rPr>
        <w:t>.</w:t>
      </w:r>
    </w:p>
    <w:p w14:paraId="4050EF96" w14:textId="77777777" w:rsidR="009440A1" w:rsidRPr="005A14BF" w:rsidRDefault="009440A1" w:rsidP="009440A1">
      <w:pPr>
        <w:widowControl/>
        <w:jc w:val="center"/>
        <w:rPr>
          <w:rFonts w:ascii="Times New Roman" w:hAnsi="Times New Roman" w:cs="Times New Roman"/>
          <w:b/>
          <w:bCs/>
        </w:rPr>
      </w:pPr>
      <w:r w:rsidRPr="005A14BF">
        <w:rPr>
          <w:rFonts w:ascii="Times New Roman" w:hAnsi="Times New Roman" w:cs="Times New Roman"/>
          <w:b/>
          <w:bCs/>
          <w:noProof/>
        </w:rPr>
        <w:lastRenderedPageBreak/>
        <w:drawing>
          <wp:inline distT="0" distB="0" distL="0" distR="0" wp14:anchorId="198321A3" wp14:editId="56AE1765">
            <wp:extent cx="3784600" cy="3454400"/>
            <wp:effectExtent l="0" t="0" r="0" b="0"/>
            <wp:docPr id="184653409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534094" name="Picture 1846534094"/>
                    <pic:cNvPicPr/>
                  </pic:nvPicPr>
                  <pic:blipFill>
                    <a:blip r:embed="rId9">
                      <a:extLst>
                        <a:ext uri="{28A0092B-C50C-407E-A947-70E740481C1C}">
                          <a14:useLocalDpi xmlns:a14="http://schemas.microsoft.com/office/drawing/2010/main" val="0"/>
                        </a:ext>
                      </a:extLst>
                    </a:blip>
                    <a:stretch>
                      <a:fillRect/>
                    </a:stretch>
                  </pic:blipFill>
                  <pic:spPr>
                    <a:xfrm>
                      <a:off x="0" y="0"/>
                      <a:ext cx="3784600" cy="3454400"/>
                    </a:xfrm>
                    <a:prstGeom prst="rect">
                      <a:avLst/>
                    </a:prstGeom>
                  </pic:spPr>
                </pic:pic>
              </a:graphicData>
            </a:graphic>
          </wp:inline>
        </w:drawing>
      </w:r>
    </w:p>
    <w:p w14:paraId="7C041D96" w14:textId="77777777" w:rsidR="009440A1" w:rsidRPr="005A14BF" w:rsidRDefault="009440A1" w:rsidP="009440A1">
      <w:pPr>
        <w:widowControl/>
        <w:spacing w:line="240" w:lineRule="exact"/>
        <w:rPr>
          <w:rFonts w:ascii="Times New Roman" w:hAnsi="Times New Roman" w:cs="Times New Roman"/>
          <w:b/>
          <w:bCs/>
        </w:rPr>
      </w:pPr>
      <w:r w:rsidRPr="005A14BF">
        <w:rPr>
          <w:rFonts w:ascii="Times New Roman" w:hAnsi="Times New Roman" w:cs="Times New Roman"/>
          <w:b/>
          <w:bCs/>
        </w:rPr>
        <w:t xml:space="preserve">Extended data Figure 6. Persistence of summer temperature maxima estimated from SAT reconstructed from Omani corals </w:t>
      </w:r>
      <w:r w:rsidRPr="005A14BF">
        <w:rPr>
          <w:rFonts w:ascii="Times New Roman" w:hAnsi="Times New Roman" w:cs="Times New Roman" w:hint="eastAsia"/>
          <w:b/>
          <w:bCs/>
        </w:rPr>
        <w:t>(</w:t>
      </w:r>
      <w:r w:rsidRPr="005A14BF">
        <w:rPr>
          <w:rFonts w:ascii="Times New Roman" w:hAnsi="Times New Roman" w:cs="Times New Roman"/>
          <w:b/>
          <w:bCs/>
          <w:lang w:val="en-US"/>
        </w:rPr>
        <w:t>Eastern Arabian Peninsula)</w:t>
      </w:r>
      <w:r w:rsidRPr="005A14BF">
        <w:rPr>
          <w:rFonts w:ascii="Times New Roman" w:hAnsi="Times New Roman" w:cs="Times New Roman"/>
          <w:b/>
          <w:bCs/>
        </w:rPr>
        <w:t xml:space="preserve">. </w:t>
      </w:r>
      <w:r w:rsidRPr="005A14BF">
        <w:rPr>
          <w:rFonts w:ascii="Times New Roman" w:hAnsi="Times New Roman" w:cs="Times New Roman"/>
        </w:rPr>
        <w:t>(A) and (B) summer length estimated from SAT in Omani fossil and modern corals (SAT</w:t>
      </w:r>
      <w:r w:rsidRPr="005A14BF">
        <w:rPr>
          <w:rFonts w:ascii="Times New Roman" w:hAnsi="Times New Roman" w:cs="Times New Roman"/>
          <w:vertAlign w:val="subscript"/>
        </w:rPr>
        <w:t>coral</w:t>
      </w:r>
      <w:r w:rsidRPr="005A14BF">
        <w:rPr>
          <w:rFonts w:ascii="Times New Roman" w:hAnsi="Times New Roman" w:cs="Times New Roman"/>
        </w:rPr>
        <w:t>, black lines). Orange lines and shades are three-year moving averages and their standard errors (1σ). (C) and (D) Frequency analysis of three-year moving averages of summer length estimated with the Redfit test</w:t>
      </w:r>
      <w:r w:rsidRPr="005A14BF">
        <w:rPr>
          <w:rFonts w:ascii="Times New Roman" w:hAnsi="Times New Roman" w:cs="Times New Roman"/>
          <w:noProof/>
          <w:vertAlign w:val="superscript"/>
        </w:rPr>
        <w:t>54</w:t>
      </w:r>
      <w:r w:rsidRPr="005A14BF">
        <w:rPr>
          <w:rFonts w:ascii="Times New Roman" w:hAnsi="Times New Roman" w:cs="Times New Roman"/>
        </w:rPr>
        <w:t>. Blue and red dashed lines indicate the 99% and 95% confidence levels based on the Monte Carlo technique (20,000 times loop). Modern SAT</w:t>
      </w:r>
      <w:r w:rsidRPr="005A14BF">
        <w:rPr>
          <w:rFonts w:ascii="Times New Roman" w:hAnsi="Times New Roman" w:cs="Times New Roman"/>
          <w:vertAlign w:val="subscript"/>
        </w:rPr>
        <w:t>coral</w:t>
      </w:r>
      <w:r w:rsidRPr="005A14BF">
        <w:rPr>
          <w:rFonts w:ascii="Times New Roman" w:hAnsi="Times New Roman" w:cs="Times New Roman"/>
        </w:rPr>
        <w:t xml:space="preserve"> reveals that summer today lasts 1.77 months (99% confidence interval: 1.42, 2.12 months). The fossil Omani coral shows that the LIG summer lasted 3.43 months (99% confidence interval: 2.78, 4.08 months), </w:t>
      </w:r>
      <w:r w:rsidRPr="00675EED">
        <w:rPr>
          <w:rFonts w:ascii="Times New Roman" w:hAnsi="Times New Roman" w:cs="Times New Roman"/>
          <w:i/>
          <w:iCs/>
        </w:rPr>
        <w:t>i.e.</w:t>
      </w:r>
      <w:r w:rsidRPr="005A14BF">
        <w:rPr>
          <w:rFonts w:ascii="Times New Roman" w:hAnsi="Times New Roman" w:cs="Times New Roman"/>
        </w:rPr>
        <w:t xml:space="preserve">, 1.94 times (99% confidence interval: 1.47, 2.54) longer than today. We note that LIG summer length varied with a frequency of 5.8 years/cycle (significant at 99% confidence level) (shown in panel C). A similar frequency is seen in the modern coral (5.1 years/cycle, significant at the 95% confidence level) (shown in panel D). At present, summer length varies between 1 and 3 months (shown in panel B). In the LIG, summer lasted up to 6 months (shown in panel A). This is observed in five years of the 40-year record. The shortest LIG summer season lasted one month (this occurred in seven years of the 40-year-long record). The LIG coral record revealed that the period of highest summer temperatures experienced by AMH in their habitat </w:t>
      </w:r>
      <w:r w:rsidRPr="005A14BF">
        <w:rPr>
          <w:rFonts w:ascii="Times New Roman" w:hAnsi="Times New Roman" w:cs="Times New Roman"/>
          <w:sz w:val="22"/>
          <w:szCs w:val="22"/>
        </w:rPr>
        <w:t xml:space="preserve">on </w:t>
      </w:r>
      <w:r w:rsidRPr="005A14BF">
        <w:rPr>
          <w:rFonts w:ascii="Times New Roman" w:hAnsi="Times New Roman" w:cs="Times New Roman"/>
        </w:rPr>
        <w:t>the southern dispersal route lasted on average twice as long as at present, and that extreme years with anomalously prolonged summer seasons occurred every 5.8 years.</w:t>
      </w:r>
    </w:p>
    <w:p w14:paraId="44F00A5D" w14:textId="77777777" w:rsidR="009440A1" w:rsidRPr="005A14BF" w:rsidRDefault="009440A1" w:rsidP="009440A1">
      <w:pPr>
        <w:widowControl/>
        <w:rPr>
          <w:rFonts w:ascii="Times New Roman" w:hAnsi="Times New Roman" w:cs="Times New Roman"/>
        </w:rPr>
      </w:pPr>
      <w:r w:rsidRPr="005A14BF">
        <w:rPr>
          <w:rFonts w:ascii="Times New Roman" w:hAnsi="Times New Roman" w:cs="Times New Roman"/>
        </w:rPr>
        <w:br w:type="page"/>
      </w:r>
    </w:p>
    <w:p w14:paraId="47CA69D3" w14:textId="77777777" w:rsidR="009440A1" w:rsidRPr="005A14BF" w:rsidRDefault="009440A1" w:rsidP="009440A1">
      <w:pPr>
        <w:jc w:val="center"/>
        <w:rPr>
          <w:rFonts w:ascii="Times New Roman" w:hAnsi="Times New Roman" w:cs="Times New Roman"/>
        </w:rPr>
      </w:pPr>
      <w:r w:rsidRPr="005A14BF">
        <w:rPr>
          <w:rFonts w:ascii="Times New Roman" w:hAnsi="Times New Roman" w:cs="Times New Roman"/>
          <w:noProof/>
        </w:rPr>
        <w:lastRenderedPageBreak/>
        <w:drawing>
          <wp:inline distT="0" distB="0" distL="0" distR="0" wp14:anchorId="6FC46BD5" wp14:editId="4661E39E">
            <wp:extent cx="3162300" cy="2984500"/>
            <wp:effectExtent l="0" t="0" r="0" b="0"/>
            <wp:docPr id="262739757" name="Picture 11" descr="A graph of different weather condit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739757" name="Picture 11" descr="A graph of different weather condition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62300" cy="2984500"/>
                    </a:xfrm>
                    <a:prstGeom prst="rect">
                      <a:avLst/>
                    </a:prstGeom>
                  </pic:spPr>
                </pic:pic>
              </a:graphicData>
            </a:graphic>
          </wp:inline>
        </w:drawing>
      </w:r>
    </w:p>
    <w:p w14:paraId="3B4AADE7" w14:textId="77777777" w:rsidR="009440A1" w:rsidRPr="005A14BF" w:rsidRDefault="009440A1" w:rsidP="009440A1">
      <w:pPr>
        <w:widowControl/>
        <w:spacing w:line="240" w:lineRule="exact"/>
        <w:rPr>
          <w:rFonts w:ascii="Times New Roman" w:hAnsi="Times New Roman" w:cs="Times New Roman"/>
        </w:rPr>
      </w:pPr>
      <w:r w:rsidRPr="005A14BF">
        <w:rPr>
          <w:rFonts w:ascii="Times New Roman" w:hAnsi="Times New Roman" w:cs="Times New Roman"/>
          <w:b/>
          <w:bCs/>
        </w:rPr>
        <w:t xml:space="preserve">Extended data Figure 7. Long-term climatic changes relevant for the early dispersal of </w:t>
      </w:r>
      <w:r w:rsidRPr="005A14BF">
        <w:rPr>
          <w:rFonts w:ascii="Times New Roman" w:hAnsi="Times New Roman" w:cs="Times New Roman"/>
          <w:b/>
          <w:bCs/>
          <w:iCs/>
        </w:rPr>
        <w:t>AMH</w:t>
      </w:r>
      <w:r w:rsidRPr="005A14BF">
        <w:rPr>
          <w:rFonts w:ascii="Times New Roman" w:hAnsi="Times New Roman" w:cs="Times New Roman"/>
          <w:b/>
          <w:bCs/>
        </w:rPr>
        <w:t>.</w:t>
      </w:r>
      <w:r w:rsidRPr="005A14BF">
        <w:rPr>
          <w:rFonts w:ascii="Times New Roman" w:hAnsi="Times New Roman" w:cs="Times New Roman"/>
        </w:rPr>
        <w:t xml:space="preserve"> (A) Indian summer monsoon intensity reconstructions based on n-alkane hydrogen isotopes</w:t>
      </w:r>
      <w:r w:rsidRPr="005A14BF">
        <w:rPr>
          <w:rFonts w:ascii="Times New Roman" w:hAnsi="Times New Roman" w:cs="Times New Roman"/>
          <w:noProof/>
          <w:vertAlign w:val="superscript"/>
        </w:rPr>
        <w:t>34</w:t>
      </w:r>
      <w:r w:rsidRPr="005A14BF">
        <w:rPr>
          <w:rFonts w:ascii="Times New Roman" w:hAnsi="Times New Roman" w:cs="Times New Roman"/>
        </w:rPr>
        <w:t xml:space="preserve"> (orange: n-C29; red: n-C31). The data is smoothed following </w:t>
      </w:r>
      <w:r w:rsidRPr="005A14BF">
        <w:rPr>
          <w:rFonts w:ascii="Times New Roman" w:hAnsi="Times New Roman" w:cs="Times New Roman"/>
          <w:lang w:val="en-US"/>
        </w:rPr>
        <w:t>Wang et al.</w:t>
      </w:r>
      <w:r w:rsidRPr="005A14BF">
        <w:rPr>
          <w:rFonts w:ascii="Times New Roman" w:hAnsi="Times New Roman" w:cs="Times New Roman"/>
          <w:noProof/>
          <w:vertAlign w:val="superscript"/>
        </w:rPr>
        <w:t>34</w:t>
      </w:r>
      <w:r w:rsidRPr="005A14BF">
        <w:rPr>
          <w:rFonts w:ascii="Times New Roman" w:hAnsi="Times New Roman" w:cs="Times New Roman"/>
        </w:rPr>
        <w:t xml:space="preserve"> (solid lines). The shades are their 95% confidence intervals. The grey dashed line shows insolation changes in summer (from June to August, at 15ºN). The green vertical line indicates the age of Omani fossil coral. (B) Alkenone SST reconstructions in the Gulf of Aden: GOA04</w:t>
      </w:r>
      <w:r w:rsidRPr="005A14BF">
        <w:rPr>
          <w:rFonts w:ascii="Times New Roman" w:hAnsi="Times New Roman" w:cs="Times New Roman"/>
          <w:noProof/>
          <w:vertAlign w:val="superscript"/>
        </w:rPr>
        <w:t>57</w:t>
      </w:r>
      <w:r w:rsidRPr="005A14BF">
        <w:rPr>
          <w:rFonts w:ascii="Times New Roman" w:hAnsi="Times New Roman" w:cs="Times New Roman"/>
        </w:rPr>
        <w:t xml:space="preserve"> (black) and RC09-166</w:t>
      </w:r>
      <w:r w:rsidRPr="00FE34E3">
        <w:rPr>
          <w:rFonts w:ascii="Times New Roman" w:hAnsi="Times New Roman" w:cs="Times New Roman"/>
          <w:noProof/>
          <w:vertAlign w:val="superscript"/>
        </w:rPr>
        <w:t>5</w:t>
      </w:r>
      <w:r w:rsidRPr="005A14BF">
        <w:rPr>
          <w:rFonts w:ascii="Times New Roman" w:hAnsi="Times New Roman" w:cs="Times New Roman"/>
        </w:rPr>
        <w:t xml:space="preserve"> (orange) and in the Arabian Sea: TY93-929 (grey)</w:t>
      </w:r>
      <w:r w:rsidRPr="005A14BF">
        <w:rPr>
          <w:rFonts w:ascii="Times New Roman" w:hAnsi="Times New Roman" w:cs="Times New Roman"/>
          <w:noProof/>
          <w:vertAlign w:val="superscript"/>
        </w:rPr>
        <w:t>58</w:t>
      </w:r>
      <w:r w:rsidRPr="005A14BF">
        <w:rPr>
          <w:rFonts w:ascii="Times New Roman" w:hAnsi="Times New Roman" w:cs="Times New Roman"/>
        </w:rPr>
        <w:t>. All alkenone datasets are converted to SST</w:t>
      </w:r>
      <w:r w:rsidRPr="005A14BF">
        <w:rPr>
          <w:rFonts w:ascii="Times New Roman" w:hAnsi="Times New Roman" w:cs="Times New Roman"/>
          <w:noProof/>
          <w:vertAlign w:val="superscript"/>
        </w:rPr>
        <w:t>59</w:t>
      </w:r>
      <w:r w:rsidRPr="005A14BF">
        <w:rPr>
          <w:rFonts w:ascii="Times New Roman" w:hAnsi="Times New Roman" w:cs="Times New Roman"/>
        </w:rPr>
        <w:t xml:space="preserve">. </w:t>
      </w:r>
    </w:p>
    <w:p w14:paraId="3AFE4020" w14:textId="77777777" w:rsidR="009440A1" w:rsidRPr="005A14BF" w:rsidRDefault="009440A1" w:rsidP="009440A1">
      <w:pPr>
        <w:widowControl/>
        <w:jc w:val="left"/>
        <w:rPr>
          <w:rFonts w:ascii="Times New Roman" w:hAnsi="Times New Roman" w:cs="Times New Roman"/>
        </w:rPr>
      </w:pPr>
      <w:r w:rsidRPr="005A14BF">
        <w:rPr>
          <w:rFonts w:ascii="Times New Roman" w:hAnsi="Times New Roman" w:cs="Times New Roman"/>
        </w:rPr>
        <w:br w:type="page"/>
      </w:r>
    </w:p>
    <w:p w14:paraId="46EED0DC" w14:textId="77777777" w:rsidR="009440A1" w:rsidRPr="005A14BF" w:rsidRDefault="009440A1" w:rsidP="009440A1">
      <w:pPr>
        <w:widowControl/>
        <w:jc w:val="left"/>
        <w:rPr>
          <w:rFonts w:ascii="Times New Roman" w:hAnsi="Times New Roman" w:cs="Times New Roman"/>
          <w:b/>
          <w:bCs/>
        </w:rPr>
      </w:pPr>
      <w:r w:rsidRPr="005A14BF">
        <w:rPr>
          <w:rFonts w:ascii="Times New Roman" w:hAnsi="Times New Roman" w:cs="Times New Roman"/>
          <w:b/>
          <w:bCs/>
        </w:rPr>
        <w:lastRenderedPageBreak/>
        <w:t>Extended data Table 1. The definition of human habitable limits</w:t>
      </w:r>
    </w:p>
    <w:tbl>
      <w:tblPr>
        <w:tblStyle w:val="GridTable1Light"/>
        <w:tblpPr w:leftFromText="180" w:rightFromText="180" w:vertAnchor="text" w:horzAnchor="margin" w:tblpY="-32"/>
        <w:tblW w:w="9128" w:type="dxa"/>
        <w:tblLook w:val="04A0" w:firstRow="1" w:lastRow="0" w:firstColumn="1" w:lastColumn="0" w:noHBand="0" w:noVBand="1"/>
      </w:tblPr>
      <w:tblGrid>
        <w:gridCol w:w="2268"/>
        <w:gridCol w:w="3458"/>
        <w:gridCol w:w="1342"/>
        <w:gridCol w:w="926"/>
        <w:gridCol w:w="1134"/>
      </w:tblGrid>
      <w:tr w:rsidR="009440A1" w:rsidRPr="005A14BF" w14:paraId="1B492B74" w14:textId="77777777" w:rsidTr="00594B2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vMerge w:val="restart"/>
            <w:tcBorders>
              <w:top w:val="single" w:sz="12" w:space="0" w:color="7F7F7F" w:themeColor="text1" w:themeTint="80"/>
              <w:left w:val="nil"/>
              <w:bottom w:val="nil"/>
              <w:right w:val="nil"/>
            </w:tcBorders>
            <w:shd w:val="clear" w:color="auto" w:fill="D9F2D0" w:themeFill="accent6" w:themeFillTint="33"/>
            <w:vAlign w:val="center"/>
          </w:tcPr>
          <w:p w14:paraId="52CF5B77" w14:textId="77777777" w:rsidR="009440A1" w:rsidRPr="005A14BF" w:rsidRDefault="009440A1" w:rsidP="00594B2C">
            <w:pPr>
              <w:widowControl/>
              <w:jc w:val="center"/>
              <w:rPr>
                <w:rFonts w:ascii="Times New Roman" w:hAnsi="Times New Roman" w:cs="Times New Roman"/>
                <w:sz w:val="16"/>
                <w:szCs w:val="16"/>
              </w:rPr>
            </w:pPr>
            <w:r w:rsidRPr="005A14BF">
              <w:rPr>
                <w:rFonts w:ascii="Times New Roman" w:hAnsi="Times New Roman" w:cs="Times New Roman"/>
                <w:sz w:val="16"/>
                <w:szCs w:val="16"/>
              </w:rPr>
              <w:t>Term</w:t>
            </w:r>
          </w:p>
        </w:tc>
        <w:tc>
          <w:tcPr>
            <w:tcW w:w="3458" w:type="dxa"/>
            <w:vMerge w:val="restart"/>
            <w:tcBorders>
              <w:top w:val="single" w:sz="12" w:space="0" w:color="7F7F7F" w:themeColor="text1" w:themeTint="80"/>
              <w:left w:val="nil"/>
              <w:bottom w:val="nil"/>
              <w:right w:val="nil"/>
            </w:tcBorders>
            <w:shd w:val="clear" w:color="auto" w:fill="D9F2D0" w:themeFill="accent6" w:themeFillTint="33"/>
            <w:vAlign w:val="center"/>
          </w:tcPr>
          <w:p w14:paraId="77F4D25F" w14:textId="77777777" w:rsidR="009440A1" w:rsidRPr="005A14BF" w:rsidRDefault="009440A1" w:rsidP="00594B2C">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5A14BF">
              <w:rPr>
                <w:rFonts w:ascii="Times New Roman" w:hAnsi="Times New Roman" w:cs="Times New Roman"/>
                <w:sz w:val="16"/>
                <w:szCs w:val="16"/>
              </w:rPr>
              <w:t>Definition</w:t>
            </w:r>
          </w:p>
        </w:tc>
        <w:tc>
          <w:tcPr>
            <w:tcW w:w="3402" w:type="dxa"/>
            <w:gridSpan w:val="3"/>
            <w:tcBorders>
              <w:top w:val="single" w:sz="12" w:space="0" w:color="7F7F7F" w:themeColor="text1" w:themeTint="80"/>
              <w:left w:val="nil"/>
              <w:bottom w:val="nil"/>
              <w:right w:val="nil"/>
            </w:tcBorders>
            <w:shd w:val="clear" w:color="auto" w:fill="D9F2D0" w:themeFill="accent6" w:themeFillTint="33"/>
            <w:vAlign w:val="center"/>
          </w:tcPr>
          <w:p w14:paraId="0637872B" w14:textId="77777777" w:rsidR="009440A1" w:rsidRPr="005A14BF" w:rsidRDefault="009440A1" w:rsidP="00594B2C">
            <w:pPr>
              <w:widowControl/>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5A14BF">
              <w:rPr>
                <w:rFonts w:ascii="Times New Roman" w:hAnsi="Times New Roman" w:cs="Times New Roman"/>
                <w:sz w:val="16"/>
                <w:szCs w:val="16"/>
              </w:rPr>
              <w:t>SAT* or max rainfall limits of habitability</w:t>
            </w:r>
          </w:p>
        </w:tc>
      </w:tr>
      <w:tr w:rsidR="009440A1" w:rsidRPr="005A14BF" w14:paraId="131595A2" w14:textId="77777777" w:rsidTr="00594B2C">
        <w:trPr>
          <w:trHeight w:val="340"/>
        </w:trPr>
        <w:tc>
          <w:tcPr>
            <w:cnfStyle w:val="001000000000" w:firstRow="0" w:lastRow="0" w:firstColumn="1" w:lastColumn="0" w:oddVBand="0" w:evenVBand="0" w:oddHBand="0" w:evenHBand="0" w:firstRowFirstColumn="0" w:firstRowLastColumn="0" w:lastRowFirstColumn="0" w:lastRowLastColumn="0"/>
            <w:tcW w:w="0" w:type="dxa"/>
            <w:vMerge/>
            <w:tcBorders>
              <w:top w:val="nil"/>
              <w:left w:val="nil"/>
              <w:bottom w:val="single" w:sz="8" w:space="0" w:color="808080" w:themeColor="background1" w:themeShade="80"/>
              <w:right w:val="nil"/>
            </w:tcBorders>
            <w:shd w:val="clear" w:color="auto" w:fill="D9F2D0" w:themeFill="accent6" w:themeFillTint="33"/>
            <w:vAlign w:val="center"/>
          </w:tcPr>
          <w:p w14:paraId="6114C8C5" w14:textId="77777777" w:rsidR="009440A1" w:rsidRPr="005A14BF" w:rsidRDefault="009440A1" w:rsidP="00594B2C">
            <w:pPr>
              <w:widowControl/>
              <w:jc w:val="center"/>
              <w:rPr>
                <w:rFonts w:ascii="Times New Roman" w:hAnsi="Times New Roman" w:cs="Times New Roman"/>
                <w:sz w:val="16"/>
                <w:szCs w:val="16"/>
              </w:rPr>
            </w:pPr>
          </w:p>
        </w:tc>
        <w:tc>
          <w:tcPr>
            <w:tcW w:w="0" w:type="dxa"/>
            <w:vMerge/>
            <w:tcBorders>
              <w:top w:val="nil"/>
              <w:left w:val="nil"/>
              <w:bottom w:val="single" w:sz="8" w:space="0" w:color="808080" w:themeColor="background1" w:themeShade="80"/>
              <w:right w:val="nil"/>
            </w:tcBorders>
            <w:shd w:val="clear" w:color="auto" w:fill="D9F2D0" w:themeFill="accent6" w:themeFillTint="33"/>
            <w:vAlign w:val="center"/>
          </w:tcPr>
          <w:p w14:paraId="75672047"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p>
        </w:tc>
        <w:tc>
          <w:tcPr>
            <w:tcW w:w="1342" w:type="dxa"/>
            <w:tcBorders>
              <w:top w:val="nil"/>
              <w:left w:val="nil"/>
              <w:bottom w:val="single" w:sz="8" w:space="0" w:color="808080" w:themeColor="background1" w:themeShade="80"/>
              <w:right w:val="nil"/>
            </w:tcBorders>
            <w:shd w:val="clear" w:color="auto" w:fill="D9F2D0" w:themeFill="accent6" w:themeFillTint="33"/>
            <w:vAlign w:val="center"/>
          </w:tcPr>
          <w:p w14:paraId="104E4785" w14:textId="77777777" w:rsidR="009440A1" w:rsidRPr="005A14BF" w:rsidRDefault="009440A1" w:rsidP="00594B2C">
            <w:pPr>
              <w:widowControl/>
              <w:spacing w:line="14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5A14BF">
              <w:rPr>
                <w:rFonts w:ascii="Times New Roman" w:hAnsi="Times New Roman" w:cs="Times New Roman"/>
                <w:sz w:val="16"/>
                <w:szCs w:val="16"/>
              </w:rPr>
              <w:t>Modern</w:t>
            </w:r>
          </w:p>
          <w:p w14:paraId="261A7962" w14:textId="77777777" w:rsidR="009440A1" w:rsidRPr="005A14BF" w:rsidRDefault="009440A1" w:rsidP="00594B2C">
            <w:pPr>
              <w:widowControl/>
              <w:spacing w:line="14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5A14BF">
              <w:rPr>
                <w:rFonts w:ascii="Times New Roman" w:hAnsi="Times New Roman" w:cs="Times New Roman"/>
                <w:sz w:val="16"/>
                <w:szCs w:val="16"/>
              </w:rPr>
              <w:t>Hunter-gatherers</w:t>
            </w:r>
          </w:p>
        </w:tc>
        <w:tc>
          <w:tcPr>
            <w:tcW w:w="926" w:type="dxa"/>
            <w:tcBorders>
              <w:top w:val="nil"/>
              <w:left w:val="nil"/>
              <w:bottom w:val="single" w:sz="8" w:space="0" w:color="808080" w:themeColor="background1" w:themeShade="80"/>
              <w:right w:val="nil"/>
            </w:tcBorders>
            <w:shd w:val="clear" w:color="auto" w:fill="D9F2D0" w:themeFill="accent6" w:themeFillTint="33"/>
            <w:vAlign w:val="center"/>
          </w:tcPr>
          <w:p w14:paraId="60AF63B1"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5A14BF">
              <w:rPr>
                <w:rFonts w:ascii="Times New Roman" w:hAnsi="Times New Roman" w:cs="Times New Roman"/>
                <w:sz w:val="16"/>
                <w:szCs w:val="16"/>
              </w:rPr>
              <w:t>AMH</w:t>
            </w:r>
          </w:p>
        </w:tc>
        <w:tc>
          <w:tcPr>
            <w:tcW w:w="0" w:type="dxa"/>
            <w:tcBorders>
              <w:top w:val="nil"/>
              <w:left w:val="nil"/>
              <w:bottom w:val="single" w:sz="8" w:space="0" w:color="808080" w:themeColor="background1" w:themeShade="80"/>
              <w:right w:val="nil"/>
            </w:tcBorders>
            <w:shd w:val="clear" w:color="auto" w:fill="D9F2D0" w:themeFill="accent6" w:themeFillTint="33"/>
            <w:vAlign w:val="center"/>
          </w:tcPr>
          <w:p w14:paraId="439054E4"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5A14BF">
              <w:rPr>
                <w:rFonts w:ascii="Times New Roman" w:hAnsi="Times New Roman" w:cs="Times New Roman"/>
                <w:sz w:val="16"/>
                <w:szCs w:val="16"/>
              </w:rPr>
              <w:t>Neanderthals</w:t>
            </w:r>
          </w:p>
        </w:tc>
      </w:tr>
      <w:tr w:rsidR="009440A1" w:rsidRPr="005A14BF" w14:paraId="49204B11" w14:textId="77777777" w:rsidTr="00594B2C">
        <w:trPr>
          <w:trHeight w:val="680"/>
        </w:trPr>
        <w:tc>
          <w:tcPr>
            <w:cnfStyle w:val="001000000000" w:firstRow="0" w:lastRow="0" w:firstColumn="1" w:lastColumn="0" w:oddVBand="0" w:evenVBand="0" w:oddHBand="0" w:evenHBand="0" w:firstRowFirstColumn="0" w:firstRowLastColumn="0" w:lastRowFirstColumn="0" w:lastRowLastColumn="0"/>
            <w:tcW w:w="0" w:type="dxa"/>
            <w:tcBorders>
              <w:top w:val="single" w:sz="8" w:space="0" w:color="808080" w:themeColor="background1" w:themeShade="80"/>
              <w:left w:val="nil"/>
              <w:bottom w:val="nil"/>
              <w:right w:val="nil"/>
            </w:tcBorders>
            <w:vAlign w:val="center"/>
          </w:tcPr>
          <w:p w14:paraId="3E1A236C" w14:textId="77777777" w:rsidR="009440A1" w:rsidRPr="005A14BF" w:rsidRDefault="009440A1" w:rsidP="00594B2C">
            <w:pPr>
              <w:widowControl/>
              <w:jc w:val="left"/>
              <w:rPr>
                <w:rFonts w:ascii="Times New Roman" w:hAnsi="Times New Roman" w:cs="Times New Roman"/>
                <w:sz w:val="15"/>
                <w:szCs w:val="15"/>
              </w:rPr>
            </w:pPr>
            <w:r w:rsidRPr="005A14BF">
              <w:rPr>
                <w:rFonts w:ascii="Times New Roman" w:hAnsi="Times New Roman" w:cs="Times New Roman"/>
                <w:sz w:val="15"/>
                <w:szCs w:val="15"/>
              </w:rPr>
              <w:t>Habitable</w:t>
            </w:r>
          </w:p>
        </w:tc>
        <w:tc>
          <w:tcPr>
            <w:tcW w:w="0" w:type="dxa"/>
            <w:tcBorders>
              <w:top w:val="single" w:sz="8" w:space="0" w:color="808080" w:themeColor="background1" w:themeShade="80"/>
              <w:left w:val="nil"/>
              <w:bottom w:val="nil"/>
              <w:right w:val="nil"/>
            </w:tcBorders>
            <w:vAlign w:val="center"/>
          </w:tcPr>
          <w:p w14:paraId="0BCDA939"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M</w:t>
            </w:r>
            <w:r w:rsidRPr="005A14BF">
              <w:rPr>
                <w:rFonts w:ascii="Times New Roman" w:hAnsi="Times New Roman" w:cs="Times New Roman"/>
                <w:sz w:val="15"/>
                <w:szCs w:val="15"/>
                <w:vertAlign w:val="subscript"/>
              </w:rPr>
              <w:t xml:space="preserve">METs &gt; </w:t>
            </w:r>
            <w:r w:rsidRPr="005A14BF">
              <w:rPr>
                <w:rFonts w:ascii="Times New Roman" w:hAnsi="Times New Roman" w:cs="Times New Roman"/>
                <w:sz w:val="15"/>
                <w:szCs w:val="15"/>
              </w:rPr>
              <w:t>3.0 METs; max rainfall &gt; 28.1 mm/month</w:t>
            </w:r>
          </w:p>
          <w:p w14:paraId="6BE1B204"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Available sufficient food resources</w:t>
            </w:r>
          </w:p>
          <w:p w14:paraId="4C773A24"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Safe hunting-gathering activity without heat exposure</w:t>
            </w:r>
          </w:p>
        </w:tc>
        <w:tc>
          <w:tcPr>
            <w:tcW w:w="1342" w:type="dxa"/>
            <w:tcBorders>
              <w:top w:val="single" w:sz="8" w:space="0" w:color="808080" w:themeColor="background1" w:themeShade="80"/>
              <w:left w:val="nil"/>
              <w:bottom w:val="nil"/>
              <w:right w:val="nil"/>
            </w:tcBorders>
            <w:vAlign w:val="center"/>
          </w:tcPr>
          <w:p w14:paraId="14FE4621"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p>
        </w:tc>
        <w:tc>
          <w:tcPr>
            <w:tcW w:w="926" w:type="dxa"/>
            <w:tcBorders>
              <w:top w:val="single" w:sz="8" w:space="0" w:color="808080" w:themeColor="background1" w:themeShade="80"/>
              <w:left w:val="nil"/>
              <w:bottom w:val="nil"/>
              <w:right w:val="nil"/>
            </w:tcBorders>
            <w:vAlign w:val="center"/>
          </w:tcPr>
          <w:p w14:paraId="79D52BAA"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p>
        </w:tc>
        <w:tc>
          <w:tcPr>
            <w:tcW w:w="0" w:type="dxa"/>
            <w:tcBorders>
              <w:top w:val="single" w:sz="8" w:space="0" w:color="808080" w:themeColor="background1" w:themeShade="80"/>
              <w:left w:val="nil"/>
              <w:bottom w:val="nil"/>
              <w:right w:val="nil"/>
            </w:tcBorders>
            <w:vAlign w:val="center"/>
          </w:tcPr>
          <w:p w14:paraId="01F90422"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p>
        </w:tc>
      </w:tr>
      <w:tr w:rsidR="009440A1" w:rsidRPr="005A14BF" w14:paraId="22E64B91" w14:textId="77777777" w:rsidTr="00594B2C">
        <w:trPr>
          <w:trHeight w:val="340"/>
        </w:trPr>
        <w:tc>
          <w:tcPr>
            <w:cnfStyle w:val="001000000000" w:firstRow="0" w:lastRow="0" w:firstColumn="1" w:lastColumn="0" w:oddVBand="0" w:evenVBand="0" w:oddHBand="0" w:evenHBand="0" w:firstRowFirstColumn="0" w:firstRowLastColumn="0" w:lastRowFirstColumn="0" w:lastRowLastColumn="0"/>
            <w:tcW w:w="0" w:type="dxa"/>
            <w:tcBorders>
              <w:top w:val="nil"/>
              <w:left w:val="nil"/>
              <w:bottom w:val="nil"/>
              <w:right w:val="nil"/>
            </w:tcBorders>
            <w:shd w:val="clear" w:color="auto" w:fill="D9F2D0" w:themeFill="accent6" w:themeFillTint="33"/>
            <w:vAlign w:val="center"/>
          </w:tcPr>
          <w:p w14:paraId="76ECA64A" w14:textId="77777777" w:rsidR="009440A1" w:rsidRPr="005A14BF" w:rsidRDefault="009440A1" w:rsidP="00594B2C">
            <w:pPr>
              <w:widowControl/>
              <w:jc w:val="left"/>
              <w:rPr>
                <w:rFonts w:ascii="Times New Roman" w:hAnsi="Times New Roman" w:cs="Times New Roman"/>
                <w:sz w:val="15"/>
                <w:szCs w:val="15"/>
              </w:rPr>
            </w:pPr>
            <w:r w:rsidRPr="005A14BF">
              <w:rPr>
                <w:rFonts w:ascii="Times New Roman" w:hAnsi="Times New Roman" w:cs="Times New Roman"/>
                <w:sz w:val="15"/>
                <w:szCs w:val="15"/>
              </w:rPr>
              <w:t>Not habitable (too hot)</w:t>
            </w:r>
          </w:p>
        </w:tc>
        <w:tc>
          <w:tcPr>
            <w:tcW w:w="0" w:type="dxa"/>
            <w:tcBorders>
              <w:top w:val="nil"/>
              <w:left w:val="nil"/>
              <w:bottom w:val="nil"/>
              <w:right w:val="nil"/>
            </w:tcBorders>
            <w:shd w:val="clear" w:color="auto" w:fill="D9F2D0" w:themeFill="accent6" w:themeFillTint="33"/>
            <w:vAlign w:val="center"/>
          </w:tcPr>
          <w:p w14:paraId="6FB450ED"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p>
        </w:tc>
        <w:tc>
          <w:tcPr>
            <w:tcW w:w="1342" w:type="dxa"/>
            <w:tcBorders>
              <w:top w:val="nil"/>
              <w:left w:val="nil"/>
              <w:bottom w:val="nil"/>
              <w:right w:val="nil"/>
            </w:tcBorders>
            <w:shd w:val="clear" w:color="auto" w:fill="D9F2D0" w:themeFill="accent6" w:themeFillTint="33"/>
            <w:vAlign w:val="center"/>
          </w:tcPr>
          <w:p w14:paraId="7391919A"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p>
        </w:tc>
        <w:tc>
          <w:tcPr>
            <w:tcW w:w="926" w:type="dxa"/>
            <w:tcBorders>
              <w:top w:val="nil"/>
              <w:left w:val="nil"/>
              <w:bottom w:val="nil"/>
              <w:right w:val="nil"/>
            </w:tcBorders>
            <w:shd w:val="clear" w:color="auto" w:fill="D9F2D0" w:themeFill="accent6" w:themeFillTint="33"/>
            <w:vAlign w:val="center"/>
          </w:tcPr>
          <w:p w14:paraId="328BA460"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p>
        </w:tc>
        <w:tc>
          <w:tcPr>
            <w:tcW w:w="0" w:type="dxa"/>
            <w:tcBorders>
              <w:top w:val="nil"/>
              <w:left w:val="nil"/>
              <w:bottom w:val="nil"/>
              <w:right w:val="nil"/>
            </w:tcBorders>
            <w:shd w:val="clear" w:color="auto" w:fill="D9F2D0" w:themeFill="accent6" w:themeFillTint="33"/>
            <w:vAlign w:val="center"/>
          </w:tcPr>
          <w:p w14:paraId="322DD237"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p>
        </w:tc>
      </w:tr>
      <w:tr w:rsidR="009440A1" w:rsidRPr="005A14BF" w14:paraId="1C6FEC0A" w14:textId="77777777" w:rsidTr="00594B2C">
        <w:trPr>
          <w:trHeight w:val="680"/>
        </w:trPr>
        <w:tc>
          <w:tcPr>
            <w:cnfStyle w:val="001000000000" w:firstRow="0" w:lastRow="0" w:firstColumn="1" w:lastColumn="0" w:oddVBand="0" w:evenVBand="0" w:oddHBand="0" w:evenHBand="0" w:firstRowFirstColumn="0" w:firstRowLastColumn="0" w:lastRowFirstColumn="0" w:lastRowLastColumn="0"/>
            <w:tcW w:w="0" w:type="dxa"/>
            <w:tcBorders>
              <w:top w:val="nil"/>
              <w:left w:val="nil"/>
              <w:bottom w:val="nil"/>
              <w:right w:val="nil"/>
            </w:tcBorders>
            <w:vAlign w:val="center"/>
          </w:tcPr>
          <w:p w14:paraId="77EDCD5E" w14:textId="77777777" w:rsidR="009440A1" w:rsidRPr="005A14BF" w:rsidRDefault="009440A1" w:rsidP="00594B2C">
            <w:pPr>
              <w:widowControl/>
              <w:tabs>
                <w:tab w:val="left" w:pos="317"/>
              </w:tabs>
              <w:ind w:left="178" w:hanging="142"/>
              <w:jc w:val="left"/>
              <w:rPr>
                <w:rFonts w:ascii="Times New Roman" w:hAnsi="Times New Roman" w:cs="Times New Roman"/>
                <w:b w:val="0"/>
                <w:bCs w:val="0"/>
                <w:sz w:val="15"/>
                <w:szCs w:val="15"/>
              </w:rPr>
            </w:pPr>
            <w:r w:rsidRPr="005A14BF">
              <w:rPr>
                <w:rFonts w:ascii="Times New Roman" w:hAnsi="Times New Roman" w:cs="Times New Roman"/>
                <w:b w:val="0"/>
                <w:bCs w:val="0"/>
                <w:sz w:val="15"/>
                <w:szCs w:val="15"/>
              </w:rPr>
              <w:t>-Beyond the limit to engaging in hunting-gathering activities</w:t>
            </w:r>
          </w:p>
        </w:tc>
        <w:tc>
          <w:tcPr>
            <w:tcW w:w="0" w:type="dxa"/>
            <w:tcBorders>
              <w:top w:val="nil"/>
              <w:left w:val="nil"/>
              <w:bottom w:val="nil"/>
              <w:right w:val="nil"/>
            </w:tcBorders>
            <w:vAlign w:val="center"/>
          </w:tcPr>
          <w:p w14:paraId="78EC8B3A"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M</w:t>
            </w:r>
            <w:r w:rsidRPr="005A14BF">
              <w:rPr>
                <w:rFonts w:ascii="Times New Roman" w:hAnsi="Times New Roman" w:cs="Times New Roman"/>
                <w:sz w:val="15"/>
                <w:szCs w:val="15"/>
                <w:vertAlign w:val="subscript"/>
              </w:rPr>
              <w:t>METs</w:t>
            </w:r>
            <w:r w:rsidRPr="005A14BF">
              <w:rPr>
                <w:rFonts w:ascii="Times New Roman" w:hAnsi="Times New Roman" w:cs="Times New Roman"/>
                <w:sz w:val="15"/>
                <w:szCs w:val="15"/>
              </w:rPr>
              <w:t>: from 1.5 to 3.0 METs</w:t>
            </w:r>
          </w:p>
          <w:p w14:paraId="25A6287B"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Unable to engage in hunting-gathering activities outdoors for 3-hours due to heat stress</w:t>
            </w:r>
          </w:p>
        </w:tc>
        <w:tc>
          <w:tcPr>
            <w:tcW w:w="1342" w:type="dxa"/>
            <w:tcBorders>
              <w:top w:val="nil"/>
              <w:left w:val="nil"/>
              <w:bottom w:val="nil"/>
              <w:right w:val="nil"/>
            </w:tcBorders>
            <w:vAlign w:val="center"/>
          </w:tcPr>
          <w:p w14:paraId="726BCCA0"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31.2 ºC</w:t>
            </w:r>
          </w:p>
          <w:p w14:paraId="2C95FD14"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[29.8~34.0]</w:t>
            </w:r>
          </w:p>
        </w:tc>
        <w:tc>
          <w:tcPr>
            <w:tcW w:w="926" w:type="dxa"/>
            <w:tcBorders>
              <w:top w:val="nil"/>
              <w:left w:val="nil"/>
              <w:bottom w:val="nil"/>
              <w:right w:val="nil"/>
            </w:tcBorders>
            <w:vAlign w:val="center"/>
          </w:tcPr>
          <w:p w14:paraId="111AB1EC"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30.9 ºC</w:t>
            </w:r>
          </w:p>
          <w:p w14:paraId="4828736A"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[29.7~33.2]</w:t>
            </w:r>
          </w:p>
        </w:tc>
        <w:tc>
          <w:tcPr>
            <w:tcW w:w="0" w:type="dxa"/>
            <w:tcBorders>
              <w:top w:val="nil"/>
              <w:left w:val="nil"/>
              <w:bottom w:val="nil"/>
              <w:right w:val="nil"/>
            </w:tcBorders>
            <w:vAlign w:val="center"/>
          </w:tcPr>
          <w:p w14:paraId="52E08AB0"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30.1 ºC</w:t>
            </w:r>
          </w:p>
          <w:p w14:paraId="0B357255"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[29.9~32.3]</w:t>
            </w:r>
          </w:p>
        </w:tc>
      </w:tr>
      <w:tr w:rsidR="009440A1" w:rsidRPr="005A14BF" w14:paraId="2D88F045" w14:textId="77777777" w:rsidTr="00594B2C">
        <w:trPr>
          <w:trHeight w:val="680"/>
        </w:trPr>
        <w:tc>
          <w:tcPr>
            <w:cnfStyle w:val="001000000000" w:firstRow="0" w:lastRow="0" w:firstColumn="1" w:lastColumn="0" w:oddVBand="0" w:evenVBand="0" w:oddHBand="0" w:evenHBand="0" w:firstRowFirstColumn="0" w:firstRowLastColumn="0" w:lastRowFirstColumn="0" w:lastRowLastColumn="0"/>
            <w:tcW w:w="0" w:type="dxa"/>
            <w:tcBorders>
              <w:top w:val="nil"/>
              <w:left w:val="nil"/>
              <w:bottom w:val="nil"/>
              <w:right w:val="nil"/>
            </w:tcBorders>
            <w:shd w:val="clear" w:color="auto" w:fill="D9F2D0" w:themeFill="accent6" w:themeFillTint="33"/>
            <w:vAlign w:val="center"/>
          </w:tcPr>
          <w:p w14:paraId="0CBF0837" w14:textId="77777777" w:rsidR="009440A1" w:rsidRPr="005A14BF" w:rsidRDefault="009440A1" w:rsidP="00594B2C">
            <w:pPr>
              <w:widowControl/>
              <w:tabs>
                <w:tab w:val="left" w:pos="317"/>
              </w:tabs>
              <w:ind w:left="317" w:hanging="281"/>
              <w:jc w:val="left"/>
              <w:rPr>
                <w:rFonts w:ascii="Times New Roman" w:hAnsi="Times New Roman" w:cs="Times New Roman"/>
                <w:sz w:val="15"/>
                <w:szCs w:val="15"/>
              </w:rPr>
            </w:pPr>
            <w:r w:rsidRPr="005A14BF">
              <w:rPr>
                <w:rFonts w:ascii="Times New Roman" w:hAnsi="Times New Roman" w:cs="Times New Roman"/>
                <w:b w:val="0"/>
                <w:bCs w:val="0"/>
                <w:sz w:val="15"/>
                <w:szCs w:val="15"/>
              </w:rPr>
              <w:t>-Beyond liveability</w:t>
            </w:r>
          </w:p>
          <w:p w14:paraId="17AACB86" w14:textId="77777777" w:rsidR="009440A1" w:rsidRPr="005A14BF" w:rsidRDefault="009440A1" w:rsidP="00594B2C">
            <w:pPr>
              <w:widowControl/>
              <w:tabs>
                <w:tab w:val="left" w:pos="317"/>
              </w:tabs>
              <w:ind w:left="317" w:hanging="281"/>
              <w:jc w:val="left"/>
              <w:rPr>
                <w:rFonts w:ascii="Times New Roman" w:hAnsi="Times New Roman" w:cs="Times New Roman"/>
                <w:b w:val="0"/>
                <w:bCs w:val="0"/>
                <w:sz w:val="15"/>
                <w:szCs w:val="15"/>
              </w:rPr>
            </w:pPr>
            <w:r w:rsidRPr="005A14BF">
              <w:rPr>
                <w:rFonts w:ascii="Times New Roman" w:hAnsi="Times New Roman" w:cs="Times New Roman"/>
                <w:b w:val="0"/>
                <w:bCs w:val="0"/>
                <w:sz w:val="15"/>
                <w:szCs w:val="15"/>
              </w:rPr>
              <w:t xml:space="preserve">  (liveable limit)</w:t>
            </w:r>
          </w:p>
        </w:tc>
        <w:tc>
          <w:tcPr>
            <w:tcW w:w="0" w:type="dxa"/>
            <w:tcBorders>
              <w:top w:val="nil"/>
              <w:left w:val="nil"/>
              <w:bottom w:val="nil"/>
              <w:right w:val="nil"/>
            </w:tcBorders>
            <w:shd w:val="clear" w:color="auto" w:fill="D9F2D0" w:themeFill="accent6" w:themeFillTint="33"/>
            <w:vAlign w:val="center"/>
          </w:tcPr>
          <w:p w14:paraId="0E4E873C"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M</w:t>
            </w:r>
            <w:r w:rsidRPr="005A14BF">
              <w:rPr>
                <w:rFonts w:ascii="Times New Roman" w:hAnsi="Times New Roman" w:cs="Times New Roman"/>
                <w:sz w:val="15"/>
                <w:szCs w:val="15"/>
                <w:vertAlign w:val="subscript"/>
              </w:rPr>
              <w:t>METs</w:t>
            </w:r>
            <w:r w:rsidRPr="005A14BF">
              <w:rPr>
                <w:rFonts w:ascii="Times New Roman" w:hAnsi="Times New Roman" w:cs="Times New Roman"/>
                <w:sz w:val="15"/>
                <w:szCs w:val="15"/>
              </w:rPr>
              <w:t xml:space="preserve"> &lt; 1.5 METs</w:t>
            </w:r>
          </w:p>
          <w:p w14:paraId="75A6BB12"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Unable to engage in any activities outdoors for 3-hours due to heat stress</w:t>
            </w:r>
          </w:p>
        </w:tc>
        <w:tc>
          <w:tcPr>
            <w:tcW w:w="1342" w:type="dxa"/>
            <w:tcBorders>
              <w:top w:val="nil"/>
              <w:left w:val="nil"/>
              <w:bottom w:val="nil"/>
              <w:right w:val="nil"/>
            </w:tcBorders>
            <w:shd w:val="clear" w:color="auto" w:fill="D9F2D0" w:themeFill="accent6" w:themeFillTint="33"/>
            <w:vAlign w:val="center"/>
          </w:tcPr>
          <w:p w14:paraId="18639D2C"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34.5 ºC</w:t>
            </w:r>
          </w:p>
          <w:p w14:paraId="40916FBC"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[32.9~37.6]</w:t>
            </w:r>
          </w:p>
        </w:tc>
        <w:tc>
          <w:tcPr>
            <w:tcW w:w="926" w:type="dxa"/>
            <w:tcBorders>
              <w:top w:val="nil"/>
              <w:left w:val="nil"/>
              <w:bottom w:val="nil"/>
              <w:right w:val="nil"/>
            </w:tcBorders>
            <w:shd w:val="clear" w:color="auto" w:fill="D9F2D0" w:themeFill="accent6" w:themeFillTint="33"/>
            <w:vAlign w:val="center"/>
          </w:tcPr>
          <w:p w14:paraId="26785577"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33.8 ºC</w:t>
            </w:r>
          </w:p>
          <w:p w14:paraId="71738BB9"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[32.4~36.4]</w:t>
            </w:r>
          </w:p>
        </w:tc>
        <w:tc>
          <w:tcPr>
            <w:tcW w:w="0" w:type="dxa"/>
            <w:tcBorders>
              <w:top w:val="nil"/>
              <w:left w:val="nil"/>
              <w:bottom w:val="nil"/>
              <w:right w:val="nil"/>
            </w:tcBorders>
            <w:shd w:val="clear" w:color="auto" w:fill="D9F2D0" w:themeFill="accent6" w:themeFillTint="33"/>
            <w:vAlign w:val="center"/>
          </w:tcPr>
          <w:p w14:paraId="78C41BB5"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33.4 ºC</w:t>
            </w:r>
          </w:p>
          <w:p w14:paraId="1667F75A"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[32.1~35.9]</w:t>
            </w:r>
          </w:p>
        </w:tc>
      </w:tr>
      <w:tr w:rsidR="009440A1" w:rsidRPr="005A14BF" w14:paraId="7ED8B406" w14:textId="77777777" w:rsidTr="00594B2C">
        <w:trPr>
          <w:trHeight w:val="680"/>
        </w:trPr>
        <w:tc>
          <w:tcPr>
            <w:cnfStyle w:val="001000000000" w:firstRow="0" w:lastRow="0" w:firstColumn="1" w:lastColumn="0" w:oddVBand="0" w:evenVBand="0" w:oddHBand="0" w:evenHBand="0" w:firstRowFirstColumn="0" w:firstRowLastColumn="0" w:lastRowFirstColumn="0" w:lastRowLastColumn="0"/>
            <w:tcW w:w="0" w:type="dxa"/>
            <w:tcBorders>
              <w:top w:val="nil"/>
              <w:left w:val="nil"/>
              <w:bottom w:val="nil"/>
              <w:right w:val="nil"/>
            </w:tcBorders>
            <w:vAlign w:val="center"/>
          </w:tcPr>
          <w:p w14:paraId="79763FDC" w14:textId="77777777" w:rsidR="009440A1" w:rsidRPr="005A14BF" w:rsidRDefault="009440A1" w:rsidP="00594B2C">
            <w:pPr>
              <w:widowControl/>
              <w:tabs>
                <w:tab w:val="left" w:pos="317"/>
              </w:tabs>
              <w:ind w:left="317" w:hanging="281"/>
              <w:jc w:val="left"/>
              <w:rPr>
                <w:rFonts w:ascii="Times New Roman" w:hAnsi="Times New Roman" w:cs="Times New Roman"/>
                <w:sz w:val="15"/>
                <w:szCs w:val="15"/>
              </w:rPr>
            </w:pPr>
            <w:r w:rsidRPr="005A14BF">
              <w:rPr>
                <w:rFonts w:ascii="Times New Roman" w:hAnsi="Times New Roman" w:cs="Times New Roman"/>
                <w:b w:val="0"/>
                <w:bCs w:val="0"/>
                <w:sz w:val="15"/>
                <w:szCs w:val="15"/>
              </w:rPr>
              <w:t>-Beyond survivability</w:t>
            </w:r>
          </w:p>
          <w:p w14:paraId="487CCEFC" w14:textId="77777777" w:rsidR="009440A1" w:rsidRPr="005A14BF" w:rsidRDefault="009440A1" w:rsidP="00594B2C">
            <w:pPr>
              <w:widowControl/>
              <w:tabs>
                <w:tab w:val="left" w:pos="317"/>
              </w:tabs>
              <w:ind w:left="317" w:hanging="281"/>
              <w:jc w:val="left"/>
              <w:rPr>
                <w:rFonts w:ascii="Times New Roman" w:hAnsi="Times New Roman" w:cs="Times New Roman"/>
                <w:b w:val="0"/>
                <w:bCs w:val="0"/>
                <w:sz w:val="15"/>
                <w:szCs w:val="15"/>
              </w:rPr>
            </w:pPr>
            <w:r w:rsidRPr="005A14BF">
              <w:rPr>
                <w:rFonts w:ascii="Times New Roman" w:hAnsi="Times New Roman" w:cs="Times New Roman"/>
                <w:b w:val="0"/>
                <w:bCs w:val="0"/>
                <w:sz w:val="15"/>
                <w:szCs w:val="15"/>
              </w:rPr>
              <w:t xml:space="preserve">  (survivable limit)</w:t>
            </w:r>
          </w:p>
        </w:tc>
        <w:tc>
          <w:tcPr>
            <w:tcW w:w="0" w:type="dxa"/>
            <w:tcBorders>
              <w:top w:val="nil"/>
              <w:left w:val="nil"/>
              <w:bottom w:val="nil"/>
              <w:right w:val="nil"/>
            </w:tcBorders>
            <w:vAlign w:val="center"/>
          </w:tcPr>
          <w:p w14:paraId="771D8152"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Internal body temperature cannot be maintained when exposed to outside conditions for 3-hours</w:t>
            </w:r>
          </w:p>
          <w:p w14:paraId="41F71695"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Causing heat stroke death</w:t>
            </w:r>
          </w:p>
        </w:tc>
        <w:tc>
          <w:tcPr>
            <w:tcW w:w="1342" w:type="dxa"/>
            <w:tcBorders>
              <w:top w:val="nil"/>
              <w:left w:val="nil"/>
              <w:bottom w:val="nil"/>
              <w:right w:val="nil"/>
            </w:tcBorders>
            <w:vAlign w:val="center"/>
          </w:tcPr>
          <w:p w14:paraId="3F2A2C45"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37.3 ºC</w:t>
            </w:r>
          </w:p>
          <w:p w14:paraId="4FF11A3F"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[35.5~40.6]</w:t>
            </w:r>
          </w:p>
        </w:tc>
        <w:tc>
          <w:tcPr>
            <w:tcW w:w="926" w:type="dxa"/>
            <w:tcBorders>
              <w:top w:val="nil"/>
              <w:left w:val="nil"/>
              <w:bottom w:val="nil"/>
              <w:right w:val="nil"/>
            </w:tcBorders>
            <w:vAlign w:val="center"/>
          </w:tcPr>
          <w:p w14:paraId="6F88D227"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36.3 ºC</w:t>
            </w:r>
          </w:p>
          <w:p w14:paraId="6EF31841"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[39.1~34.8]</w:t>
            </w:r>
          </w:p>
        </w:tc>
        <w:tc>
          <w:tcPr>
            <w:tcW w:w="0" w:type="dxa"/>
            <w:tcBorders>
              <w:top w:val="nil"/>
              <w:left w:val="nil"/>
              <w:bottom w:val="nil"/>
              <w:right w:val="nil"/>
            </w:tcBorders>
            <w:vAlign w:val="center"/>
          </w:tcPr>
          <w:p w14:paraId="7EF659A4"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36.3 ºC</w:t>
            </w:r>
          </w:p>
          <w:p w14:paraId="4BD9D54C"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[34.8~39.1]</w:t>
            </w:r>
          </w:p>
        </w:tc>
      </w:tr>
      <w:tr w:rsidR="009440A1" w:rsidRPr="005A14BF" w14:paraId="3F10FEEE" w14:textId="77777777" w:rsidTr="00594B2C">
        <w:trPr>
          <w:trHeight w:val="680"/>
        </w:trPr>
        <w:tc>
          <w:tcPr>
            <w:cnfStyle w:val="001000000000" w:firstRow="0" w:lastRow="0" w:firstColumn="1" w:lastColumn="0" w:oddVBand="0" w:evenVBand="0" w:oddHBand="0" w:evenHBand="0" w:firstRowFirstColumn="0" w:firstRowLastColumn="0" w:lastRowFirstColumn="0" w:lastRowLastColumn="0"/>
            <w:tcW w:w="2268" w:type="dxa"/>
            <w:tcBorders>
              <w:top w:val="nil"/>
              <w:left w:val="nil"/>
              <w:bottom w:val="single" w:sz="8" w:space="0" w:color="808080" w:themeColor="background1" w:themeShade="80"/>
              <w:right w:val="nil"/>
            </w:tcBorders>
            <w:shd w:val="clear" w:color="auto" w:fill="D9F2D0" w:themeFill="accent6" w:themeFillTint="33"/>
            <w:vAlign w:val="center"/>
          </w:tcPr>
          <w:p w14:paraId="5A7F4E34" w14:textId="77777777" w:rsidR="009440A1" w:rsidRPr="005A14BF" w:rsidRDefault="009440A1" w:rsidP="00594B2C">
            <w:pPr>
              <w:widowControl/>
              <w:jc w:val="left"/>
              <w:rPr>
                <w:rFonts w:ascii="Times New Roman" w:hAnsi="Times New Roman" w:cs="Times New Roman"/>
                <w:sz w:val="15"/>
                <w:szCs w:val="15"/>
              </w:rPr>
            </w:pPr>
            <w:r w:rsidRPr="005A14BF">
              <w:rPr>
                <w:rFonts w:ascii="Times New Roman" w:hAnsi="Times New Roman" w:cs="Times New Roman"/>
                <w:sz w:val="15"/>
                <w:szCs w:val="15"/>
              </w:rPr>
              <w:t>Not habitable (too dry)</w:t>
            </w:r>
          </w:p>
        </w:tc>
        <w:tc>
          <w:tcPr>
            <w:tcW w:w="3458" w:type="dxa"/>
            <w:tcBorders>
              <w:top w:val="nil"/>
              <w:left w:val="nil"/>
              <w:bottom w:val="single" w:sz="8" w:space="0" w:color="808080" w:themeColor="background1" w:themeShade="80"/>
              <w:right w:val="nil"/>
            </w:tcBorders>
            <w:shd w:val="clear" w:color="auto" w:fill="D9F2D0" w:themeFill="accent6" w:themeFillTint="33"/>
            <w:vAlign w:val="center"/>
          </w:tcPr>
          <w:p w14:paraId="60E7FCD3"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 xml:space="preserve">Max rainfall ≤ 28.1 mm/month </w:t>
            </w:r>
          </w:p>
          <w:p w14:paraId="3EDB25FC"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No available to sufficient food resources</w:t>
            </w:r>
          </w:p>
        </w:tc>
        <w:tc>
          <w:tcPr>
            <w:tcW w:w="3402" w:type="dxa"/>
            <w:gridSpan w:val="3"/>
            <w:tcBorders>
              <w:top w:val="nil"/>
              <w:left w:val="nil"/>
              <w:bottom w:val="single" w:sz="8" w:space="0" w:color="808080" w:themeColor="background1" w:themeShade="80"/>
              <w:right w:val="nil"/>
            </w:tcBorders>
            <w:shd w:val="clear" w:color="auto" w:fill="D9F2D0" w:themeFill="accent6" w:themeFillTint="33"/>
            <w:vAlign w:val="center"/>
          </w:tcPr>
          <w:p w14:paraId="784D0DA2" w14:textId="77777777" w:rsidR="009440A1" w:rsidRPr="005A14BF" w:rsidRDefault="009440A1" w:rsidP="00594B2C">
            <w:pPr>
              <w:widowControl/>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5A14BF">
              <w:rPr>
                <w:rFonts w:ascii="Times New Roman" w:hAnsi="Times New Roman" w:cs="Times New Roman"/>
                <w:sz w:val="15"/>
                <w:szCs w:val="15"/>
              </w:rPr>
              <w:t>28.1 mm/month</w:t>
            </w:r>
          </w:p>
        </w:tc>
      </w:tr>
    </w:tbl>
    <w:p w14:paraId="0A10CCB4" w14:textId="77777777" w:rsidR="009440A1" w:rsidRPr="005A14BF" w:rsidRDefault="009440A1" w:rsidP="009440A1">
      <w:pPr>
        <w:widowControl/>
        <w:jc w:val="left"/>
        <w:rPr>
          <w:rFonts w:ascii="Times New Roman" w:hAnsi="Times New Roman" w:cs="Times New Roman"/>
        </w:rPr>
      </w:pPr>
      <w:r w:rsidRPr="005A14BF">
        <w:rPr>
          <w:rFonts w:ascii="Times New Roman" w:hAnsi="Times New Roman" w:cs="Times New Roman"/>
        </w:rPr>
        <w:t>*The SAT limit of habitability is estimated using the median value of present-day relative humidity (59.6%) and its 1σ-level percentiles (40.2</w:t>
      </w:r>
      <w:r w:rsidRPr="005A14BF">
        <w:rPr>
          <w:rFonts w:ascii="Times New Roman" w:hAnsi="Times New Roman" w:cs="Times New Roman"/>
          <w:sz w:val="15"/>
          <w:szCs w:val="15"/>
        </w:rPr>
        <w:t>~</w:t>
      </w:r>
      <w:r w:rsidRPr="005A14BF">
        <w:rPr>
          <w:rFonts w:ascii="Times New Roman" w:hAnsi="Times New Roman" w:cs="Times New Roman"/>
        </w:rPr>
        <w:t>72.2%) in northeastern Africa and the Arabian Peninsula from 1981</w:t>
      </w:r>
      <w:r w:rsidRPr="005A14BF">
        <w:rPr>
          <w:rFonts w:ascii="Times New Roman" w:hAnsi="Times New Roman" w:cs="Times New Roman"/>
          <w:sz w:val="15"/>
          <w:szCs w:val="15"/>
        </w:rPr>
        <w:t>~</w:t>
      </w:r>
      <w:r w:rsidRPr="005A14BF">
        <w:rPr>
          <w:rFonts w:ascii="Times New Roman" w:hAnsi="Times New Roman" w:cs="Times New Roman"/>
        </w:rPr>
        <w:t xml:space="preserve">2000. Values in brackets indicate the 1σ-level percentiles of the estimated SAT limit, inferred from the 1σ-level percentiles of relative humidity. </w:t>
      </w:r>
    </w:p>
    <w:p w14:paraId="1348C1E7"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0A1"/>
    <w:rsid w:val="00331A6B"/>
    <w:rsid w:val="0050469D"/>
    <w:rsid w:val="00755780"/>
    <w:rsid w:val="00857596"/>
    <w:rsid w:val="009440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2F3E2"/>
  <w15:chartTrackingRefBased/>
  <w15:docId w15:val="{E1F2A4FF-71D3-4017-A75C-4379DE852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0A1"/>
    <w:pPr>
      <w:widowControl w:val="0"/>
      <w:spacing w:after="0" w:line="240" w:lineRule="auto"/>
      <w:jc w:val="both"/>
    </w:pPr>
    <w:rPr>
      <w:rFonts w:eastAsiaTheme="minorEastAsia"/>
      <w:sz w:val="21"/>
      <w:szCs w:val="24"/>
      <w:lang w:val="en-GB" w:eastAsia="ja-JP"/>
      <w14:ligatures w14:val="none"/>
    </w:rPr>
  </w:style>
  <w:style w:type="paragraph" w:styleId="Heading1">
    <w:name w:val="heading 1"/>
    <w:basedOn w:val="Normal"/>
    <w:next w:val="Normal"/>
    <w:link w:val="Heading1Char"/>
    <w:uiPriority w:val="9"/>
    <w:qFormat/>
    <w:rsid w:val="009440A1"/>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9440A1"/>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9440A1"/>
    <w:pPr>
      <w:keepNext/>
      <w:keepLines/>
      <w:widowControl/>
      <w:spacing w:before="160" w:after="80" w:line="259" w:lineRule="auto"/>
      <w:jc w:val="left"/>
      <w:outlineLvl w:val="2"/>
    </w:pPr>
    <w:rPr>
      <w:rFonts w:eastAsiaTheme="majorEastAsia" w:cstheme="majorBidi"/>
      <w:color w:val="0F4761" w:themeColor="accent1" w:themeShade="BF"/>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9440A1"/>
    <w:pPr>
      <w:keepNext/>
      <w:keepLines/>
      <w:widowControl/>
      <w:spacing w:before="80" w:after="40" w:line="259" w:lineRule="auto"/>
      <w:jc w:val="left"/>
      <w:outlineLvl w:val="3"/>
    </w:pPr>
    <w:rPr>
      <w:rFonts w:eastAsiaTheme="majorEastAsia" w:cstheme="majorBidi"/>
      <w:i/>
      <w:iCs/>
      <w:color w:val="0F4761" w:themeColor="accent1" w:themeShade="BF"/>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9440A1"/>
    <w:pPr>
      <w:keepNext/>
      <w:keepLines/>
      <w:widowControl/>
      <w:spacing w:before="80" w:after="40" w:line="259" w:lineRule="auto"/>
      <w:jc w:val="left"/>
      <w:outlineLvl w:val="4"/>
    </w:pPr>
    <w:rPr>
      <w:rFonts w:eastAsiaTheme="majorEastAsia" w:cstheme="majorBidi"/>
      <w:color w:val="0F4761" w:themeColor="accent1" w:themeShade="BF"/>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9440A1"/>
    <w:pPr>
      <w:keepNext/>
      <w:keepLines/>
      <w:widowControl/>
      <w:spacing w:before="40" w:line="259" w:lineRule="auto"/>
      <w:jc w:val="left"/>
      <w:outlineLvl w:val="5"/>
    </w:pPr>
    <w:rPr>
      <w:rFonts w:eastAsiaTheme="majorEastAsia" w:cstheme="majorBidi"/>
      <w:i/>
      <w:iCs/>
      <w:color w:val="595959" w:themeColor="text1" w:themeTint="A6"/>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9440A1"/>
    <w:pPr>
      <w:keepNext/>
      <w:keepLines/>
      <w:widowControl/>
      <w:spacing w:before="40" w:line="259" w:lineRule="auto"/>
      <w:jc w:val="left"/>
      <w:outlineLvl w:val="6"/>
    </w:pPr>
    <w:rPr>
      <w:rFonts w:eastAsiaTheme="majorEastAsia" w:cstheme="majorBidi"/>
      <w:color w:val="595959" w:themeColor="text1" w:themeTint="A6"/>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9440A1"/>
    <w:pPr>
      <w:keepNext/>
      <w:keepLines/>
      <w:widowControl/>
      <w:spacing w:line="259" w:lineRule="auto"/>
      <w:jc w:val="left"/>
      <w:outlineLvl w:val="7"/>
    </w:pPr>
    <w:rPr>
      <w:rFonts w:eastAsiaTheme="majorEastAsia" w:cstheme="majorBidi"/>
      <w:i/>
      <w:iCs/>
      <w:color w:val="272727" w:themeColor="text1" w:themeTint="D8"/>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9440A1"/>
    <w:pPr>
      <w:keepNext/>
      <w:keepLines/>
      <w:widowControl/>
      <w:spacing w:line="259" w:lineRule="auto"/>
      <w:jc w:val="left"/>
      <w:outlineLvl w:val="8"/>
    </w:pPr>
    <w:rPr>
      <w:rFonts w:eastAsiaTheme="majorEastAsia" w:cstheme="majorBidi"/>
      <w:color w:val="272727" w:themeColor="text1" w:themeTint="D8"/>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40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40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40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40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40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40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40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40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40A1"/>
    <w:rPr>
      <w:rFonts w:eastAsiaTheme="majorEastAsia" w:cstheme="majorBidi"/>
      <w:color w:val="272727" w:themeColor="text1" w:themeTint="D8"/>
    </w:rPr>
  </w:style>
  <w:style w:type="paragraph" w:styleId="Title">
    <w:name w:val="Title"/>
    <w:basedOn w:val="Normal"/>
    <w:next w:val="Normal"/>
    <w:link w:val="TitleChar"/>
    <w:uiPriority w:val="10"/>
    <w:qFormat/>
    <w:rsid w:val="009440A1"/>
    <w:pPr>
      <w:widowControl/>
      <w:spacing w:after="80"/>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9440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40A1"/>
    <w:pPr>
      <w:widowControl/>
      <w:numPr>
        <w:ilvl w:val="1"/>
      </w:numPr>
      <w:spacing w:after="160" w:line="259" w:lineRule="auto"/>
      <w:jc w:val="left"/>
    </w:pPr>
    <w:rPr>
      <w:rFonts w:eastAsiaTheme="majorEastAsia" w:cstheme="majorBidi"/>
      <w:color w:val="595959" w:themeColor="text1" w:themeTint="A6"/>
      <w:spacing w:val="15"/>
      <w:sz w:val="28"/>
      <w:szCs w:val="28"/>
      <w:lang w:val="en-US" w:eastAsia="en-US"/>
      <w14:ligatures w14:val="standardContextual"/>
    </w:rPr>
  </w:style>
  <w:style w:type="character" w:customStyle="1" w:styleId="SubtitleChar">
    <w:name w:val="Subtitle Char"/>
    <w:basedOn w:val="DefaultParagraphFont"/>
    <w:link w:val="Subtitle"/>
    <w:uiPriority w:val="11"/>
    <w:rsid w:val="009440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40A1"/>
    <w:pPr>
      <w:widowControl/>
      <w:spacing w:before="160" w:after="160" w:line="259" w:lineRule="auto"/>
      <w:jc w:val="center"/>
    </w:pPr>
    <w:rPr>
      <w:rFonts w:eastAsiaTheme="minorHAnsi"/>
      <w:i/>
      <w:iCs/>
      <w:color w:val="404040" w:themeColor="text1" w:themeTint="BF"/>
      <w:sz w:val="22"/>
      <w:szCs w:val="22"/>
      <w:lang w:val="en-US" w:eastAsia="en-US"/>
      <w14:ligatures w14:val="standardContextual"/>
    </w:rPr>
  </w:style>
  <w:style w:type="character" w:customStyle="1" w:styleId="QuoteChar">
    <w:name w:val="Quote Char"/>
    <w:basedOn w:val="DefaultParagraphFont"/>
    <w:link w:val="Quote"/>
    <w:uiPriority w:val="29"/>
    <w:rsid w:val="009440A1"/>
    <w:rPr>
      <w:i/>
      <w:iCs/>
      <w:color w:val="404040" w:themeColor="text1" w:themeTint="BF"/>
    </w:rPr>
  </w:style>
  <w:style w:type="paragraph" w:styleId="ListParagraph">
    <w:name w:val="List Paragraph"/>
    <w:basedOn w:val="Normal"/>
    <w:uiPriority w:val="34"/>
    <w:qFormat/>
    <w:rsid w:val="009440A1"/>
    <w:pPr>
      <w:widowControl/>
      <w:spacing w:after="160" w:line="259" w:lineRule="auto"/>
      <w:ind w:left="720"/>
      <w:contextualSpacing/>
      <w:jc w:val="left"/>
    </w:pPr>
    <w:rPr>
      <w:rFonts w:eastAsiaTheme="minorHAnsi"/>
      <w:sz w:val="22"/>
      <w:szCs w:val="22"/>
      <w:lang w:val="en-US" w:eastAsia="en-US"/>
      <w14:ligatures w14:val="standardContextual"/>
    </w:rPr>
  </w:style>
  <w:style w:type="character" w:styleId="IntenseEmphasis">
    <w:name w:val="Intense Emphasis"/>
    <w:basedOn w:val="DefaultParagraphFont"/>
    <w:uiPriority w:val="21"/>
    <w:qFormat/>
    <w:rsid w:val="009440A1"/>
    <w:rPr>
      <w:i/>
      <w:iCs/>
      <w:color w:val="0F4761" w:themeColor="accent1" w:themeShade="BF"/>
    </w:rPr>
  </w:style>
  <w:style w:type="paragraph" w:styleId="IntenseQuote">
    <w:name w:val="Intense Quote"/>
    <w:basedOn w:val="Normal"/>
    <w:next w:val="Normal"/>
    <w:link w:val="IntenseQuoteChar"/>
    <w:uiPriority w:val="30"/>
    <w:qFormat/>
    <w:rsid w:val="009440A1"/>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9440A1"/>
    <w:rPr>
      <w:i/>
      <w:iCs/>
      <w:color w:val="0F4761" w:themeColor="accent1" w:themeShade="BF"/>
    </w:rPr>
  </w:style>
  <w:style w:type="character" w:styleId="IntenseReference">
    <w:name w:val="Intense Reference"/>
    <w:basedOn w:val="DefaultParagraphFont"/>
    <w:uiPriority w:val="32"/>
    <w:qFormat/>
    <w:rsid w:val="009440A1"/>
    <w:rPr>
      <w:b/>
      <w:bCs/>
      <w:smallCaps/>
      <w:color w:val="0F4761" w:themeColor="accent1" w:themeShade="BF"/>
      <w:spacing w:val="5"/>
    </w:rPr>
  </w:style>
  <w:style w:type="table" w:styleId="GridTable1Light">
    <w:name w:val="Grid Table 1 Light"/>
    <w:basedOn w:val="TableNormal"/>
    <w:uiPriority w:val="46"/>
    <w:rsid w:val="009440A1"/>
    <w:pPr>
      <w:spacing w:after="0" w:line="240" w:lineRule="auto"/>
    </w:pPr>
    <w:rPr>
      <w:rFonts w:eastAsiaTheme="minorEastAsia"/>
      <w:sz w:val="21"/>
      <w:szCs w:val="24"/>
      <w:lang w:eastAsia="ja-JP"/>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1281</Words>
  <Characters>7306</Characters>
  <Application>Microsoft Office Word</Application>
  <DocSecurity>0</DocSecurity>
  <Lines>60</Lines>
  <Paragraphs>17</Paragraphs>
  <ScaleCrop>false</ScaleCrop>
  <Company>Springer Nature</Company>
  <LinksUpToDate>false</LinksUpToDate>
  <CharactersWithSpaces>8570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2024-11-07T04:21:00Z</dcterms:created>
  <dcterms:modified xsi:type="dcterms:W3CDTF">2024-11-07T04:22:00Z</dcterms:modified>
</cp:coreProperties>
</file>