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3E85B" w14:textId="66F43EC9" w:rsidR="00D405DE" w:rsidRPr="004A2940" w:rsidRDefault="00D405DE" w:rsidP="00D405DE">
      <w:pPr>
        <w:pStyle w:val="1"/>
        <w:numPr>
          <w:ilvl w:val="0"/>
          <w:numId w:val="0"/>
        </w:numPr>
        <w:ind w:left="567" w:hanging="567"/>
      </w:pPr>
      <w:r w:rsidRPr="004A2940">
        <w:rPr>
          <w:bCs/>
        </w:rPr>
        <w:t>Supplementary</w:t>
      </w:r>
      <w:r w:rsidRPr="004A2940">
        <w:rPr>
          <w:lang w:eastAsia="zh-CN"/>
        </w:rPr>
        <w:t xml:space="preserve"> Figure legends</w:t>
      </w:r>
    </w:p>
    <w:p w14:paraId="4B9CF18B" w14:textId="295415C5" w:rsidR="00D405DE" w:rsidRPr="004A2940" w:rsidRDefault="00D405DE" w:rsidP="00D405DE">
      <w:pPr>
        <w:rPr>
          <w:rFonts w:eastAsia="宋体" w:cs="Times New Roman"/>
          <w:szCs w:val="24"/>
          <w:shd w:val="clear" w:color="auto" w:fill="FFFFFF"/>
          <w:lang w:eastAsia="zh-CN"/>
        </w:rPr>
      </w:pPr>
      <w:r w:rsidRPr="004A2940">
        <w:rPr>
          <w:rFonts w:cs="Times New Roman"/>
          <w:b/>
          <w:bCs/>
          <w:szCs w:val="24"/>
        </w:rPr>
        <w:t xml:space="preserve">Supplementary </w:t>
      </w:r>
      <w:r w:rsidRPr="004A2940">
        <w:rPr>
          <w:rFonts w:eastAsia="宋体" w:cs="Times New Roman"/>
          <w:b/>
          <w:bCs/>
          <w:szCs w:val="24"/>
          <w:lang w:eastAsia="zh-CN"/>
        </w:rPr>
        <w:t xml:space="preserve">Figure </w:t>
      </w:r>
      <w:r w:rsidRPr="004A2940">
        <w:rPr>
          <w:rFonts w:cs="Times New Roman"/>
          <w:b/>
          <w:bCs/>
          <w:szCs w:val="24"/>
        </w:rPr>
        <w:t>1</w:t>
      </w:r>
      <w:r w:rsidRPr="004A2940">
        <w:rPr>
          <w:rFonts w:eastAsia="微软雅黑" w:cs="Times New Roman"/>
          <w:b/>
          <w:bCs/>
          <w:szCs w:val="24"/>
          <w:lang w:eastAsia="zh-CN"/>
        </w:rPr>
        <w:t>.</w:t>
      </w:r>
      <w:r w:rsidRPr="004A2940">
        <w:rPr>
          <w:rFonts w:eastAsia="宋体" w:cs="Times New Roman"/>
          <w:b/>
          <w:bCs/>
          <w:szCs w:val="24"/>
          <w:shd w:val="clear" w:color="auto" w:fill="FFFFFF"/>
          <w:lang w:eastAsia="zh-CN"/>
        </w:rPr>
        <w:t xml:space="preserve"> </w:t>
      </w:r>
      <w:r w:rsidRPr="004A2940">
        <w:rPr>
          <w:rFonts w:eastAsia="宋体" w:cs="Times New Roman"/>
          <w:szCs w:val="24"/>
          <w:shd w:val="clear" w:color="auto" w:fill="FFFFFF"/>
          <w:lang w:eastAsia="zh-CN"/>
        </w:rPr>
        <w:t xml:space="preserve">The KEGG signaling pathway of </w:t>
      </w:r>
      <w:proofErr w:type="spellStart"/>
      <w:r w:rsidRPr="004A2940">
        <w:rPr>
          <w:rFonts w:eastAsia="宋体" w:cs="Times New Roman"/>
          <w:szCs w:val="24"/>
          <w:shd w:val="clear" w:color="auto" w:fill="FFFFFF"/>
          <w:lang w:eastAsia="zh-CN"/>
        </w:rPr>
        <w:t>eQTL</w:t>
      </w:r>
      <w:proofErr w:type="spellEnd"/>
      <w:r w:rsidRPr="004A2940">
        <w:rPr>
          <w:rFonts w:eastAsia="宋体" w:cs="Times New Roman"/>
          <w:szCs w:val="24"/>
          <w:shd w:val="clear" w:color="auto" w:fill="FFFFFF"/>
          <w:lang w:eastAsia="zh-CN"/>
        </w:rPr>
        <w:t xml:space="preserve">. The size of the dots represents the number of enriched genes; The color represents the </w:t>
      </w:r>
      <w:proofErr w:type="spellStart"/>
      <w:r w:rsidRPr="004A2940">
        <w:rPr>
          <w:rFonts w:eastAsia="宋体" w:cs="Times New Roman"/>
          <w:szCs w:val="24"/>
          <w:shd w:val="clear" w:color="auto" w:fill="FFFFFF"/>
          <w:lang w:eastAsia="zh-CN"/>
        </w:rPr>
        <w:t>P.value</w:t>
      </w:r>
      <w:proofErr w:type="spellEnd"/>
      <w:r w:rsidRPr="004A2940">
        <w:rPr>
          <w:rFonts w:eastAsia="宋体" w:cs="Times New Roman"/>
          <w:szCs w:val="24"/>
          <w:shd w:val="clear" w:color="auto" w:fill="FFFFFF"/>
          <w:lang w:eastAsia="zh-CN"/>
        </w:rPr>
        <w:t xml:space="preserve"> value.</w:t>
      </w:r>
    </w:p>
    <w:p w14:paraId="5EEB502A" w14:textId="77777777" w:rsidR="00D405DE" w:rsidRPr="004A2940" w:rsidRDefault="00D405DE" w:rsidP="00D405DE">
      <w:pPr>
        <w:pStyle w:val="a4"/>
        <w:rPr>
          <w:rFonts w:eastAsia="宋体" w:cs="Times New Roman"/>
          <w:sz w:val="24"/>
          <w:szCs w:val="24"/>
          <w:lang w:eastAsia="zh-CN"/>
        </w:rPr>
      </w:pPr>
      <w:r w:rsidRPr="004A2940">
        <w:rPr>
          <w:rFonts w:cs="Times New Roman"/>
          <w:b/>
          <w:bCs/>
          <w:sz w:val="24"/>
          <w:szCs w:val="24"/>
        </w:rPr>
        <w:t xml:space="preserve">Supplementary </w:t>
      </w:r>
      <w:r w:rsidRPr="004A2940">
        <w:rPr>
          <w:rFonts w:eastAsia="宋体" w:cs="Times New Roman"/>
          <w:b/>
          <w:bCs/>
          <w:sz w:val="24"/>
          <w:szCs w:val="24"/>
          <w:lang w:eastAsia="zh-CN"/>
        </w:rPr>
        <w:t xml:space="preserve">Figure </w:t>
      </w:r>
      <w:r w:rsidRPr="004A2940">
        <w:rPr>
          <w:rFonts w:cs="Times New Roman"/>
          <w:b/>
          <w:bCs/>
          <w:sz w:val="24"/>
          <w:szCs w:val="24"/>
        </w:rPr>
        <w:t>2.</w:t>
      </w:r>
      <w:r w:rsidRPr="004A2940">
        <w:rPr>
          <w:rFonts w:eastAsia="宋体" w:cs="Times New Roman"/>
          <w:b/>
          <w:bCs/>
          <w:sz w:val="24"/>
          <w:szCs w:val="24"/>
          <w:lang w:eastAsia="zh-CN"/>
        </w:rPr>
        <w:t xml:space="preserve"> </w:t>
      </w:r>
      <w:r w:rsidRPr="004A2940">
        <w:rPr>
          <w:rFonts w:eastAsia="宋体" w:cs="Times New Roman"/>
          <w:sz w:val="24"/>
          <w:szCs w:val="24"/>
          <w:lang w:eastAsia="zh-CN"/>
        </w:rPr>
        <w:t>Scatter plot of the correlation between key genes and breast cancer. The horizontal axis represents the effect of SNP on exposure, the vertical axis represents the effect of SNP on outcome, and the colored lines represent the fitting of different MR algorithms result. A regular slope of the line indicates a risk factor, while a negative slope indicates a safety factor.</w:t>
      </w:r>
    </w:p>
    <w:p w14:paraId="046F3FF7" w14:textId="77777777" w:rsidR="00D405DE" w:rsidRPr="004A2940" w:rsidRDefault="00D405DE" w:rsidP="00D405DE">
      <w:pPr>
        <w:pStyle w:val="a4"/>
        <w:rPr>
          <w:rFonts w:eastAsia="宋体" w:cs="Times New Roman"/>
          <w:sz w:val="24"/>
          <w:szCs w:val="24"/>
          <w:lang w:eastAsia="zh-CN"/>
        </w:rPr>
      </w:pPr>
      <w:r w:rsidRPr="004A2940">
        <w:rPr>
          <w:rFonts w:cs="Times New Roman"/>
          <w:b/>
          <w:bCs/>
          <w:sz w:val="24"/>
          <w:szCs w:val="24"/>
        </w:rPr>
        <w:t xml:space="preserve">Supplementary </w:t>
      </w:r>
      <w:r w:rsidRPr="004A2940">
        <w:rPr>
          <w:rFonts w:eastAsia="宋体" w:cs="Times New Roman"/>
          <w:b/>
          <w:bCs/>
          <w:sz w:val="24"/>
          <w:szCs w:val="24"/>
          <w:lang w:eastAsia="zh-CN"/>
        </w:rPr>
        <w:t xml:space="preserve">Figure </w:t>
      </w:r>
      <w:r w:rsidRPr="004A2940">
        <w:rPr>
          <w:rFonts w:cs="Times New Roman"/>
          <w:b/>
          <w:bCs/>
          <w:sz w:val="24"/>
          <w:szCs w:val="24"/>
        </w:rPr>
        <w:t>3.</w:t>
      </w:r>
      <w:r w:rsidRPr="004A2940">
        <w:rPr>
          <w:rFonts w:eastAsia="宋体" w:cs="Times New Roman"/>
          <w:b/>
          <w:bCs/>
          <w:sz w:val="24"/>
          <w:szCs w:val="24"/>
          <w:lang w:eastAsia="zh-CN"/>
        </w:rPr>
        <w:t xml:space="preserve"> </w:t>
      </w:r>
      <w:r w:rsidRPr="004A2940">
        <w:rPr>
          <w:rFonts w:eastAsia="宋体" w:cs="Times New Roman"/>
          <w:sz w:val="24"/>
          <w:szCs w:val="24"/>
          <w:lang w:eastAsia="zh-CN"/>
        </w:rPr>
        <w:t>Forest map of the risk effects of key genes on breast cancer. Each horizontal solid line in the figure reflects the result estimated by a single SNP using the Wald ratio method. The solid line is completely to the left of 0, indicating that the result estimated by this SNP is that an increase in exposure factors can reduce the risk of outcome variables; The solid line is completely to the right of 0, indicating that the result estimated by this SNP is that an increase in exposure factors can increase the risk of outcome variables; And those that cross 0 indicate that the results are not significant.</w:t>
      </w:r>
    </w:p>
    <w:p w14:paraId="3AF59F01" w14:textId="77777777" w:rsidR="00D405DE" w:rsidRPr="004A2940" w:rsidRDefault="00D405DE" w:rsidP="00D405DE">
      <w:pPr>
        <w:pStyle w:val="a4"/>
        <w:rPr>
          <w:rFonts w:eastAsia="宋体" w:cs="Times New Roman"/>
          <w:sz w:val="24"/>
          <w:szCs w:val="24"/>
          <w:lang w:eastAsia="zh-CN"/>
        </w:rPr>
      </w:pPr>
      <w:r w:rsidRPr="004A2940">
        <w:rPr>
          <w:rFonts w:cs="Times New Roman"/>
          <w:b/>
          <w:bCs/>
          <w:sz w:val="24"/>
          <w:szCs w:val="24"/>
        </w:rPr>
        <w:t xml:space="preserve">Supplementary </w:t>
      </w:r>
      <w:r w:rsidRPr="004A2940">
        <w:rPr>
          <w:rFonts w:eastAsia="宋体" w:cs="Times New Roman"/>
          <w:b/>
          <w:bCs/>
          <w:sz w:val="24"/>
          <w:szCs w:val="24"/>
          <w:lang w:eastAsia="zh-CN"/>
        </w:rPr>
        <w:t xml:space="preserve">Figure </w:t>
      </w:r>
      <w:r w:rsidRPr="004A2940">
        <w:rPr>
          <w:rFonts w:cs="Times New Roman"/>
          <w:b/>
          <w:bCs/>
          <w:sz w:val="24"/>
          <w:szCs w:val="24"/>
        </w:rPr>
        <w:t>4.</w:t>
      </w:r>
      <w:r w:rsidRPr="004A2940">
        <w:rPr>
          <w:rFonts w:eastAsia="宋体" w:cs="Times New Roman"/>
          <w:b/>
          <w:bCs/>
          <w:sz w:val="24"/>
          <w:szCs w:val="24"/>
          <w:lang w:eastAsia="zh-CN"/>
        </w:rPr>
        <w:t xml:space="preserve"> </w:t>
      </w:r>
      <w:r w:rsidRPr="004A2940">
        <w:rPr>
          <w:rFonts w:eastAsia="宋体" w:cs="Times New Roman"/>
          <w:sz w:val="24"/>
          <w:szCs w:val="24"/>
          <w:lang w:eastAsia="zh-CN"/>
        </w:rPr>
        <w:t>Funnel plot of key genes. The horizontal axis represents the beta value of the instrumental variable, and the vertical axis represents the reciprocal of the standard error of the instrumental variable</w:t>
      </w:r>
    </w:p>
    <w:p w14:paraId="7BE1ACA5" w14:textId="77777777" w:rsidR="00D405DE" w:rsidRPr="004A2940" w:rsidRDefault="00D405DE" w:rsidP="00D405DE">
      <w:pPr>
        <w:pStyle w:val="a8"/>
        <w:rPr>
          <w:rFonts w:eastAsia="宋体"/>
          <w:lang w:eastAsia="zh-CN"/>
        </w:rPr>
      </w:pPr>
      <w:r w:rsidRPr="004A2940">
        <w:rPr>
          <w:b/>
          <w:bCs/>
        </w:rPr>
        <w:t xml:space="preserve">Supplementary </w:t>
      </w:r>
      <w:r w:rsidRPr="004A2940">
        <w:rPr>
          <w:rFonts w:eastAsia="宋体"/>
          <w:b/>
          <w:bCs/>
          <w:lang w:eastAsia="zh-CN"/>
        </w:rPr>
        <w:t xml:space="preserve">Figure </w:t>
      </w:r>
      <w:r w:rsidRPr="004A2940">
        <w:rPr>
          <w:b/>
          <w:bCs/>
        </w:rPr>
        <w:t>5.</w:t>
      </w:r>
      <w:r w:rsidRPr="004A2940">
        <w:t xml:space="preserve"> </w:t>
      </w:r>
      <w:r w:rsidRPr="004A2940">
        <w:rPr>
          <w:rFonts w:eastAsia="宋体"/>
          <w:lang w:eastAsia="zh-CN"/>
        </w:rPr>
        <w:t xml:space="preserve">Mendelian randomization LOO test analysis. </w:t>
      </w:r>
    </w:p>
    <w:p w14:paraId="4F21331F" w14:textId="77777777" w:rsidR="00D405DE" w:rsidRPr="004A2940" w:rsidRDefault="00D405DE" w:rsidP="00D405DE">
      <w:pPr>
        <w:spacing w:before="100" w:beforeAutospacing="1" w:after="100" w:afterAutospacing="1"/>
        <w:rPr>
          <w:rFonts w:eastAsia="宋体" w:cs="Times New Roman"/>
          <w:szCs w:val="24"/>
          <w:lang w:eastAsia="zh-CN"/>
        </w:rPr>
      </w:pPr>
      <w:r w:rsidRPr="004A2940">
        <w:rPr>
          <w:rFonts w:eastAsia="宋体" w:cs="Times New Roman"/>
          <w:b/>
          <w:bCs/>
          <w:szCs w:val="24"/>
          <w:lang w:eastAsia="zh-CN"/>
        </w:rPr>
        <w:t>Supplementary Tables</w:t>
      </w:r>
      <w:r w:rsidRPr="004A2940">
        <w:rPr>
          <w:rFonts w:eastAsia="宋体" w:cs="Times New Roman"/>
          <w:b/>
          <w:bCs/>
          <w:szCs w:val="24"/>
          <w:lang w:eastAsia="zh-CN"/>
        </w:rPr>
        <w:br/>
        <w:t xml:space="preserve">Supplementary Table 1. </w:t>
      </w:r>
      <w:r w:rsidRPr="004A2940">
        <w:rPr>
          <w:rFonts w:eastAsia="宋体" w:cs="Times New Roman"/>
          <w:szCs w:val="24"/>
          <w:lang w:eastAsia="zh-CN"/>
        </w:rPr>
        <w:t xml:space="preserve">Glutathione metabolic significant causal relationship of 348 </w:t>
      </w:r>
      <w:proofErr w:type="spellStart"/>
      <w:r w:rsidRPr="004A2940">
        <w:rPr>
          <w:rFonts w:eastAsia="宋体" w:cs="Times New Roman"/>
          <w:szCs w:val="24"/>
          <w:lang w:eastAsia="zh-CN"/>
        </w:rPr>
        <w:t>eQTLs</w:t>
      </w:r>
      <w:proofErr w:type="spellEnd"/>
      <w:r w:rsidRPr="004A2940">
        <w:rPr>
          <w:rFonts w:eastAsia="宋体" w:cs="Times New Roman"/>
          <w:szCs w:val="24"/>
          <w:lang w:eastAsia="zh-CN"/>
        </w:rPr>
        <w:t xml:space="preserve"> with </w:t>
      </w:r>
    </w:p>
    <w:p w14:paraId="10B87CC7" w14:textId="77777777" w:rsidR="00D405DE" w:rsidRPr="004A2940" w:rsidRDefault="00D405DE" w:rsidP="00D405DE">
      <w:pPr>
        <w:spacing w:before="100" w:beforeAutospacing="1" w:after="100" w:afterAutospacing="1"/>
        <w:rPr>
          <w:rFonts w:eastAsia="宋体" w:cs="Times New Roman"/>
          <w:szCs w:val="24"/>
          <w:lang w:eastAsia="zh-CN"/>
        </w:rPr>
      </w:pPr>
      <w:r w:rsidRPr="004A2940">
        <w:rPr>
          <w:rFonts w:eastAsia="宋体" w:cs="Times New Roman"/>
          <w:szCs w:val="24"/>
          <w:lang w:eastAsia="zh-CN"/>
        </w:rPr>
        <w:t>breast cancer (BC).</w:t>
      </w:r>
      <w:r w:rsidRPr="004A2940">
        <w:rPr>
          <w:rFonts w:eastAsia="宋体" w:cs="Times New Roman"/>
          <w:szCs w:val="24"/>
          <w:lang w:eastAsia="zh-CN"/>
        </w:rPr>
        <w:br/>
      </w:r>
      <w:r w:rsidRPr="004A2940">
        <w:rPr>
          <w:rFonts w:eastAsia="宋体" w:cs="Times New Roman"/>
          <w:b/>
          <w:bCs/>
          <w:szCs w:val="24"/>
          <w:lang w:eastAsia="zh-CN"/>
        </w:rPr>
        <w:t xml:space="preserve">Supplementary Table 2. </w:t>
      </w:r>
      <w:r w:rsidRPr="004A2940">
        <w:rPr>
          <w:rFonts w:eastAsia="宋体" w:cs="Times New Roman"/>
          <w:szCs w:val="24"/>
          <w:lang w:eastAsia="zh-CN"/>
        </w:rPr>
        <w:t xml:space="preserve">Predicting GSTM1 Correlation in 112 Diseases. </w:t>
      </w:r>
    </w:p>
    <w:p w14:paraId="7F91F0A4" w14:textId="77777777" w:rsidR="00D405DE" w:rsidRPr="004A2940" w:rsidRDefault="00D405DE" w:rsidP="00D405DE">
      <w:pPr>
        <w:spacing w:before="100" w:beforeAutospacing="1" w:after="100" w:afterAutospacing="1"/>
        <w:rPr>
          <w:rFonts w:eastAsia="宋体" w:cs="Times New Roman"/>
          <w:szCs w:val="24"/>
          <w:lang w:eastAsia="zh-CN"/>
        </w:rPr>
      </w:pPr>
      <w:r w:rsidRPr="004A2940">
        <w:rPr>
          <w:rFonts w:eastAsia="宋体" w:cs="Times New Roman"/>
          <w:b/>
          <w:bCs/>
          <w:szCs w:val="24"/>
          <w:lang w:eastAsia="zh-CN"/>
        </w:rPr>
        <w:t xml:space="preserve">Supplementary Table 3. </w:t>
      </w:r>
      <w:r w:rsidRPr="004A2940">
        <w:rPr>
          <w:rFonts w:eastAsia="宋体" w:cs="Times New Roman"/>
          <w:szCs w:val="24"/>
          <w:lang w:eastAsia="zh-CN"/>
        </w:rPr>
        <w:t xml:space="preserve">The 26 diseases associated with 16 predicted drugs. </w:t>
      </w:r>
    </w:p>
    <w:p w14:paraId="47B30068" w14:textId="2DA72061" w:rsidR="00D405DE" w:rsidRPr="004A2940" w:rsidRDefault="00D405DE" w:rsidP="00D405DE">
      <w:pPr>
        <w:spacing w:before="100" w:beforeAutospacing="1" w:after="100" w:afterAutospacing="1"/>
        <w:rPr>
          <w:rFonts w:eastAsia="宋体" w:cs="Times New Roman"/>
          <w:szCs w:val="24"/>
          <w:lang w:eastAsia="zh-CN"/>
        </w:rPr>
      </w:pPr>
      <w:r w:rsidRPr="004A2940">
        <w:rPr>
          <w:rFonts w:eastAsia="宋体" w:cs="Times New Roman"/>
          <w:b/>
          <w:bCs/>
          <w:szCs w:val="24"/>
          <w:lang w:eastAsia="zh-CN"/>
        </w:rPr>
        <w:t xml:space="preserve">Supplementary Table 4. </w:t>
      </w:r>
      <w:r w:rsidRPr="004A2940">
        <w:rPr>
          <w:rFonts w:eastAsia="宋体" w:cs="Times New Roman"/>
          <w:szCs w:val="24"/>
          <w:lang w:eastAsia="zh-CN"/>
        </w:rPr>
        <w:t xml:space="preserve">The 11 cancers and GSTM1 for </w:t>
      </w:r>
      <w:proofErr w:type="spellStart"/>
      <w:r w:rsidRPr="004A2940">
        <w:rPr>
          <w:rFonts w:eastAsia="宋体" w:cs="Times New Roman"/>
          <w:szCs w:val="24"/>
          <w:lang w:eastAsia="zh-CN"/>
        </w:rPr>
        <w:t>PheW</w:t>
      </w:r>
      <w:proofErr w:type="spellEnd"/>
      <w:r w:rsidRPr="004A2940">
        <w:rPr>
          <w:rFonts w:eastAsia="宋体" w:cs="Times New Roman"/>
          <w:szCs w:val="24"/>
          <w:lang w:eastAsia="zh-CN"/>
        </w:rPr>
        <w:t xml:space="preserve">-MR analysis. </w:t>
      </w:r>
    </w:p>
    <w:p w14:paraId="081E8CE0" w14:textId="1D69C2C7" w:rsidR="00A95BBA" w:rsidRDefault="00A95BBA">
      <w:pPr>
        <w:rPr>
          <w:lang w:eastAsia="zh-CN"/>
        </w:rPr>
      </w:pPr>
    </w:p>
    <w:sectPr w:rsidR="00A95BBA">
      <w:footerReference w:type="even" r:id="rId8"/>
      <w:footerReference w:type="default" r:id="rId9"/>
      <w:headerReference w:type="first" r:id="rId10"/>
      <w:footerReference w:type="first" r:id="rId11"/>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F266" w14:textId="77777777" w:rsidR="00DB38C5" w:rsidRDefault="00DB38C5">
      <w:pPr>
        <w:spacing w:before="0" w:after="0"/>
      </w:pPr>
      <w:r>
        <w:separator/>
      </w:r>
    </w:p>
  </w:endnote>
  <w:endnote w:type="continuationSeparator" w:id="0">
    <w:p w14:paraId="1111D812" w14:textId="77777777" w:rsidR="00DB38C5" w:rsidRDefault="00DB38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846C" w14:textId="77777777" w:rsidR="00A95BBA" w:rsidRDefault="008512BB">
    <w:pPr>
      <w:pStyle w:val="a5"/>
      <w:rPr>
        <w:color w:val="C00000"/>
        <w:szCs w:val="24"/>
      </w:rPr>
    </w:pPr>
    <w:r>
      <w:rPr>
        <w:noProof/>
        <w:color w:val="C00000"/>
        <w:szCs w:val="24"/>
        <w:lang w:val="en-GB" w:eastAsia="en-GB"/>
      </w:rPr>
      <mc:AlternateContent>
        <mc:Choice Requires="wps">
          <w:drawing>
            <wp:anchor distT="0" distB="0" distL="114300" distR="114300" simplePos="0" relativeHeight="251661312" behindDoc="0" locked="0" layoutInCell="1" allowOverlap="1" wp14:anchorId="01F42922" wp14:editId="0EDAB554">
              <wp:simplePos x="0" y="0"/>
              <wp:positionH relativeFrom="column">
                <wp:posOffset>-107950</wp:posOffset>
              </wp:positionH>
              <wp:positionV relativeFrom="paragraph">
                <wp:posOffset>-58420</wp:posOffset>
              </wp:positionV>
              <wp:extent cx="3672205" cy="1403985"/>
              <wp:effectExtent l="0" t="0" r="444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ln>
                    </wps:spPr>
                    <wps:txbx>
                      <w:txbxContent>
                        <w:p w14:paraId="3350921D" w14:textId="77777777" w:rsidR="00A95BBA" w:rsidRDefault="008512BB">
                          <w:pPr>
                            <w:rPr>
                              <w:color w:val="C00000"/>
                            </w:rPr>
                          </w:pPr>
                          <w:r>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1F42922" id="_x0000_t202" coordsize="21600,21600" o:spt="202" path="m,l,21600r21600,l21600,xe">
              <v:stroke joinstyle="miter"/>
              <v:path gradientshapeok="t" o:connecttype="rect"/>
            </v:shapetype>
            <v:shape id="Text Box 2" o:spid="_x0000_s1026" type="#_x0000_t202" style="position:absolute;margin-left:-8.5pt;margin-top:-4.6pt;width:289.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" stroked="f">
              <v:textbox style="mso-fit-shape-to-text:t">
                <w:txbxContent>
                  <w:p w14:paraId="3350921D" w14:textId="77777777" w:rsidR="00A95BBA" w:rsidRDefault="008512BB">
                    <w:pPr>
                      <w:rPr>
                        <w:color w:val="C00000"/>
                      </w:rPr>
                    </w:pPr>
                    <w:r>
                      <w:rPr>
                        <w:color w:val="C00000"/>
                      </w:rPr>
                      <w:t>This is a provisional file, not the final typeset article</w:t>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776AFEED" wp14:editId="5EC2CFC5">
              <wp:simplePos x="0" y="0"/>
              <wp:positionH relativeFrom="margin">
                <wp:align>center</wp:align>
              </wp:positionH>
              <wp:positionV relativeFrom="paragraph">
                <wp:posOffset>0</wp:posOffset>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FDED70D" w14:textId="77777777" w:rsidR="00A95BBA" w:rsidRDefault="008512BB">
                          <w:pPr>
                            <w:pStyle w:val="a5"/>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76AFEED" id="Text Box 1" o:spid="_x0000_s1027" type="#_x0000_t202" style="position:absolute;margin-left:0;margin-top:0;width:118.8pt;height:31.1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" filled="f" stroked="f" strokeweight=".5pt">
              <v:textbox style="mso-fit-shape-to-text:t" inset="0,0,0,0">
                <w:txbxContent>
                  <w:p w14:paraId="2FDED70D" w14:textId="77777777" w:rsidR="00A95BBA" w:rsidRDefault="008512BB">
                    <w:pPr>
                      <w:pStyle w:val="a5"/>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B4AF" w14:textId="77777777" w:rsidR="00A95BBA" w:rsidRDefault="008512BB">
    <w:pPr>
      <w:pStyle w:val="a5"/>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72A99433" wp14:editId="6EA76E59">
              <wp:simplePos x="0" y="0"/>
              <wp:positionH relativeFrom="margin">
                <wp:align>center</wp:align>
              </wp:positionH>
              <wp:positionV relativeFrom="paragraph">
                <wp:posOffset>0</wp:posOffset>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3A4E632" w14:textId="77777777" w:rsidR="00A95BBA" w:rsidRDefault="008512BB">
                          <w:pPr>
                            <w:pStyle w:val="a5"/>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2A99433" id="_x0000_t202" coordsize="21600,21600" o:spt="202" path="m,l,21600r21600,l21600,xe">
              <v:stroke joinstyle="miter"/>
              <v:path gradientshapeok="t" o:connecttype="rect"/>
            </v:shapetype>
            <v:shape id="Text Box 56" o:spid="_x0000_s1028" type="#_x0000_t202" style="position:absolute;margin-left:0;margin-top:0;width:118.8pt;height:31.1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" filled="f" stroked="f" strokeweight=".5pt">
              <v:textbox style="mso-fit-shape-to-text:t" inset="0,0,0,0">
                <w:txbxContent>
                  <w:p w14:paraId="23A4E632" w14:textId="77777777" w:rsidR="00A95BBA" w:rsidRDefault="008512BB">
                    <w:pPr>
                      <w:pStyle w:val="a5"/>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4B8C" w14:textId="77777777" w:rsidR="00A95BBA" w:rsidRDefault="008512BB">
    <w:pPr>
      <w:pStyle w:val="a5"/>
    </w:pPr>
    <w:r>
      <w:rPr>
        <w:noProof/>
      </w:rPr>
      <mc:AlternateContent>
        <mc:Choice Requires="wps">
          <w:drawing>
            <wp:anchor distT="0" distB="0" distL="114300" distR="114300" simplePos="0" relativeHeight="251662336" behindDoc="0" locked="0" layoutInCell="1" allowOverlap="1" wp14:anchorId="2841360F" wp14:editId="68C39C5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2E029" w14:textId="77777777" w:rsidR="00A95BBA" w:rsidRDefault="008512BB">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41360F" id="_x0000_t202" coordsize="21600,21600" o:spt="202" path="m,l,21600r21600,l21600,xe">
              <v:stroke joinstyle="miter"/>
              <v:path gradientshapeok="t" o:connecttype="rect"/>
            </v:shapetype>
            <v:shape id="文本框 2"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" filled="f" stroked="f" strokeweight=".5pt">
              <v:textbox style="mso-fit-shape-to-text:t" inset="0,0,0,0">
                <w:txbxContent>
                  <w:p w14:paraId="4882E029" w14:textId="77777777" w:rsidR="00A95BBA" w:rsidRDefault="008512BB">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D9CAC" w14:textId="77777777" w:rsidR="00DB38C5" w:rsidRDefault="00DB38C5">
      <w:pPr>
        <w:spacing w:before="0" w:after="0"/>
      </w:pPr>
      <w:r>
        <w:separator/>
      </w:r>
    </w:p>
  </w:footnote>
  <w:footnote w:type="continuationSeparator" w:id="0">
    <w:p w14:paraId="3A77F17B" w14:textId="77777777" w:rsidR="00DB38C5" w:rsidRDefault="00DB38C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D110" w14:textId="77777777" w:rsidR="00A95BBA" w:rsidRDefault="008512BB">
    <w:pPr>
      <w:pStyle w:val="a6"/>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lvlText w:val="%1.%2.%3"/>
      <w:lvlJc w:val="left"/>
      <w:pPr>
        <w:tabs>
          <w:tab w:val="left" w:pos="567"/>
        </w:tabs>
        <w:ind w:left="567" w:hanging="567"/>
      </w:pPr>
      <w:rPr>
        <w:rFonts w:hint="default"/>
      </w:rPr>
    </w:lvl>
    <w:lvl w:ilvl="3">
      <w:start w:val="1"/>
      <w:numFmt w:val="decimal"/>
      <w:lvlText w:val="%1.%2.%3.%4"/>
      <w:lvlJc w:val="left"/>
      <w:pPr>
        <w:tabs>
          <w:tab w:val="left" w:pos="567"/>
        </w:tabs>
        <w:ind w:left="567" w:hanging="567"/>
      </w:pPr>
      <w:rPr>
        <w:rFonts w:hint="default"/>
      </w:rPr>
    </w:lvl>
    <w:lvl w:ilvl="4">
      <w:start w:val="1"/>
      <w:numFmt w:val="decimal"/>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59C8A485"/>
    <w:multiLevelType w:val="multilevel"/>
    <w:tmpl w:val="59C8A485"/>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0"/>
    <w:lvlOverride w:ilvl="0">
      <w:lvl w:ilvl="0">
        <w:start w:val="1"/>
        <w:numFmt w:val="decimal"/>
        <w:pStyle w:val="1"/>
        <w:lvlText w:val="%1"/>
        <w:lvlJc w:val="left"/>
        <w:pPr>
          <w:tabs>
            <w:tab w:val="left" w:pos="567"/>
          </w:tabs>
          <w:ind w:left="567" w:hanging="567"/>
        </w:pPr>
        <w:rPr>
          <w:rFonts w:hint="default"/>
        </w:rPr>
      </w:lvl>
    </w:lvlOverride>
    <w:lvlOverride w:ilvl="1">
      <w:lvl w:ilvl="1">
        <w:start w:val="1"/>
        <w:numFmt w:val="decimal"/>
        <w:pStyle w:val="2"/>
        <w:lvlText w:val="%1.%2"/>
        <w:lvlJc w:val="left"/>
        <w:pPr>
          <w:tabs>
            <w:tab w:val="left" w:pos="850"/>
          </w:tabs>
          <w:ind w:left="850" w:hanging="567"/>
        </w:pPr>
        <w:rPr>
          <w:rFonts w:hint="default"/>
        </w:rPr>
      </w:lvl>
    </w:lvlOverride>
  </w:num>
  <w:num w:numId="2">
    <w:abstractNumId w:val="1"/>
  </w:num>
  <w:num w:numId="3">
    <w:abstractNumId w:val="2"/>
  </w:num>
  <w:num w:numId="4">
    <w:abstractNumId w:val="0"/>
    <w:lvlOverride w:ilvl="0">
      <w:startOverride w:val="7"/>
      <w:lvl w:ilvl="0">
        <w:start w:val="7"/>
        <w:numFmt w:val="decimal"/>
        <w:pStyle w:val="1"/>
        <w:lvlText w:val="%1"/>
        <w:lvlJc w:val="left"/>
        <w:pPr>
          <w:tabs>
            <w:tab w:val="left" w:pos="567"/>
          </w:tabs>
          <w:ind w:left="567" w:hanging="567"/>
        </w:pPr>
        <w:rPr>
          <w:rFonts w:hint="default"/>
        </w:rPr>
      </w:lvl>
    </w:lvlOverride>
  </w:num>
  <w:num w:numId="5">
    <w:abstractNumId w:val="0"/>
    <w:lvlOverride w:ilvl="0">
      <w:startOverride w:val="13"/>
      <w:lvl w:ilvl="0">
        <w:start w:val="13"/>
        <w:numFmt w:val="decimal"/>
        <w:pStyle w:val="1"/>
        <w:lvlText w:val="%1"/>
        <w:lvlJc w:val="left"/>
        <w:pPr>
          <w:tabs>
            <w:tab w:val="left" w:pos="567"/>
          </w:tabs>
          <w:ind w:left="567" w:hanging="567"/>
        </w:pPr>
        <w:rPr>
          <w:rFonts w:hint="default"/>
        </w:rPr>
      </w:lvl>
    </w:lvlOverride>
  </w:num>
  <w:num w:numId="6">
    <w:abstractNumId w:val="0"/>
    <w:lvlOverride w:ilvl="0">
      <w:lvl w:ilvl="0">
        <w:start w:val="2"/>
        <w:numFmt w:val="decimal"/>
        <w:pStyle w:val="1"/>
        <w:lvlText w:val="%1"/>
        <w:lvlJc w:val="left"/>
        <w:pPr>
          <w:tabs>
            <w:tab w:val="left" w:pos="567"/>
          </w:tabs>
          <w:ind w:left="567" w:hanging="567"/>
        </w:pPr>
        <w:rPr>
          <w:rFonts w:hint="default"/>
        </w:rPr>
      </w:lvl>
    </w:lvlOverride>
    <w:lvlOverride w:ilvl="1">
      <w:lvl w:ilvl="1">
        <w:start w:val="3"/>
        <w:numFmt w:val="decimal"/>
        <w:pStyle w:val="2"/>
        <w:lvlText w:val="%1.%2"/>
        <w:lvlJc w:val="left"/>
        <w:pPr>
          <w:tabs>
            <w:tab w:val="left" w:pos="850"/>
          </w:tabs>
          <w:ind w:left="850" w:hanging="567"/>
        </w:pPr>
        <w:rPr>
          <w:rFonts w:hint="default"/>
        </w:rPr>
      </w:lvl>
    </w:lvlOverride>
  </w:num>
  <w:num w:numId="7">
    <w:abstractNumId w:val="0"/>
    <w:lvlOverride w:ilvl="0">
      <w:startOverride w:val="2"/>
      <w:lvl w:ilvl="0">
        <w:start w:val="2"/>
        <w:numFmt w:val="decimal"/>
        <w:pStyle w:val="1"/>
        <w:lvlText w:val="%1"/>
        <w:lvlJc w:val="left"/>
        <w:pPr>
          <w:tabs>
            <w:tab w:val="left" w:pos="567"/>
          </w:tabs>
          <w:ind w:left="567" w:hanging="567"/>
        </w:pPr>
        <w:rPr>
          <w:rFonts w:hint="default"/>
        </w:rPr>
      </w:lvl>
    </w:lvlOverride>
    <w:lvlOverride w:ilvl="1">
      <w:startOverride w:val="3"/>
      <w:lvl w:ilvl="1">
        <w:start w:val="3"/>
        <w:numFmt w:val="decimal"/>
        <w:pStyle w:val="2"/>
        <w:lvlText w:val="%1.%2"/>
        <w:lvlJc w:val="left"/>
        <w:pPr>
          <w:tabs>
            <w:tab w:val="left" w:pos="850"/>
          </w:tabs>
          <w:ind w:left="850"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FmY2M5ZTlmZDY0NjQzZDFiMTRmMDdmYTM1YjkzZTgifQ=="/>
    <w:docVar w:name="EN.InstantFormat" w:val="&lt;ENInstantFormat&gt;&lt;Enabled&gt;1&lt;/Enabled&gt;&lt;ScanUnformatted&gt;1&lt;/ScanUnformatted&gt;&lt;ScanChanges&gt;1&lt;/ScanChanges&gt;&lt;Suspended&gt;0&lt;/Suspended&gt;&lt;/ENInstantFormat&gt;"/>
    <w:docVar w:name="EN.Layout" w:val="&lt;ENLayout&gt;&lt;Style&gt;Numbered 6&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sv52tf6wsr9beerws5a5w7s29wvtpawdwa&quot;&gt;My EndNote Library&lt;record-ids&gt;&lt;item&gt;52&lt;/item&gt;&lt;item&gt;53&lt;/item&gt;&lt;item&gt;55&lt;/item&gt;&lt;item&gt;56&lt;/item&gt;&lt;item&gt;58&lt;/item&gt;&lt;item&gt;60&lt;/item&gt;&lt;item&gt;61&lt;/item&gt;&lt;item&gt;62&lt;/item&gt;&lt;item&gt;63&lt;/item&gt;&lt;item&gt;64&lt;/item&gt;&lt;item&gt;68&lt;/item&gt;&lt;item&gt;69&lt;/item&gt;&lt;item&gt;70&lt;/item&gt;&lt;item&gt;71&lt;/item&gt;&lt;item&gt;72&lt;/item&gt;&lt;item&gt;73&lt;/item&gt;&lt;item&gt;74&lt;/item&gt;&lt;item&gt;75&lt;/item&gt;&lt;item&gt;76&lt;/item&gt;&lt;item&gt;77&lt;/item&gt;&lt;item&gt;79&lt;/item&gt;&lt;item&gt;85&lt;/item&gt;&lt;item&gt;86&lt;/item&gt;&lt;item&gt;87&lt;/item&gt;&lt;item&gt;88&lt;/item&gt;&lt;item&gt;89&lt;/item&gt;&lt;item&gt;90&lt;/item&gt;&lt;item&gt;91&lt;/item&gt;&lt;item&gt;92&lt;/item&gt;&lt;item&gt;93&lt;/item&gt;&lt;item&gt;94&lt;/item&gt;&lt;item&gt;95&lt;/item&gt;&lt;item&gt;96&lt;/item&gt;&lt;item&gt;98&lt;/item&gt;&lt;item&gt;99&lt;/item&gt;&lt;item&gt;100&lt;/item&gt;&lt;item&gt;101&lt;/item&gt;&lt;item&gt;102&lt;/item&gt;&lt;item&gt;103&lt;/item&gt;&lt;item&gt;104&lt;/item&gt;&lt;item&gt;105&lt;/item&gt;&lt;item&gt;107&lt;/item&gt;&lt;item&gt;115&lt;/item&gt;&lt;item&gt;116&lt;/item&gt;&lt;item&gt;117&lt;/item&gt;&lt;item&gt;118&lt;/item&gt;&lt;item&gt;119&lt;/item&gt;&lt;item&gt;120&lt;/item&gt;&lt;item&gt;121&lt;/item&gt;&lt;item&gt;122&lt;/item&gt;&lt;item&gt;137&lt;/item&gt;&lt;item&gt;138&lt;/item&gt;&lt;item&gt;139&lt;/item&gt;&lt;item&gt;141&lt;/item&gt;&lt;item&gt;142&lt;/item&gt;&lt;item&gt;144&lt;/item&gt;&lt;item&gt;145&lt;/item&gt;&lt;item&gt;146&lt;/item&gt;&lt;item&gt;147&lt;/item&gt;&lt;item&gt;148&lt;/item&gt;&lt;item&gt;149&lt;/item&gt;&lt;item&gt;150&lt;/item&gt;&lt;item&gt;151&lt;/item&gt;&lt;/record-ids&gt;&lt;/item&gt;&lt;/Libraries&gt;"/>
  </w:docVars>
  <w:rsids>
    <w:rsidRoot w:val="00A95BBA"/>
    <w:rsid w:val="00050529"/>
    <w:rsid w:val="000E3D75"/>
    <w:rsid w:val="00163935"/>
    <w:rsid w:val="00260406"/>
    <w:rsid w:val="00286532"/>
    <w:rsid w:val="00375907"/>
    <w:rsid w:val="003D595A"/>
    <w:rsid w:val="00484967"/>
    <w:rsid w:val="004A2940"/>
    <w:rsid w:val="005409EE"/>
    <w:rsid w:val="007416FC"/>
    <w:rsid w:val="008512BB"/>
    <w:rsid w:val="00A26E8A"/>
    <w:rsid w:val="00A95BBA"/>
    <w:rsid w:val="00B2356D"/>
    <w:rsid w:val="00BF000A"/>
    <w:rsid w:val="00CE6EDA"/>
    <w:rsid w:val="00D405DE"/>
    <w:rsid w:val="00DB38C5"/>
    <w:rsid w:val="00E07277"/>
    <w:rsid w:val="00E14440"/>
    <w:rsid w:val="00E671C1"/>
    <w:rsid w:val="00ED4BE9"/>
    <w:rsid w:val="00F0309D"/>
    <w:rsid w:val="34FF1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9D4E8"/>
  <w15:docId w15:val="{A2098585-B737-4B8F-8D59-98577933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before="120" w:after="240"/>
    </w:pPr>
    <w:rPr>
      <w:rFonts w:ascii="Times New Roman" w:eastAsiaTheme="minorHAnsi" w:hAnsi="Times New Roman"/>
      <w:sz w:val="24"/>
      <w:szCs w:val="22"/>
      <w:lang w:eastAsia="en-US"/>
    </w:rPr>
  </w:style>
  <w:style w:type="paragraph" w:styleId="1">
    <w:name w:val="heading 1"/>
    <w:basedOn w:val="a"/>
    <w:next w:val="a0"/>
    <w:link w:val="10"/>
    <w:uiPriority w:val="2"/>
    <w:qFormat/>
    <w:pPr>
      <w:numPr>
        <w:numId w:val="1"/>
      </w:numPr>
      <w:spacing w:before="240"/>
      <w:contextualSpacing w:val="0"/>
      <w:outlineLvl w:val="0"/>
    </w:pPr>
    <w:rPr>
      <w:b/>
    </w:rPr>
  </w:style>
  <w:style w:type="paragraph" w:styleId="2">
    <w:name w:val="heading 2"/>
    <w:basedOn w:val="1"/>
    <w:next w:val="a0"/>
    <w:uiPriority w:val="2"/>
    <w:qFormat/>
    <w:pPr>
      <w:numPr>
        <w:ilvl w:val="1"/>
      </w:numPr>
      <w:tabs>
        <w:tab w:val="clear" w:pos="850"/>
      </w:tabs>
      <w:spacing w:after="200"/>
      <w:ind w:left="567"/>
      <w:outlineLvl w:val="1"/>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
    <w:qFormat/>
    <w:pPr>
      <w:numPr>
        <w:numId w:val="2"/>
      </w:numPr>
      <w:ind w:left="1434" w:hanging="357"/>
      <w:contextualSpacing/>
    </w:pPr>
    <w:rPr>
      <w:rFonts w:eastAsia="Cambria" w:cs="Times New Roman"/>
      <w:szCs w:val="24"/>
    </w:rPr>
  </w:style>
  <w:style w:type="paragraph" w:styleId="a4">
    <w:name w:val="annotation text"/>
    <w:basedOn w:val="a0"/>
    <w:uiPriority w:val="99"/>
    <w:unhideWhenUsed/>
    <w:qFormat/>
    <w:rPr>
      <w:sz w:val="20"/>
      <w:szCs w:val="20"/>
    </w:rPr>
  </w:style>
  <w:style w:type="paragraph" w:styleId="a5">
    <w:name w:val="footer"/>
    <w:basedOn w:val="a0"/>
    <w:uiPriority w:val="99"/>
    <w:unhideWhenUsed/>
    <w:qFormat/>
    <w:pPr>
      <w:tabs>
        <w:tab w:val="center" w:pos="4844"/>
        <w:tab w:val="right" w:pos="9689"/>
      </w:tabs>
      <w:spacing w:after="0"/>
    </w:pPr>
  </w:style>
  <w:style w:type="paragraph" w:styleId="a6">
    <w:name w:val="header"/>
    <w:basedOn w:val="a0"/>
    <w:uiPriority w:val="99"/>
    <w:unhideWhenUsed/>
    <w:qFormat/>
    <w:pPr>
      <w:tabs>
        <w:tab w:val="center" w:pos="4844"/>
        <w:tab w:val="right" w:pos="9689"/>
      </w:tabs>
    </w:pPr>
    <w:rPr>
      <w:b/>
    </w:rPr>
  </w:style>
  <w:style w:type="paragraph" w:styleId="a7">
    <w:name w:val="Subtitle"/>
    <w:basedOn w:val="a0"/>
    <w:next w:val="a0"/>
    <w:uiPriority w:val="99"/>
    <w:unhideWhenUsed/>
    <w:qFormat/>
    <w:pPr>
      <w:spacing w:before="240"/>
    </w:pPr>
    <w:rPr>
      <w:rFonts w:cs="Times New Roman"/>
      <w:b/>
      <w:szCs w:val="24"/>
    </w:rPr>
  </w:style>
  <w:style w:type="paragraph" w:styleId="a8">
    <w:name w:val="Normal (Web)"/>
    <w:basedOn w:val="a0"/>
    <w:uiPriority w:val="99"/>
    <w:unhideWhenUsed/>
    <w:qFormat/>
    <w:pPr>
      <w:spacing w:before="100" w:beforeAutospacing="1" w:after="100" w:afterAutospacing="1"/>
    </w:pPr>
    <w:rPr>
      <w:rFonts w:eastAsia="Times New Roman" w:cs="Times New Roman"/>
      <w:szCs w:val="24"/>
    </w:rPr>
  </w:style>
  <w:style w:type="character" w:styleId="a9">
    <w:name w:val="Strong"/>
    <w:basedOn w:val="a1"/>
    <w:uiPriority w:val="22"/>
    <w:qFormat/>
    <w:rPr>
      <w:rFonts w:ascii="Times New Roman" w:hAnsi="Times New Roman"/>
      <w:b/>
      <w:bCs/>
    </w:rPr>
  </w:style>
  <w:style w:type="paragraph" w:customStyle="1" w:styleId="AuthorList">
    <w:name w:val="Author List"/>
    <w:basedOn w:val="a7"/>
    <w:next w:val="a0"/>
    <w:uiPriority w:val="1"/>
    <w:qFormat/>
  </w:style>
  <w:style w:type="character" w:customStyle="1" w:styleId="10">
    <w:name w:val="标题 1 字符"/>
    <w:basedOn w:val="a1"/>
    <w:link w:val="1"/>
    <w:uiPriority w:val="2"/>
    <w:qFormat/>
    <w:rPr>
      <w:b/>
    </w:rPr>
  </w:style>
  <w:style w:type="paragraph" w:customStyle="1" w:styleId="EndNoteBibliographyTitle">
    <w:name w:val="EndNote Bibliography Title"/>
    <w:pPr>
      <w:pBdr>
        <w:top w:val="none" w:sz="8" w:space="0" w:color="auto"/>
        <w:left w:val="none" w:sz="8" w:space="0" w:color="auto"/>
        <w:bottom w:val="none" w:sz="8" w:space="0" w:color="auto"/>
        <w:right w:val="none" w:sz="8" w:space="0" w:color="auto"/>
        <w:between w:val="none" w:sz="8" w:space="0" w:color="auto"/>
      </w:pBdr>
      <w:jc w:val="center"/>
    </w:pPr>
    <w:rPr>
      <w:rFonts w:ascii="Times New Roman" w:eastAsiaTheme="minorHAnsi" w:hAnsi="Times New Roman" w:cs="Times New Roman"/>
      <w:sz w:val="24"/>
      <w:szCs w:val="22"/>
      <w:lang w:eastAsia="en-US"/>
    </w:rPr>
  </w:style>
  <w:style w:type="paragraph" w:customStyle="1" w:styleId="EndNoteBibliography">
    <w:name w:val="EndNote Bibliography"/>
    <w:pPr>
      <w:pBdr>
        <w:top w:val="none" w:sz="8" w:space="0" w:color="auto"/>
        <w:left w:val="none" w:sz="8" w:space="0" w:color="auto"/>
        <w:bottom w:val="none" w:sz="8" w:space="0" w:color="auto"/>
        <w:right w:val="none" w:sz="8" w:space="0" w:color="auto"/>
        <w:between w:val="none" w:sz="8" w:space="0" w:color="auto"/>
      </w:pBdr>
    </w:pPr>
    <w:rPr>
      <w:rFonts w:ascii="Times New Roman" w:eastAsiaTheme="minorHAnsi" w:hAnsi="Times New Roman" w:cs="Times New Roman"/>
      <w:sz w:val="24"/>
      <w:szCs w:val="22"/>
      <w:lang w:eastAsia="en-US"/>
    </w:rPr>
  </w:style>
  <w:style w:type="character" w:styleId="aa">
    <w:name w:val="annotation reference"/>
    <w:basedOn w:val="a1"/>
    <w:rPr>
      <w:sz w:val="21"/>
      <w:szCs w:val="21"/>
    </w:rPr>
  </w:style>
  <w:style w:type="character" w:styleId="ab">
    <w:name w:val="line number"/>
    <w:basedOn w:val="a1"/>
    <w:rsid w:val="00ED4BE9"/>
  </w:style>
  <w:style w:type="paragraph" w:styleId="ac">
    <w:name w:val="Revision"/>
    <w:hidden/>
    <w:uiPriority w:val="99"/>
    <w:unhideWhenUsed/>
    <w:rsid w:val="00ED4BE9"/>
    <w:rPr>
      <w:rFonts w:ascii="Times New Roman" w:eastAsiaTheme="minorHAns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125287">
      <w:bodyDiv w:val="1"/>
      <w:marLeft w:val="0"/>
      <w:marRight w:val="0"/>
      <w:marTop w:val="0"/>
      <w:marBottom w:val="0"/>
      <w:divBdr>
        <w:top w:val="none" w:sz="0" w:space="0" w:color="auto"/>
        <w:left w:val="none" w:sz="0" w:space="0" w:color="auto"/>
        <w:bottom w:val="none" w:sz="0" w:space="0" w:color="auto"/>
        <w:right w:val="none" w:sz="0" w:space="0" w:color="auto"/>
      </w:divBdr>
    </w:div>
    <w:div w:id="1083260024">
      <w:bodyDiv w:val="1"/>
      <w:marLeft w:val="0"/>
      <w:marRight w:val="0"/>
      <w:marTop w:val="0"/>
      <w:marBottom w:val="0"/>
      <w:divBdr>
        <w:top w:val="none" w:sz="0" w:space="0" w:color="auto"/>
        <w:left w:val="none" w:sz="0" w:space="0" w:color="auto"/>
        <w:bottom w:val="none" w:sz="0" w:space="0" w:color="auto"/>
        <w:right w:val="none" w:sz="0" w:space="0" w:color="auto"/>
      </w:divBdr>
      <w:divsChild>
        <w:div w:id="1041320169">
          <w:marLeft w:val="0"/>
          <w:marRight w:val="0"/>
          <w:marTop w:val="0"/>
          <w:marBottom w:val="0"/>
          <w:divBdr>
            <w:top w:val="none" w:sz="0" w:space="0" w:color="auto"/>
            <w:left w:val="none" w:sz="0" w:space="0" w:color="auto"/>
            <w:bottom w:val="none" w:sz="0" w:space="0" w:color="auto"/>
            <w:right w:val="none" w:sz="0" w:space="0" w:color="auto"/>
          </w:divBdr>
          <w:divsChild>
            <w:div w:id="2017809322">
              <w:marLeft w:val="0"/>
              <w:marRight w:val="0"/>
              <w:marTop w:val="0"/>
              <w:marBottom w:val="0"/>
              <w:divBdr>
                <w:top w:val="none" w:sz="0" w:space="0" w:color="auto"/>
                <w:left w:val="none" w:sz="0" w:space="0" w:color="auto"/>
                <w:bottom w:val="none" w:sz="0" w:space="0" w:color="auto"/>
                <w:right w:val="none" w:sz="0" w:space="0" w:color="auto"/>
              </w:divBdr>
              <w:divsChild>
                <w:div w:id="15529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47198</dc:creator>
  <cp:lastModifiedBy>605110085@qq.com</cp:lastModifiedBy>
  <cp:revision>12</cp:revision>
  <dcterms:created xsi:type="dcterms:W3CDTF">2024-09-14T23:15:00Z</dcterms:created>
  <dcterms:modified xsi:type="dcterms:W3CDTF">2024-10-06T02:24:00Z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A0BFC7A356B749D4BBAA2073FC6B832D_12</vt:lpwstr>
  </property>
</Properties>
</file>