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B769E">
      <w:pPr>
        <w:spacing w:line="360" w:lineRule="auto"/>
        <w:jc w:val="center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Supplementary Materials</w:t>
      </w:r>
    </w:p>
    <w:p w14:paraId="6C808D79">
      <w:pPr>
        <w:widowControl/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</w:p>
    <w:p w14:paraId="1C4F1710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 xml:space="preserve">Title: </w:t>
      </w:r>
      <w:r>
        <w:rPr>
          <w:rFonts w:ascii="Times New Roman" w:hAnsi="Times New Roman" w:cs="Times New Roman"/>
          <w:sz w:val="24"/>
        </w:rPr>
        <w:t>Healthy lifestyle moderates the association between recent negative life events and depressive symptoms: a cross-sectional study</w:t>
      </w:r>
    </w:p>
    <w:sdt>
      <w:sdtPr>
        <w:rPr>
          <w:rFonts w:ascii="宋体" w:hAnsi="宋体" w:eastAsia="宋体"/>
          <w:sz w:val="24"/>
        </w:rPr>
        <w:id w:val="298039137"/>
        <w15:color w:val="DBDBDB"/>
        <w:docPartObj>
          <w:docPartGallery w:val="Table of Contents"/>
          <w:docPartUnique/>
        </w:docPartObj>
      </w:sdtPr>
      <w:sdtEndPr>
        <w:rPr>
          <w:rFonts w:ascii="Times New Roman Regular" w:hAnsi="Times New Roman Regular" w:cs="Times New Roman Regular" w:eastAsiaTheme="minorEastAsia"/>
          <w:sz w:val="24"/>
        </w:rPr>
      </w:sdtEndPr>
      <w:sdtContent>
        <w:p w14:paraId="2460F650">
          <w:pPr>
            <w:spacing w:line="360" w:lineRule="auto"/>
            <w:jc w:val="center"/>
            <w:rPr>
              <w:sz w:val="24"/>
            </w:rPr>
          </w:pPr>
        </w:p>
        <w:p w14:paraId="2DCC7AE2">
          <w:pPr>
            <w:pStyle w:val="5"/>
            <w:tabs>
              <w:tab w:val="right" w:leader="dot" w:pos="13958"/>
            </w:tabs>
            <w:spacing w:line="480" w:lineRule="auto"/>
            <w:rPr>
              <w:rFonts w:ascii="Times New Roman Regular" w:hAnsi="Times New Roman Regular" w:cs="Times New Roman Regular"/>
              <w:sz w:val="24"/>
            </w:rPr>
          </w:pPr>
          <w:r>
            <w:rPr>
              <w:rFonts w:ascii="Times New Roman Regular" w:hAnsi="Times New Roman Regular" w:cs="Times New Roman Regular"/>
              <w:sz w:val="24"/>
            </w:rPr>
            <w:fldChar w:fldCharType="begin"/>
          </w:r>
          <w:r>
            <w:rPr>
              <w:rFonts w:ascii="Times New Roman Regular" w:hAnsi="Times New Roman Regular" w:cs="Times New Roman Regular"/>
              <w:sz w:val="24"/>
            </w:rPr>
            <w:instrText xml:space="preserve">TOC \o "1-1" \h \u </w:instrText>
          </w:r>
          <w:r>
            <w:rPr>
              <w:rFonts w:ascii="Times New Roman Regular" w:hAnsi="Times New Roman Regular" w:cs="Times New Roman Regular"/>
              <w:sz w:val="24"/>
            </w:rPr>
            <w:fldChar w:fldCharType="separate"/>
          </w:r>
          <w:r>
            <w:fldChar w:fldCharType="begin"/>
          </w:r>
          <w:r>
            <w:instrText xml:space="preserve"> HYPERLINK \l "_Toc1773101354" </w:instrText>
          </w:r>
          <w:r>
            <w:fldChar w:fldCharType="separate"/>
          </w:r>
          <w:r>
            <w:rPr>
              <w:rFonts w:ascii="Times New Roman Regular" w:hAnsi="Times New Roman Regular" w:cs="Times New Roman Regular"/>
              <w:bCs/>
              <w:sz w:val="24"/>
            </w:rPr>
            <w:t>Table S1</w:t>
          </w:r>
          <w:r>
            <w:rPr>
              <w:rFonts w:ascii="Times New Roman Regular" w:hAnsi="Times New Roman Regular" w:cs="Times New Roman Regular"/>
              <w:sz w:val="24"/>
            </w:rPr>
            <w:t xml:space="preserve"> Subgroup analyses for the association of lifestyle categories with depressive symptoms within each category of recent negative life events</w:t>
          </w:r>
          <w:r>
            <w:rPr>
              <w:rFonts w:ascii="Times New Roman Regular" w:hAnsi="Times New Roman Regular" w:cs="Times New Roman Regular"/>
              <w:sz w:val="24"/>
            </w:rPr>
            <w:tab/>
          </w:r>
          <w:r>
            <w:rPr>
              <w:rFonts w:ascii="Times New Roman Regular" w:hAnsi="Times New Roman Regular" w:cs="Times New Roman Regular"/>
              <w:sz w:val="24"/>
            </w:rPr>
            <w:fldChar w:fldCharType="begin"/>
          </w:r>
          <w:r>
            <w:rPr>
              <w:rFonts w:ascii="Times New Roman Regular" w:hAnsi="Times New Roman Regular" w:cs="Times New Roman Regular"/>
              <w:sz w:val="24"/>
            </w:rPr>
            <w:instrText xml:space="preserve"> PAGEREF _Toc1773101354 \h </w:instrText>
          </w:r>
          <w:r>
            <w:rPr>
              <w:rFonts w:ascii="Times New Roman Regular" w:hAnsi="Times New Roman Regular" w:cs="Times New Roman Regular"/>
              <w:sz w:val="24"/>
            </w:rPr>
            <w:fldChar w:fldCharType="separate"/>
          </w:r>
          <w:r>
            <w:rPr>
              <w:rFonts w:ascii="Times New Roman Regular" w:hAnsi="Times New Roman Regular" w:cs="Times New Roman Regular"/>
              <w:sz w:val="24"/>
            </w:rPr>
            <w:t>1</w:t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</w:p>
        <w:p w14:paraId="004E343E">
          <w:pPr>
            <w:pStyle w:val="5"/>
            <w:tabs>
              <w:tab w:val="right" w:leader="dot" w:pos="13958"/>
            </w:tabs>
            <w:spacing w:line="480" w:lineRule="auto"/>
            <w:rPr>
              <w:rFonts w:ascii="Times New Roman Regular" w:hAnsi="Times New Roman Regular" w:cs="Times New Roman Regular"/>
              <w:sz w:val="24"/>
            </w:rPr>
          </w:pPr>
          <w:r>
            <w:fldChar w:fldCharType="begin"/>
          </w:r>
          <w:r>
            <w:instrText xml:space="preserve"> HYPERLINK \l "_Toc2031370906" </w:instrText>
          </w:r>
          <w:r>
            <w:fldChar w:fldCharType="separate"/>
          </w:r>
          <w:r>
            <w:rPr>
              <w:rFonts w:ascii="Times New Roman Regular" w:hAnsi="Times New Roman Regular" w:cs="Times New Roman Regular"/>
              <w:bCs/>
              <w:sz w:val="24"/>
            </w:rPr>
            <w:t>Table S2</w:t>
          </w:r>
          <w:r>
            <w:rPr>
              <w:rFonts w:ascii="Times New Roman Regular" w:hAnsi="Times New Roman Regular" w:cs="Times New Roman Regular"/>
              <w:sz w:val="24"/>
            </w:rPr>
            <w:t xml:space="preserve"> Association of RNLEs and overall lifestyle with depressive symptoms (PHQ-9≥10)</w:t>
          </w:r>
          <w:r>
            <w:rPr>
              <w:rFonts w:ascii="Times New Roman Regular" w:hAnsi="Times New Roman Regular" w:cs="Times New Roman Regular"/>
              <w:sz w:val="24"/>
            </w:rPr>
            <w:tab/>
          </w:r>
          <w:r>
            <w:rPr>
              <w:rFonts w:ascii="Times New Roman Regular" w:hAnsi="Times New Roman Regular" w:cs="Times New Roman Regular"/>
              <w:sz w:val="24"/>
            </w:rPr>
            <w:fldChar w:fldCharType="begin"/>
          </w:r>
          <w:r>
            <w:rPr>
              <w:rFonts w:ascii="Times New Roman Regular" w:hAnsi="Times New Roman Regular" w:cs="Times New Roman Regular"/>
              <w:sz w:val="24"/>
            </w:rPr>
            <w:instrText xml:space="preserve"> PAGEREF _Toc2031370906 \h </w:instrText>
          </w:r>
          <w:r>
            <w:rPr>
              <w:rFonts w:ascii="Times New Roman Regular" w:hAnsi="Times New Roman Regular" w:cs="Times New Roman Regular"/>
              <w:sz w:val="24"/>
            </w:rPr>
            <w:fldChar w:fldCharType="separate"/>
          </w:r>
          <w:r>
            <w:rPr>
              <w:rFonts w:ascii="Times New Roman Regular" w:hAnsi="Times New Roman Regular" w:cs="Times New Roman Regular"/>
              <w:sz w:val="24"/>
            </w:rPr>
            <w:t>3</w:t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</w:p>
        <w:p w14:paraId="265FE948">
          <w:pPr>
            <w:pStyle w:val="5"/>
            <w:tabs>
              <w:tab w:val="right" w:leader="dot" w:pos="13958"/>
            </w:tabs>
            <w:spacing w:line="480" w:lineRule="auto"/>
            <w:rPr>
              <w:rFonts w:ascii="Times New Roman Regular" w:hAnsi="Times New Roman Regular" w:cs="Times New Roman Regular"/>
              <w:sz w:val="24"/>
            </w:rPr>
          </w:pPr>
          <w:r>
            <w:fldChar w:fldCharType="begin"/>
          </w:r>
          <w:r>
            <w:instrText xml:space="preserve"> HYPERLINK \l "_Toc555797136" </w:instrText>
          </w:r>
          <w:r>
            <w:fldChar w:fldCharType="separate"/>
          </w:r>
          <w:r>
            <w:rPr>
              <w:rFonts w:ascii="Times New Roman Regular" w:hAnsi="Times New Roman Regular" w:cs="Times New Roman Regular"/>
              <w:bCs/>
              <w:sz w:val="24"/>
            </w:rPr>
            <w:t>Figure S1</w:t>
          </w:r>
          <w:r>
            <w:rPr>
              <w:rFonts w:ascii="Times New Roman Regular" w:hAnsi="Times New Roman Regular" w:cs="Times New Roman Regular"/>
              <w:sz w:val="24"/>
            </w:rPr>
            <w:t xml:space="preserve"> Dose-relationship of the number of RNLEs and odds ratio of depressive symptoms.</w:t>
          </w:r>
          <w:r>
            <w:rPr>
              <w:rFonts w:ascii="Times New Roman Regular" w:hAnsi="Times New Roman Regular" w:cs="Times New Roman Regular"/>
              <w:sz w:val="24"/>
            </w:rPr>
            <w:tab/>
          </w:r>
          <w:r>
            <w:rPr>
              <w:rFonts w:ascii="Times New Roman Regular" w:hAnsi="Times New Roman Regular" w:cs="Times New Roman Regular"/>
              <w:sz w:val="24"/>
            </w:rPr>
            <w:fldChar w:fldCharType="begin"/>
          </w:r>
          <w:r>
            <w:rPr>
              <w:rFonts w:ascii="Times New Roman Regular" w:hAnsi="Times New Roman Regular" w:cs="Times New Roman Regular"/>
              <w:sz w:val="24"/>
            </w:rPr>
            <w:instrText xml:space="preserve"> PAGEREF _Toc555797136 \h </w:instrText>
          </w:r>
          <w:r>
            <w:rPr>
              <w:rFonts w:ascii="Times New Roman Regular" w:hAnsi="Times New Roman Regular" w:cs="Times New Roman Regular"/>
              <w:sz w:val="24"/>
            </w:rPr>
            <w:fldChar w:fldCharType="separate"/>
          </w:r>
          <w:r>
            <w:rPr>
              <w:rFonts w:ascii="Times New Roman Regular" w:hAnsi="Times New Roman Regular" w:cs="Times New Roman Regular"/>
              <w:sz w:val="24"/>
            </w:rPr>
            <w:t>4</w:t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</w:p>
        <w:p w14:paraId="3F0ACE99">
          <w:pPr>
            <w:pStyle w:val="5"/>
            <w:tabs>
              <w:tab w:val="right" w:leader="dot" w:pos="13958"/>
            </w:tabs>
            <w:spacing w:line="480" w:lineRule="auto"/>
            <w:rPr>
              <w:rFonts w:ascii="Times New Roman Regular" w:hAnsi="Times New Roman Regular" w:cs="Times New Roman Regular"/>
              <w:sz w:val="24"/>
            </w:rPr>
          </w:pPr>
          <w:r>
            <w:fldChar w:fldCharType="begin"/>
          </w:r>
          <w:r>
            <w:instrText xml:space="preserve"> HYPERLINK \l "_Toc1876083949" </w:instrText>
          </w:r>
          <w:r>
            <w:fldChar w:fldCharType="separate"/>
          </w:r>
          <w:r>
            <w:rPr>
              <w:rFonts w:ascii="Times New Roman Regular" w:hAnsi="Times New Roman Regular" w:cs="Times New Roman Regular"/>
              <w:bCs/>
              <w:sz w:val="24"/>
            </w:rPr>
            <w:t>Figure S2</w:t>
          </w:r>
          <w:r>
            <w:rPr>
              <w:rFonts w:ascii="Times New Roman Regular" w:hAnsi="Times New Roman Regular" w:cs="Times New Roman Regular"/>
              <w:sz w:val="24"/>
            </w:rPr>
            <w:t xml:space="preserve"> Dose-relationship of the number of healthy lifestyle and odds ratio of depressive symptoms.</w:t>
          </w:r>
          <w:r>
            <w:rPr>
              <w:rFonts w:ascii="Times New Roman Regular" w:hAnsi="Times New Roman Regular" w:cs="Times New Roman Regular"/>
              <w:sz w:val="24"/>
            </w:rPr>
            <w:tab/>
          </w:r>
          <w:r>
            <w:rPr>
              <w:rFonts w:ascii="Times New Roman Regular" w:hAnsi="Times New Roman Regular" w:cs="Times New Roman Regular"/>
              <w:sz w:val="24"/>
            </w:rPr>
            <w:fldChar w:fldCharType="begin"/>
          </w:r>
          <w:r>
            <w:rPr>
              <w:rFonts w:ascii="Times New Roman Regular" w:hAnsi="Times New Roman Regular" w:cs="Times New Roman Regular"/>
              <w:sz w:val="24"/>
            </w:rPr>
            <w:instrText xml:space="preserve"> PAGEREF _Toc1876083949 \h </w:instrText>
          </w:r>
          <w:r>
            <w:rPr>
              <w:rFonts w:ascii="Times New Roman Regular" w:hAnsi="Times New Roman Regular" w:cs="Times New Roman Regular"/>
              <w:sz w:val="24"/>
            </w:rPr>
            <w:fldChar w:fldCharType="separate"/>
          </w:r>
          <w:r>
            <w:rPr>
              <w:rFonts w:ascii="Times New Roman Regular" w:hAnsi="Times New Roman Regular" w:cs="Times New Roman Regular"/>
              <w:sz w:val="24"/>
            </w:rPr>
            <w:t>5</w:t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</w:p>
        <w:p w14:paraId="65320045">
          <w:pPr>
            <w:pStyle w:val="5"/>
            <w:tabs>
              <w:tab w:val="right" w:leader="dot" w:pos="13958"/>
            </w:tabs>
            <w:spacing w:line="480" w:lineRule="auto"/>
            <w:rPr>
              <w:rFonts w:ascii="Times New Roman Regular" w:hAnsi="Times New Roman Regular" w:cs="Times New Roman Regular"/>
              <w:sz w:val="24"/>
            </w:rPr>
          </w:pPr>
          <w:r>
            <w:fldChar w:fldCharType="begin"/>
          </w:r>
          <w:r>
            <w:instrText xml:space="preserve"> HYPERLINK \l "_Toc1988025589" </w:instrText>
          </w:r>
          <w:r>
            <w:fldChar w:fldCharType="separate"/>
          </w:r>
          <w:r>
            <w:rPr>
              <w:rFonts w:ascii="Times New Roman Regular" w:hAnsi="Times New Roman Regular" w:cs="Times New Roman Regular"/>
              <w:bCs/>
              <w:sz w:val="24"/>
            </w:rPr>
            <w:t>Figure S3</w:t>
          </w:r>
          <w:r>
            <w:rPr>
              <w:rFonts w:ascii="Times New Roman Regular" w:hAnsi="Times New Roman Regular" w:cs="Times New Roman Regular"/>
              <w:sz w:val="24"/>
            </w:rPr>
            <w:t xml:space="preserve"> Association between recent negative life events (RNLEs) and odds ratio of depressive symptoms within each overall lifestyle category.</w:t>
          </w:r>
          <w:r>
            <w:rPr>
              <w:rFonts w:ascii="Times New Roman Regular" w:hAnsi="Times New Roman Regular" w:cs="Times New Roman Regular"/>
              <w:sz w:val="24"/>
            </w:rPr>
            <w:tab/>
          </w:r>
          <w:r>
            <w:rPr>
              <w:rFonts w:ascii="Times New Roman Regular" w:hAnsi="Times New Roman Regular" w:cs="Times New Roman Regular"/>
              <w:sz w:val="24"/>
            </w:rPr>
            <w:fldChar w:fldCharType="begin"/>
          </w:r>
          <w:r>
            <w:rPr>
              <w:rFonts w:ascii="Times New Roman Regular" w:hAnsi="Times New Roman Regular" w:cs="Times New Roman Regular"/>
              <w:sz w:val="24"/>
            </w:rPr>
            <w:instrText xml:space="preserve"> PAGEREF _Toc1988025589 \h </w:instrText>
          </w:r>
          <w:r>
            <w:rPr>
              <w:rFonts w:ascii="Times New Roman Regular" w:hAnsi="Times New Roman Regular" w:cs="Times New Roman Regular"/>
              <w:sz w:val="24"/>
            </w:rPr>
            <w:fldChar w:fldCharType="separate"/>
          </w:r>
          <w:r>
            <w:rPr>
              <w:rFonts w:ascii="Times New Roman Regular" w:hAnsi="Times New Roman Regular" w:cs="Times New Roman Regular"/>
              <w:sz w:val="24"/>
            </w:rPr>
            <w:t>6</w:t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</w:p>
        <w:p w14:paraId="54F26DFE">
          <w:pPr>
            <w:pStyle w:val="5"/>
            <w:tabs>
              <w:tab w:val="right" w:leader="dot" w:pos="13958"/>
            </w:tabs>
            <w:spacing w:line="480" w:lineRule="auto"/>
            <w:rPr>
              <w:rFonts w:ascii="Times New Roman Regular" w:hAnsi="Times New Roman Regular" w:cs="Times New Roman Regular"/>
              <w:sz w:val="24"/>
            </w:rPr>
          </w:pPr>
          <w:r>
            <w:fldChar w:fldCharType="begin"/>
          </w:r>
          <w:r>
            <w:instrText xml:space="preserve"> HYPERLINK \l "_Toc48010650" </w:instrText>
          </w:r>
          <w:r>
            <w:fldChar w:fldCharType="separate"/>
          </w:r>
          <w:r>
            <w:rPr>
              <w:rFonts w:ascii="Times New Roman Regular" w:hAnsi="Times New Roman Regular" w:cs="Times New Roman Regular"/>
              <w:bCs/>
              <w:sz w:val="24"/>
            </w:rPr>
            <w:t>Figure S4</w:t>
          </w:r>
          <w:r>
            <w:rPr>
              <w:rFonts w:ascii="Times New Roman Regular" w:hAnsi="Times New Roman Regular" w:cs="Times New Roman Regular"/>
              <w:sz w:val="24"/>
            </w:rPr>
            <w:t xml:space="preserve"> Joint association of recent negative life events (RNLEs) and overall lifestyle in adulthood with odds ratio of depressive symptoms.</w:t>
          </w:r>
          <w:r>
            <w:rPr>
              <w:rFonts w:ascii="Times New Roman Regular" w:hAnsi="Times New Roman Regular" w:cs="Times New Roman Regular"/>
              <w:sz w:val="24"/>
            </w:rPr>
            <w:tab/>
          </w:r>
          <w:r>
            <w:rPr>
              <w:rFonts w:ascii="Times New Roman Regular" w:hAnsi="Times New Roman Regular" w:cs="Times New Roman Regular"/>
              <w:sz w:val="24"/>
            </w:rPr>
            <w:fldChar w:fldCharType="begin"/>
          </w:r>
          <w:r>
            <w:rPr>
              <w:rFonts w:ascii="Times New Roman Regular" w:hAnsi="Times New Roman Regular" w:cs="Times New Roman Regular"/>
              <w:sz w:val="24"/>
            </w:rPr>
            <w:instrText xml:space="preserve"> PAGEREF _Toc48010650 \h </w:instrText>
          </w:r>
          <w:r>
            <w:rPr>
              <w:rFonts w:ascii="Times New Roman Regular" w:hAnsi="Times New Roman Regular" w:cs="Times New Roman Regular"/>
              <w:sz w:val="24"/>
            </w:rPr>
            <w:fldChar w:fldCharType="separate"/>
          </w:r>
          <w:r>
            <w:rPr>
              <w:rFonts w:ascii="Times New Roman Regular" w:hAnsi="Times New Roman Regular" w:cs="Times New Roman Regular"/>
              <w:sz w:val="24"/>
            </w:rPr>
            <w:t>7</w:t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</w:p>
        <w:p w14:paraId="65B7E20F">
          <w:pPr>
            <w:widowControl/>
            <w:spacing w:line="480" w:lineRule="auto"/>
            <w:rPr>
              <w:rFonts w:ascii="Times New Roman Regular" w:hAnsi="Times New Roman Regular" w:cs="Times New Roman Regular"/>
            </w:rPr>
            <w:sectPr>
              <w:pgSz w:w="16838" w:h="11906" w:orient="landscape"/>
              <w:pgMar w:top="1800" w:right="1440" w:bottom="1800" w:left="1440" w:header="851" w:footer="992" w:gutter="0"/>
              <w:cols w:space="425" w:num="1"/>
              <w:docGrid w:type="lines" w:linePitch="312" w:charSpace="0"/>
            </w:sectPr>
          </w:pPr>
          <w:r>
            <w:rPr>
              <w:rFonts w:ascii="Times New Roman Regular" w:hAnsi="Times New Roman Regular" w:cs="Times New Roman Regular"/>
              <w:sz w:val="24"/>
            </w:rPr>
            <w:fldChar w:fldCharType="end"/>
          </w:r>
        </w:p>
      </w:sdtContent>
    </w:sdt>
    <w:p w14:paraId="69EE2934">
      <w:pPr>
        <w:pStyle w:val="2"/>
        <w:spacing w:before="0" w:after="0" w:line="360" w:lineRule="auto"/>
        <w:rPr>
          <w:rFonts w:ascii="Times New Roman Regular" w:hAnsi="Times New Roman Regular" w:cs="Times New Roman Regular"/>
          <w:b w:val="0"/>
          <w:sz w:val="24"/>
        </w:rPr>
      </w:pPr>
      <w:bookmarkStart w:id="0" w:name="_Toc1773101354"/>
      <w:r>
        <w:rPr>
          <w:rFonts w:ascii="Times New Roman Bold" w:hAnsi="Times New Roman Bold" w:cs="Times New Roman Bold"/>
          <w:bCs/>
          <w:sz w:val="24"/>
        </w:rPr>
        <w:t>Table S1</w:t>
      </w:r>
      <w:r>
        <w:rPr>
          <w:rFonts w:ascii="Times New Roman Regular" w:hAnsi="Times New Roman Regular" w:cs="Times New Roman Regular"/>
          <w:b w:val="0"/>
          <w:sz w:val="24"/>
        </w:rPr>
        <w:t xml:space="preserve"> Subgroup analyses for the association of lifestyle categories with depressive symptoms within each category of recent negative life events</w:t>
      </w:r>
      <w:bookmarkEnd w:id="0"/>
      <w:r>
        <w:rPr>
          <w:rFonts w:ascii="Times New Roman Regular" w:hAnsi="Times New Roman Regular" w:cs="Times New Roman Regular"/>
          <w:b w:val="0"/>
          <w:sz w:val="24"/>
        </w:rPr>
        <w:t xml:space="preserve"> </w:t>
      </w:r>
    </w:p>
    <w:tbl>
      <w:tblPr>
        <w:tblStyle w:val="7"/>
        <w:tblW w:w="147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921"/>
        <w:gridCol w:w="1920"/>
        <w:gridCol w:w="297"/>
        <w:gridCol w:w="1919"/>
        <w:gridCol w:w="1921"/>
        <w:gridCol w:w="294"/>
        <w:gridCol w:w="1920"/>
        <w:gridCol w:w="1921"/>
      </w:tblGrid>
      <w:tr w14:paraId="155B92B8">
        <w:trPr>
          <w:trHeight w:val="204" w:hRule="atLeast"/>
          <w:jc w:val="center"/>
        </w:trPr>
        <w:tc>
          <w:tcPr>
            <w:tcW w:w="2660" w:type="dxa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430F8778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Lifestyle categories</w:t>
            </w:r>
          </w:p>
        </w:tc>
        <w:tc>
          <w:tcPr>
            <w:tcW w:w="4138" w:type="dxa"/>
            <w:gridSpan w:val="3"/>
            <w:tcBorders>
              <w:top w:val="single" w:color="auto" w:sz="8" w:space="0"/>
            </w:tcBorders>
            <w:noWrap/>
          </w:tcPr>
          <w:p w14:paraId="4816D9D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3840" w:type="dxa"/>
            <w:gridSpan w:val="2"/>
            <w:tcBorders>
              <w:top w:val="single" w:color="auto" w:sz="8" w:space="0"/>
              <w:bottom w:val="single" w:color="auto" w:sz="8" w:space="0"/>
            </w:tcBorders>
            <w:noWrap/>
          </w:tcPr>
          <w:p w14:paraId="4CBFC4E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294" w:type="dxa"/>
            <w:tcBorders>
              <w:top w:val="single" w:color="auto" w:sz="8" w:space="0"/>
            </w:tcBorders>
            <w:noWrap/>
          </w:tcPr>
          <w:p w14:paraId="13BA8F8A"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3841" w:type="dxa"/>
            <w:gridSpan w:val="2"/>
            <w:tcBorders>
              <w:top w:val="single" w:color="auto" w:sz="8" w:space="0"/>
              <w:bottom w:val="single" w:color="auto" w:sz="8" w:space="0"/>
            </w:tcBorders>
            <w:noWrap/>
          </w:tcPr>
          <w:p w14:paraId="20059EF2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Region</w:t>
            </w:r>
          </w:p>
        </w:tc>
      </w:tr>
      <w:tr w14:paraId="7C3D2412">
        <w:trPr>
          <w:trHeight w:val="275" w:hRule="atLeast"/>
          <w:jc w:val="center"/>
        </w:trPr>
        <w:tc>
          <w:tcPr>
            <w:tcW w:w="2660" w:type="dxa"/>
            <w:vMerge w:val="continue"/>
            <w:tcBorders>
              <w:bottom w:val="single" w:color="auto" w:sz="8" w:space="0"/>
            </w:tcBorders>
            <w:noWrap/>
          </w:tcPr>
          <w:p w14:paraId="2CFF19E2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921" w:type="dxa"/>
            <w:tcBorders>
              <w:top w:val="single" w:color="auto" w:sz="8" w:space="0"/>
              <w:bottom w:val="single" w:color="auto" w:sz="8" w:space="0"/>
            </w:tcBorders>
            <w:noWrap/>
          </w:tcPr>
          <w:p w14:paraId="5F5F83A6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&lt;60 years</w:t>
            </w:r>
          </w:p>
        </w:tc>
        <w:tc>
          <w:tcPr>
            <w:tcW w:w="1920" w:type="dxa"/>
            <w:tcBorders>
              <w:top w:val="single" w:color="auto" w:sz="8" w:space="0"/>
              <w:bottom w:val="single" w:color="auto" w:sz="8" w:space="0"/>
            </w:tcBorders>
            <w:noWrap/>
          </w:tcPr>
          <w:p w14:paraId="5E67555F"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≥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60 years</w:t>
            </w:r>
          </w:p>
        </w:tc>
        <w:tc>
          <w:tcPr>
            <w:tcW w:w="297" w:type="dxa"/>
            <w:tcBorders>
              <w:bottom w:val="single" w:color="auto" w:sz="8" w:space="0"/>
            </w:tcBorders>
          </w:tcPr>
          <w:p w14:paraId="7C663C3C"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1919" w:type="dxa"/>
            <w:tcBorders>
              <w:top w:val="single" w:color="auto" w:sz="8" w:space="0"/>
              <w:bottom w:val="single" w:color="auto" w:sz="8" w:space="0"/>
            </w:tcBorders>
            <w:noWrap/>
          </w:tcPr>
          <w:p w14:paraId="57BFADE1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Women</w:t>
            </w:r>
          </w:p>
        </w:tc>
        <w:tc>
          <w:tcPr>
            <w:tcW w:w="1921" w:type="dxa"/>
            <w:tcBorders>
              <w:top w:val="single" w:color="auto" w:sz="8" w:space="0"/>
              <w:bottom w:val="single" w:color="auto" w:sz="8" w:space="0"/>
            </w:tcBorders>
            <w:noWrap/>
          </w:tcPr>
          <w:p w14:paraId="439A1D9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Men</w:t>
            </w:r>
          </w:p>
        </w:tc>
        <w:tc>
          <w:tcPr>
            <w:tcW w:w="294" w:type="dxa"/>
            <w:tcBorders>
              <w:bottom w:val="single" w:color="auto" w:sz="8" w:space="0"/>
            </w:tcBorders>
            <w:noWrap/>
          </w:tcPr>
          <w:p w14:paraId="08F16CF3">
            <w:pPr>
              <w:widowControl/>
              <w:spacing w:line="36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1920" w:type="dxa"/>
            <w:tcBorders>
              <w:top w:val="single" w:color="auto" w:sz="8" w:space="0"/>
              <w:bottom w:val="single" w:color="auto" w:sz="8" w:space="0"/>
            </w:tcBorders>
            <w:noWrap/>
          </w:tcPr>
          <w:p w14:paraId="2180745D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Urban</w:t>
            </w:r>
          </w:p>
        </w:tc>
        <w:tc>
          <w:tcPr>
            <w:tcW w:w="1921" w:type="dxa"/>
            <w:tcBorders>
              <w:top w:val="single" w:color="auto" w:sz="8" w:space="0"/>
              <w:bottom w:val="single" w:color="auto" w:sz="8" w:space="0"/>
            </w:tcBorders>
            <w:noWrap/>
          </w:tcPr>
          <w:p w14:paraId="302B5CB6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Rural</w:t>
            </w:r>
          </w:p>
        </w:tc>
      </w:tr>
      <w:tr w14:paraId="04E817AD">
        <w:trPr>
          <w:trHeight w:val="275" w:hRule="atLeast"/>
          <w:jc w:val="center"/>
        </w:trPr>
        <w:tc>
          <w:tcPr>
            <w:tcW w:w="2660" w:type="dxa"/>
            <w:noWrap/>
          </w:tcPr>
          <w:p w14:paraId="2A151F34">
            <w:pPr>
              <w:widowControl/>
              <w:spacing w:line="360" w:lineRule="auto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Low RNLEs</w:t>
            </w:r>
          </w:p>
        </w:tc>
        <w:tc>
          <w:tcPr>
            <w:tcW w:w="1921" w:type="dxa"/>
            <w:noWrap/>
          </w:tcPr>
          <w:p w14:paraId="6A4A03FA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0E68CBD1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97" w:type="dxa"/>
            <w:noWrap/>
          </w:tcPr>
          <w:p w14:paraId="7362E72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3101F6E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noWrap/>
          </w:tcPr>
          <w:p w14:paraId="5A79D27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94" w:type="dxa"/>
            <w:noWrap/>
          </w:tcPr>
          <w:p w14:paraId="557CBDB1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275FC6A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noWrap/>
          </w:tcPr>
          <w:p w14:paraId="6D9C161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</w:tr>
      <w:tr w14:paraId="3E4AEE92">
        <w:trPr>
          <w:trHeight w:val="275" w:hRule="atLeast"/>
          <w:jc w:val="center"/>
        </w:trPr>
        <w:tc>
          <w:tcPr>
            <w:tcW w:w="2660" w:type="dxa"/>
            <w:noWrap/>
          </w:tcPr>
          <w:p w14:paraId="3EBBBDFC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Unfavorable lifestyle</w:t>
            </w:r>
          </w:p>
        </w:tc>
        <w:tc>
          <w:tcPr>
            <w:tcW w:w="1921" w:type="dxa"/>
            <w:noWrap/>
          </w:tcPr>
          <w:p w14:paraId="2868E4E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0" w:type="dxa"/>
            <w:noWrap/>
          </w:tcPr>
          <w:p w14:paraId="2730FDAA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297" w:type="dxa"/>
            <w:noWrap/>
          </w:tcPr>
          <w:p w14:paraId="78465FDB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625EC12E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1" w:type="dxa"/>
            <w:noWrap/>
          </w:tcPr>
          <w:p w14:paraId="7128E62E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294" w:type="dxa"/>
            <w:noWrap/>
          </w:tcPr>
          <w:p w14:paraId="368CC4A9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5639518C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1" w:type="dxa"/>
            <w:noWrap/>
          </w:tcPr>
          <w:p w14:paraId="6BDE54C5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</w:tr>
      <w:tr w14:paraId="64C0C0BC">
        <w:trPr>
          <w:trHeight w:val="275" w:hRule="atLeast"/>
          <w:jc w:val="center"/>
        </w:trPr>
        <w:tc>
          <w:tcPr>
            <w:tcW w:w="2660" w:type="dxa"/>
            <w:noWrap/>
          </w:tcPr>
          <w:p w14:paraId="6B72032E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Intermediate lifestyle</w:t>
            </w:r>
          </w:p>
        </w:tc>
        <w:tc>
          <w:tcPr>
            <w:tcW w:w="1921" w:type="dxa"/>
            <w:noWrap/>
          </w:tcPr>
          <w:p w14:paraId="7C1F9BF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0.62 (0.36-1.08)</w:t>
            </w:r>
          </w:p>
        </w:tc>
        <w:tc>
          <w:tcPr>
            <w:tcW w:w="1920" w:type="dxa"/>
            <w:noWrap/>
          </w:tcPr>
          <w:p w14:paraId="64F8D87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0.89 (0.67-1.41)</w:t>
            </w:r>
          </w:p>
        </w:tc>
        <w:tc>
          <w:tcPr>
            <w:tcW w:w="297" w:type="dxa"/>
            <w:noWrap/>
          </w:tcPr>
          <w:p w14:paraId="46EAD1A2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19167430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0.92 (0.47-1.81)</w:t>
            </w:r>
          </w:p>
        </w:tc>
        <w:tc>
          <w:tcPr>
            <w:tcW w:w="1921" w:type="dxa"/>
            <w:noWrap/>
          </w:tcPr>
          <w:p w14:paraId="2D0E46D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0.91 (0.44-1.87)</w:t>
            </w:r>
          </w:p>
        </w:tc>
        <w:tc>
          <w:tcPr>
            <w:tcW w:w="294" w:type="dxa"/>
            <w:noWrap/>
          </w:tcPr>
          <w:p w14:paraId="5A66487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5D9D686A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0.72 (0.41-1.27)</w:t>
            </w:r>
          </w:p>
        </w:tc>
        <w:tc>
          <w:tcPr>
            <w:tcW w:w="1921" w:type="dxa"/>
            <w:noWrap/>
          </w:tcPr>
          <w:p w14:paraId="0A33F1AD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0.60 (0.18-2.00)</w:t>
            </w:r>
          </w:p>
        </w:tc>
      </w:tr>
      <w:tr w14:paraId="4552089E">
        <w:trPr>
          <w:trHeight w:val="275" w:hRule="atLeast"/>
          <w:jc w:val="center"/>
        </w:trPr>
        <w:tc>
          <w:tcPr>
            <w:tcW w:w="2660" w:type="dxa"/>
            <w:noWrap/>
          </w:tcPr>
          <w:p w14:paraId="0C45EE59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Favorable lifestyle</w:t>
            </w:r>
          </w:p>
        </w:tc>
        <w:tc>
          <w:tcPr>
            <w:tcW w:w="1921" w:type="dxa"/>
            <w:noWrap/>
          </w:tcPr>
          <w:p w14:paraId="0921C65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0.50 (0.31-0.82)</w:t>
            </w:r>
          </w:p>
        </w:tc>
        <w:tc>
          <w:tcPr>
            <w:tcW w:w="1920" w:type="dxa"/>
            <w:noWrap/>
          </w:tcPr>
          <w:p w14:paraId="2400E2F1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0.63 (0.41-0.89)</w:t>
            </w:r>
          </w:p>
        </w:tc>
        <w:tc>
          <w:tcPr>
            <w:tcW w:w="297" w:type="dxa"/>
            <w:noWrap/>
          </w:tcPr>
          <w:p w14:paraId="6F8461C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03E15DF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0.46 (0.25-0.85)</w:t>
            </w:r>
          </w:p>
        </w:tc>
        <w:tc>
          <w:tcPr>
            <w:tcW w:w="1921" w:type="dxa"/>
            <w:noWrap/>
          </w:tcPr>
          <w:p w14:paraId="1520E1D5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0.45 (0.18-1.13)</w:t>
            </w:r>
          </w:p>
        </w:tc>
        <w:tc>
          <w:tcPr>
            <w:tcW w:w="294" w:type="dxa"/>
            <w:noWrap/>
          </w:tcPr>
          <w:p w14:paraId="35C7A8B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38446B0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0.60 (0.30-1.00)</w:t>
            </w:r>
          </w:p>
        </w:tc>
        <w:tc>
          <w:tcPr>
            <w:tcW w:w="1921" w:type="dxa"/>
            <w:noWrap/>
          </w:tcPr>
          <w:p w14:paraId="6DA7AA49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0.23 (0.07-0.75)</w:t>
            </w:r>
          </w:p>
        </w:tc>
      </w:tr>
      <w:tr w14:paraId="182BF2EA">
        <w:trPr>
          <w:trHeight w:val="275" w:hRule="atLeast"/>
          <w:jc w:val="center"/>
        </w:trPr>
        <w:tc>
          <w:tcPr>
            <w:tcW w:w="2660" w:type="dxa"/>
            <w:noWrap/>
          </w:tcPr>
          <w:p w14:paraId="0645C5AB">
            <w:pPr>
              <w:widowControl/>
              <w:spacing w:line="360" w:lineRule="auto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Intermediate RNLEs</w:t>
            </w:r>
          </w:p>
        </w:tc>
        <w:tc>
          <w:tcPr>
            <w:tcW w:w="1921" w:type="dxa"/>
            <w:noWrap/>
          </w:tcPr>
          <w:p w14:paraId="236642E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60AFF66A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97" w:type="dxa"/>
            <w:noWrap/>
          </w:tcPr>
          <w:p w14:paraId="5448BE21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08013B5A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noWrap/>
          </w:tcPr>
          <w:p w14:paraId="3F721A5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94" w:type="dxa"/>
            <w:noWrap/>
          </w:tcPr>
          <w:p w14:paraId="60ABAC40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4A82B66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noWrap/>
          </w:tcPr>
          <w:p w14:paraId="4EA6D78E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</w:tr>
      <w:tr w14:paraId="66A3A63A">
        <w:trPr>
          <w:trHeight w:val="275" w:hRule="atLeast"/>
          <w:jc w:val="center"/>
        </w:trPr>
        <w:tc>
          <w:tcPr>
            <w:tcW w:w="2660" w:type="dxa"/>
            <w:noWrap/>
          </w:tcPr>
          <w:p w14:paraId="00117448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Unfavorable lifestyle</w:t>
            </w:r>
          </w:p>
        </w:tc>
        <w:tc>
          <w:tcPr>
            <w:tcW w:w="1921" w:type="dxa"/>
            <w:noWrap/>
          </w:tcPr>
          <w:p w14:paraId="1ACECA0E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0" w:type="dxa"/>
            <w:noWrap/>
          </w:tcPr>
          <w:p w14:paraId="1D60462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297" w:type="dxa"/>
            <w:noWrap/>
          </w:tcPr>
          <w:p w14:paraId="129F548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1564DA19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1" w:type="dxa"/>
            <w:noWrap/>
          </w:tcPr>
          <w:p w14:paraId="21917C06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294" w:type="dxa"/>
            <w:noWrap/>
          </w:tcPr>
          <w:p w14:paraId="58C90D39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654F890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1" w:type="dxa"/>
            <w:noWrap/>
          </w:tcPr>
          <w:p w14:paraId="41A8B3BC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</w:tr>
      <w:tr w14:paraId="6E90ABDA">
        <w:trPr>
          <w:trHeight w:val="275" w:hRule="atLeast"/>
          <w:jc w:val="center"/>
        </w:trPr>
        <w:tc>
          <w:tcPr>
            <w:tcW w:w="2660" w:type="dxa"/>
            <w:noWrap/>
          </w:tcPr>
          <w:p w14:paraId="76F8D98E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Intermediate lifestyle</w:t>
            </w:r>
          </w:p>
        </w:tc>
        <w:tc>
          <w:tcPr>
            <w:tcW w:w="1921" w:type="dxa"/>
            <w:noWrap/>
          </w:tcPr>
          <w:p w14:paraId="5A62BD5A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0.71 (0.52-0.97)</w:t>
            </w:r>
          </w:p>
        </w:tc>
        <w:tc>
          <w:tcPr>
            <w:tcW w:w="1920" w:type="dxa"/>
            <w:noWrap/>
          </w:tcPr>
          <w:p w14:paraId="40C238CB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0.71 (0.47-1.08)</w:t>
            </w:r>
          </w:p>
        </w:tc>
        <w:tc>
          <w:tcPr>
            <w:tcW w:w="297" w:type="dxa"/>
            <w:noWrap/>
          </w:tcPr>
          <w:p w14:paraId="014DD15B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512B0FA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0.64 (0.44-0.92)</w:t>
            </w:r>
          </w:p>
        </w:tc>
        <w:tc>
          <w:tcPr>
            <w:tcW w:w="1921" w:type="dxa"/>
            <w:noWrap/>
          </w:tcPr>
          <w:p w14:paraId="6995C32D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0.67 (0.43-1.06)</w:t>
            </w:r>
          </w:p>
        </w:tc>
        <w:tc>
          <w:tcPr>
            <w:tcW w:w="294" w:type="dxa"/>
            <w:noWrap/>
          </w:tcPr>
          <w:p w14:paraId="5FB2F8E9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495B3180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0.59 (0.42-0.84)</w:t>
            </w:r>
          </w:p>
        </w:tc>
        <w:tc>
          <w:tcPr>
            <w:tcW w:w="1921" w:type="dxa"/>
            <w:noWrap/>
          </w:tcPr>
          <w:p w14:paraId="055AAC9D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0.82 (0.50-1.34)</w:t>
            </w:r>
          </w:p>
        </w:tc>
      </w:tr>
      <w:tr w14:paraId="55FB323A">
        <w:trPr>
          <w:trHeight w:val="275" w:hRule="atLeast"/>
          <w:jc w:val="center"/>
        </w:trPr>
        <w:tc>
          <w:tcPr>
            <w:tcW w:w="2660" w:type="dxa"/>
            <w:noWrap/>
          </w:tcPr>
          <w:p w14:paraId="5CACCAF0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Favorable lifestyle</w:t>
            </w:r>
          </w:p>
        </w:tc>
        <w:tc>
          <w:tcPr>
            <w:tcW w:w="1921" w:type="dxa"/>
            <w:noWrap/>
          </w:tcPr>
          <w:p w14:paraId="2C5422E0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0.33 (0.24-0.45)</w:t>
            </w:r>
          </w:p>
        </w:tc>
        <w:tc>
          <w:tcPr>
            <w:tcW w:w="1920" w:type="dxa"/>
            <w:noWrap/>
          </w:tcPr>
          <w:p w14:paraId="1F46A53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0.36 (0.24-0.54)</w:t>
            </w:r>
          </w:p>
        </w:tc>
        <w:tc>
          <w:tcPr>
            <w:tcW w:w="297" w:type="dxa"/>
            <w:noWrap/>
          </w:tcPr>
          <w:p w14:paraId="214388BB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503A74D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0.29 (0.21-0.42)</w:t>
            </w:r>
          </w:p>
        </w:tc>
        <w:tc>
          <w:tcPr>
            <w:tcW w:w="1921" w:type="dxa"/>
            <w:noWrap/>
          </w:tcPr>
          <w:p w14:paraId="785C266E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0.37 (0.23-0.61)</w:t>
            </w:r>
          </w:p>
        </w:tc>
        <w:tc>
          <w:tcPr>
            <w:tcW w:w="294" w:type="dxa"/>
            <w:noWrap/>
          </w:tcPr>
          <w:p w14:paraId="7B7753DC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44C8C95A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0.30 (0.21-0.43)</w:t>
            </w:r>
          </w:p>
        </w:tc>
        <w:tc>
          <w:tcPr>
            <w:tcW w:w="1921" w:type="dxa"/>
            <w:noWrap/>
          </w:tcPr>
          <w:p w14:paraId="35B75C5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0.34 (0.21-0.56)</w:t>
            </w:r>
          </w:p>
        </w:tc>
      </w:tr>
      <w:tr w14:paraId="1E53515C">
        <w:trPr>
          <w:trHeight w:val="275" w:hRule="atLeast"/>
          <w:jc w:val="center"/>
        </w:trPr>
        <w:tc>
          <w:tcPr>
            <w:tcW w:w="2660" w:type="dxa"/>
            <w:noWrap/>
          </w:tcPr>
          <w:p w14:paraId="18163F4D">
            <w:pPr>
              <w:widowControl/>
              <w:spacing w:line="360" w:lineRule="auto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High RNLEs</w:t>
            </w:r>
          </w:p>
        </w:tc>
        <w:tc>
          <w:tcPr>
            <w:tcW w:w="1921" w:type="dxa"/>
            <w:noWrap/>
          </w:tcPr>
          <w:p w14:paraId="511B8499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50B5A189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97" w:type="dxa"/>
            <w:noWrap/>
          </w:tcPr>
          <w:p w14:paraId="22DC7463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71D8DE0C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noWrap/>
          </w:tcPr>
          <w:p w14:paraId="37137BC0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94" w:type="dxa"/>
            <w:noWrap/>
          </w:tcPr>
          <w:p w14:paraId="2A653B5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2931620D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noWrap/>
          </w:tcPr>
          <w:p w14:paraId="251EB655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</w:tr>
      <w:tr w14:paraId="76E3B9ED">
        <w:trPr>
          <w:trHeight w:val="275" w:hRule="atLeast"/>
          <w:jc w:val="center"/>
        </w:trPr>
        <w:tc>
          <w:tcPr>
            <w:tcW w:w="2660" w:type="dxa"/>
            <w:noWrap/>
          </w:tcPr>
          <w:p w14:paraId="215C4ED1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Unfavorable lifestyle</w:t>
            </w:r>
          </w:p>
        </w:tc>
        <w:tc>
          <w:tcPr>
            <w:tcW w:w="1921" w:type="dxa"/>
            <w:noWrap/>
          </w:tcPr>
          <w:p w14:paraId="1395C532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0" w:type="dxa"/>
            <w:noWrap/>
          </w:tcPr>
          <w:p w14:paraId="2876BEE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297" w:type="dxa"/>
            <w:noWrap/>
          </w:tcPr>
          <w:p w14:paraId="31A5CEE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32BA4FAB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1" w:type="dxa"/>
            <w:noWrap/>
          </w:tcPr>
          <w:p w14:paraId="383EE43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294" w:type="dxa"/>
            <w:noWrap/>
          </w:tcPr>
          <w:p w14:paraId="3FD6BEF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5771FD7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  <w:tc>
          <w:tcPr>
            <w:tcW w:w="1921" w:type="dxa"/>
            <w:noWrap/>
          </w:tcPr>
          <w:p w14:paraId="33635B3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Ref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.</w:t>
            </w:r>
          </w:p>
        </w:tc>
      </w:tr>
      <w:tr w14:paraId="509C7F01">
        <w:trPr>
          <w:trHeight w:val="275" w:hRule="atLeast"/>
          <w:jc w:val="center"/>
        </w:trPr>
        <w:tc>
          <w:tcPr>
            <w:tcW w:w="2660" w:type="dxa"/>
            <w:noWrap/>
          </w:tcPr>
          <w:p w14:paraId="2E707F5D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Intermediate lifestyle</w:t>
            </w:r>
          </w:p>
        </w:tc>
        <w:tc>
          <w:tcPr>
            <w:tcW w:w="1921" w:type="dxa"/>
            <w:noWrap/>
          </w:tcPr>
          <w:p w14:paraId="7216C4A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0.51 (0.36-0.72)</w:t>
            </w:r>
          </w:p>
        </w:tc>
        <w:tc>
          <w:tcPr>
            <w:tcW w:w="1920" w:type="dxa"/>
            <w:noWrap/>
          </w:tcPr>
          <w:p w14:paraId="0A7ADF8C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0.62 (0.21-1.85)</w:t>
            </w:r>
          </w:p>
        </w:tc>
        <w:tc>
          <w:tcPr>
            <w:tcW w:w="297" w:type="dxa"/>
            <w:noWrap/>
          </w:tcPr>
          <w:p w14:paraId="1F611616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noWrap/>
          </w:tcPr>
          <w:p w14:paraId="118E60F6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0.47 (0.29-0.75)</w:t>
            </w:r>
          </w:p>
        </w:tc>
        <w:tc>
          <w:tcPr>
            <w:tcW w:w="1921" w:type="dxa"/>
            <w:noWrap/>
          </w:tcPr>
          <w:p w14:paraId="1970B2F1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0.55 (0.33-0.89)</w:t>
            </w:r>
          </w:p>
        </w:tc>
        <w:tc>
          <w:tcPr>
            <w:tcW w:w="294" w:type="dxa"/>
            <w:noWrap/>
          </w:tcPr>
          <w:p w14:paraId="51D5F30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noWrap/>
          </w:tcPr>
          <w:p w14:paraId="09C0C69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0.41 (0.26-0.65)</w:t>
            </w:r>
          </w:p>
        </w:tc>
        <w:tc>
          <w:tcPr>
            <w:tcW w:w="1921" w:type="dxa"/>
            <w:noWrap/>
          </w:tcPr>
          <w:p w14:paraId="1C460508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0.68 (0.41-1.11)</w:t>
            </w:r>
          </w:p>
        </w:tc>
      </w:tr>
      <w:tr w14:paraId="5B171590">
        <w:trPr>
          <w:trHeight w:val="90" w:hRule="atLeast"/>
          <w:jc w:val="center"/>
        </w:trPr>
        <w:tc>
          <w:tcPr>
            <w:tcW w:w="2660" w:type="dxa"/>
            <w:tcBorders>
              <w:bottom w:val="single" w:color="auto" w:sz="4" w:space="0"/>
            </w:tcBorders>
            <w:noWrap/>
          </w:tcPr>
          <w:p w14:paraId="23F1587D">
            <w:pPr>
              <w:widowControl/>
              <w:spacing w:line="360" w:lineRule="auto"/>
              <w:ind w:firstLine="240" w:firstLineChars="100"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Favorable lifestyle</w:t>
            </w:r>
          </w:p>
        </w:tc>
        <w:tc>
          <w:tcPr>
            <w:tcW w:w="1921" w:type="dxa"/>
            <w:tcBorders>
              <w:bottom w:val="single" w:color="auto" w:sz="4" w:space="0"/>
            </w:tcBorders>
            <w:noWrap/>
          </w:tcPr>
          <w:p w14:paraId="5967DA91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0.20 (0.14-0.28)</w:t>
            </w:r>
          </w:p>
        </w:tc>
        <w:tc>
          <w:tcPr>
            <w:tcW w:w="1920" w:type="dxa"/>
            <w:tcBorders>
              <w:bottom w:val="single" w:color="auto" w:sz="4" w:space="0"/>
            </w:tcBorders>
            <w:noWrap/>
          </w:tcPr>
          <w:p w14:paraId="7767B7A5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34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 xml:space="preserve"> (0.12-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98)</w:t>
            </w:r>
          </w:p>
        </w:tc>
        <w:tc>
          <w:tcPr>
            <w:tcW w:w="297" w:type="dxa"/>
            <w:tcBorders>
              <w:bottom w:val="single" w:color="auto" w:sz="4" w:space="0"/>
            </w:tcBorders>
            <w:noWrap/>
          </w:tcPr>
          <w:p w14:paraId="245B45C4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tcBorders>
              <w:bottom w:val="single" w:color="auto" w:sz="4" w:space="0"/>
            </w:tcBorders>
            <w:noWrap/>
          </w:tcPr>
          <w:p w14:paraId="2554642D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0.19 (0.12-0.29)</w:t>
            </w:r>
          </w:p>
        </w:tc>
        <w:tc>
          <w:tcPr>
            <w:tcW w:w="1921" w:type="dxa"/>
            <w:tcBorders>
              <w:bottom w:val="single" w:color="auto" w:sz="4" w:space="0"/>
            </w:tcBorders>
            <w:noWrap/>
          </w:tcPr>
          <w:p w14:paraId="6A1078B7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0.27 (0.15-0.47)</w:t>
            </w:r>
          </w:p>
        </w:tc>
        <w:tc>
          <w:tcPr>
            <w:tcW w:w="294" w:type="dxa"/>
            <w:tcBorders>
              <w:bottom w:val="single" w:color="auto" w:sz="4" w:space="0"/>
            </w:tcBorders>
            <w:noWrap/>
          </w:tcPr>
          <w:p w14:paraId="71F2D16F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1920" w:type="dxa"/>
            <w:tcBorders>
              <w:bottom w:val="single" w:color="auto" w:sz="4" w:space="0"/>
            </w:tcBorders>
            <w:noWrap/>
          </w:tcPr>
          <w:p w14:paraId="3074BC35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0.20 (0.13-0.32)</w:t>
            </w:r>
          </w:p>
        </w:tc>
        <w:tc>
          <w:tcPr>
            <w:tcW w:w="1921" w:type="dxa"/>
            <w:tcBorders>
              <w:bottom w:val="single" w:color="auto" w:sz="4" w:space="0"/>
            </w:tcBorders>
            <w:noWrap/>
          </w:tcPr>
          <w:p w14:paraId="791E2410">
            <w:pPr>
              <w:widowControl/>
              <w:spacing w:line="360" w:lineRule="auto"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0.21 (0.12-0.34)</w:t>
            </w:r>
          </w:p>
        </w:tc>
      </w:tr>
    </w:tbl>
    <w:p w14:paraId="10C8E1BF">
      <w:pPr>
        <w:widowControl/>
        <w:spacing w:line="360" w:lineRule="auto"/>
        <w:rPr>
          <w:rFonts w:ascii="Times New Roman" w:hAnsi="Times New Roman" w:eastAsia="DengXian" w:cs="Times New Roman"/>
          <w:color w:val="000000"/>
          <w:kern w:val="0"/>
          <w:sz w:val="24"/>
        </w:rPr>
      </w:pPr>
      <w:r>
        <w:rPr>
          <w:rFonts w:hint="eastAsia" w:ascii="Times New Roman" w:hAnsi="Times New Roman" w:eastAsia="DengXian" w:cs="Times New Roman"/>
          <w:color w:val="000000"/>
          <w:kern w:val="0"/>
          <w:sz w:val="24"/>
        </w:rPr>
        <w:t xml:space="preserve">Data were presented as odds ratios (95% confidence intervals). Participants with an unfavorable lifestyle were regarded as the reference group. All models were adjusted for age, gender, region, only child, education level, household income, and marital status. </w:t>
      </w:r>
      <w:r>
        <w:rPr>
          <w:rFonts w:ascii="Times New Roman" w:hAnsi="Times New Roman" w:eastAsia="DengXian" w:cs="Times New Roman"/>
          <w:color w:val="000000"/>
          <w:kern w:val="0"/>
          <w:sz w:val="24"/>
        </w:rPr>
        <w:t>R</w:t>
      </w:r>
      <w:r>
        <w:rPr>
          <w:rFonts w:hint="eastAsia" w:ascii="Times New Roman" w:hAnsi="Times New Roman" w:eastAsia="DengXian" w:cs="Times New Roman"/>
          <w:color w:val="000000"/>
          <w:kern w:val="0"/>
          <w:sz w:val="24"/>
        </w:rPr>
        <w:t>NLEs</w:t>
      </w:r>
      <w:r>
        <w:rPr>
          <w:rFonts w:ascii="Times New Roman" w:hAnsi="Times New Roman" w:eastAsia="DengXian" w:cs="Times New Roman"/>
          <w:color w:val="000000"/>
          <w:kern w:val="0"/>
          <w:sz w:val="24"/>
        </w:rPr>
        <w:t>: recent negative life events.</w:t>
      </w:r>
    </w:p>
    <w:p w14:paraId="145587DE">
      <w:pPr>
        <w:rPr>
          <w:rFonts w:ascii="Times New Roman" w:hAnsi="Times New Roman" w:eastAsia="DengXian" w:cs="Times New Roman"/>
          <w:color w:val="000000"/>
          <w:kern w:val="0"/>
          <w:sz w:val="24"/>
        </w:rPr>
      </w:pPr>
      <w:r>
        <w:rPr>
          <w:rFonts w:ascii="Times New Roman" w:hAnsi="Times New Roman" w:eastAsia="DengXian" w:cs="Times New Roman"/>
          <w:color w:val="000000"/>
          <w:kern w:val="0"/>
          <w:sz w:val="24"/>
        </w:rPr>
        <w:br w:type="page"/>
      </w:r>
    </w:p>
    <w:p w14:paraId="14786A38">
      <w:pPr>
        <w:pStyle w:val="2"/>
        <w:spacing w:before="0" w:after="0" w:line="360" w:lineRule="auto"/>
        <w:rPr>
          <w:rFonts w:ascii="Times New Roman Regular" w:hAnsi="Times New Roman Regular" w:cs="Times New Roman Regular"/>
          <w:b w:val="0"/>
          <w:sz w:val="24"/>
        </w:rPr>
      </w:pPr>
      <w:bookmarkStart w:id="1" w:name="_Toc2031370906"/>
      <w:r>
        <w:rPr>
          <w:rFonts w:ascii="Times New Roman Bold" w:hAnsi="Times New Roman Bold" w:cs="Times New Roman Bold"/>
          <w:bCs/>
          <w:sz w:val="24"/>
        </w:rPr>
        <w:t>Table S2</w:t>
      </w:r>
      <w:r>
        <w:rPr>
          <w:rFonts w:ascii="Times New Roman Regular" w:hAnsi="Times New Roman Regular" w:cs="Times New Roman Regular"/>
          <w:b w:val="0"/>
          <w:sz w:val="24"/>
        </w:rPr>
        <w:t xml:space="preserve"> Association of RNLEs and overall lifestyle with depressive </w:t>
      </w:r>
      <w:r>
        <w:rPr>
          <w:rFonts w:hint="eastAsia" w:ascii="Times New Roman Regular" w:hAnsi="Times New Roman Regular" w:cs="Times New Roman Regular"/>
          <w:b w:val="0"/>
          <w:sz w:val="24"/>
        </w:rPr>
        <w:t>symptoms</w:t>
      </w:r>
      <w:r>
        <w:rPr>
          <w:rFonts w:ascii="Times New Roman Regular" w:hAnsi="Times New Roman Regular" w:cs="Times New Roman Regular"/>
          <w:b w:val="0"/>
          <w:sz w:val="24"/>
        </w:rPr>
        <w:t xml:space="preserve"> (PHQ-9≥10)</w:t>
      </w:r>
      <w:bookmarkEnd w:id="1"/>
    </w:p>
    <w:tbl>
      <w:tblPr>
        <w:tblStyle w:val="6"/>
        <w:tblW w:w="139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6"/>
        <w:gridCol w:w="1500"/>
        <w:gridCol w:w="1000"/>
        <w:gridCol w:w="975"/>
        <w:gridCol w:w="272"/>
        <w:gridCol w:w="2305"/>
        <w:gridCol w:w="1174"/>
        <w:gridCol w:w="273"/>
        <w:gridCol w:w="273"/>
        <w:gridCol w:w="2306"/>
        <w:gridCol w:w="1176"/>
      </w:tblGrid>
      <w:tr w14:paraId="2FB0ADB5">
        <w:trPr>
          <w:trHeight w:val="419" w:hRule="atLeast"/>
          <w:jc w:val="center"/>
        </w:trPr>
        <w:tc>
          <w:tcPr>
            <w:tcW w:w="2676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51FF58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Variable</w:t>
            </w:r>
          </w:p>
        </w:tc>
        <w:tc>
          <w:tcPr>
            <w:tcW w:w="150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77B8A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Total No. of participants</w:t>
            </w:r>
          </w:p>
        </w:tc>
        <w:tc>
          <w:tcPr>
            <w:tcW w:w="100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906E29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No.</w:t>
            </w:r>
            <w:r>
              <w:rPr>
                <w:rFonts w:ascii="Times New Roman" w:hAnsi="Times New Roman" w:cs="Times New Roman"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of cases</w:t>
            </w:r>
          </w:p>
        </w:tc>
        <w:tc>
          <w:tcPr>
            <w:tcW w:w="97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71E5D3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Prevalence</w:t>
            </w:r>
          </w:p>
        </w:tc>
        <w:tc>
          <w:tcPr>
            <w:tcW w:w="272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49D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479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03ECDA"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Model 1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>a</w:t>
            </w:r>
          </w:p>
        </w:tc>
        <w:tc>
          <w:tcPr>
            <w:tcW w:w="27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01940"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3755" w:type="dxa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5E1C7DD"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Model 2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>b</w:t>
            </w:r>
          </w:p>
        </w:tc>
      </w:tr>
      <w:tr w14:paraId="2AC8E316">
        <w:trPr>
          <w:trHeight w:val="524" w:hRule="atLeast"/>
          <w:jc w:val="center"/>
        </w:trPr>
        <w:tc>
          <w:tcPr>
            <w:tcW w:w="2676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 w14:paraId="565EB3C2">
            <w:pPr>
              <w:rPr>
                <w:rFonts w:ascii="DengXian" w:hAnsi="DengXian" w:eastAsia="DengXian" w:cs="DengXian"/>
                <w:sz w:val="24"/>
              </w:rPr>
            </w:pPr>
          </w:p>
        </w:tc>
        <w:tc>
          <w:tcPr>
            <w:tcW w:w="1500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CF867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00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E10DA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75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5DE6D1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2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E617A32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30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B442A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 xml:space="preserve"> OR (95%CI)</w:t>
            </w:r>
          </w:p>
        </w:tc>
        <w:tc>
          <w:tcPr>
            <w:tcW w:w="11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5F4749A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24"/>
                <w:lang w:bidi="ar"/>
                <w14:ligatures w14:val="standardContextual"/>
              </w:rPr>
              <w:t>P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-value</w:t>
            </w:r>
          </w:p>
        </w:tc>
        <w:tc>
          <w:tcPr>
            <w:tcW w:w="2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464FCA">
            <w:pPr>
              <w:widowControl/>
              <w:jc w:val="left"/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7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C5825D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　</w:t>
            </w:r>
          </w:p>
        </w:tc>
        <w:tc>
          <w:tcPr>
            <w:tcW w:w="230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905578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 xml:space="preserve"> OR (95% CI)</w:t>
            </w:r>
          </w:p>
        </w:tc>
        <w:tc>
          <w:tcPr>
            <w:tcW w:w="117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B300C4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i/>
                <w:iCs/>
                <w:color w:val="000000"/>
                <w:kern w:val="0"/>
                <w:sz w:val="24"/>
                <w:lang w:bidi="ar"/>
                <w14:ligatures w14:val="standardContextual"/>
              </w:rPr>
              <w:t>P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-value</w:t>
            </w:r>
          </w:p>
        </w:tc>
      </w:tr>
      <w:tr w14:paraId="2C0A28D8">
        <w:trPr>
          <w:trHeight w:val="510" w:hRule="atLeast"/>
          <w:jc w:val="center"/>
        </w:trPr>
        <w:tc>
          <w:tcPr>
            <w:tcW w:w="26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0BA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 Bold" w:hAnsi="Times New Roman Bold" w:eastAsia="DengXian" w:cs="Times New Roman Bold"/>
                <w:b/>
                <w:bCs/>
                <w:color w:val="000000"/>
                <w:kern w:val="0"/>
                <w:sz w:val="24"/>
                <w:lang w:bidi="ar"/>
                <w14:ligatures w14:val="standardContextual"/>
              </w:rPr>
              <w:t>RNLEs</w:t>
            </w: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EEC7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A9BDC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DD6D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31CC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7C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7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40BF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80C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B70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30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B2F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453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77CE0FBE">
        <w:trPr>
          <w:trHeight w:val="482" w:hRule="atLeast"/>
          <w:jc w:val="center"/>
        </w:trPr>
        <w:tc>
          <w:tcPr>
            <w:tcW w:w="2676" w:type="dxa"/>
            <w:shd w:val="clear" w:color="auto" w:fill="auto"/>
            <w:noWrap/>
            <w:vAlign w:val="center"/>
          </w:tcPr>
          <w:p w14:paraId="776A0129">
            <w:pPr>
              <w:widowControl/>
              <w:ind w:firstLine="240" w:firstLineChars="1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Low RNLEs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6CF682B0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1141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C39E73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32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DD59955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2.8%</w:t>
            </w:r>
          </w:p>
        </w:tc>
        <w:tc>
          <w:tcPr>
            <w:tcW w:w="272" w:type="dxa"/>
            <w:shd w:val="clear" w:color="auto" w:fill="auto"/>
            <w:noWrap/>
            <w:vAlign w:val="center"/>
          </w:tcPr>
          <w:p w14:paraId="6E4F49BF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0ACE990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Ref.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4F560CD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48C0874E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6B5D016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shd w:val="clear" w:color="auto" w:fill="auto"/>
            <w:noWrap/>
            <w:vAlign w:val="center"/>
          </w:tcPr>
          <w:p w14:paraId="5F8370B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Ref.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C35037C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3567F505">
        <w:trPr>
          <w:trHeight w:val="482" w:hRule="atLeast"/>
          <w:jc w:val="center"/>
        </w:trPr>
        <w:tc>
          <w:tcPr>
            <w:tcW w:w="2676" w:type="dxa"/>
            <w:shd w:val="clear" w:color="auto" w:fill="auto"/>
            <w:noWrap/>
            <w:vAlign w:val="center"/>
          </w:tcPr>
          <w:p w14:paraId="6948BB61">
            <w:pPr>
              <w:widowControl/>
              <w:ind w:firstLine="240" w:firstLineChars="1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Intermediate RNLEs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082AF6D3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1724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AB03E3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104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45C0CCD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6.0%</w:t>
            </w:r>
          </w:p>
        </w:tc>
        <w:tc>
          <w:tcPr>
            <w:tcW w:w="272" w:type="dxa"/>
            <w:shd w:val="clear" w:color="auto" w:fill="auto"/>
            <w:noWrap/>
            <w:vAlign w:val="center"/>
          </w:tcPr>
          <w:p w14:paraId="22C80D0A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2D59374A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2.23 (1.47-3.38)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0FDE229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185B48E6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4563D3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shd w:val="clear" w:color="auto" w:fill="auto"/>
            <w:noWrap/>
            <w:vAlign w:val="center"/>
          </w:tcPr>
          <w:p w14:paraId="3E59234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2.11 (1.39-3.21)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F800025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&lt;0.001</w:t>
            </w:r>
          </w:p>
        </w:tc>
      </w:tr>
      <w:tr w14:paraId="11BF90F2">
        <w:trPr>
          <w:trHeight w:val="482" w:hRule="atLeast"/>
          <w:jc w:val="center"/>
        </w:trPr>
        <w:tc>
          <w:tcPr>
            <w:tcW w:w="2676" w:type="dxa"/>
            <w:shd w:val="clear" w:color="auto" w:fill="auto"/>
            <w:noWrap/>
            <w:vAlign w:val="center"/>
          </w:tcPr>
          <w:p w14:paraId="06663B9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 xml:space="preserve">  High RNLEs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53003DCE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1413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4E8937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261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A6B4357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18.5%</w:t>
            </w:r>
          </w:p>
        </w:tc>
        <w:tc>
          <w:tcPr>
            <w:tcW w:w="272" w:type="dxa"/>
            <w:shd w:val="clear" w:color="auto" w:fill="auto"/>
            <w:noWrap/>
            <w:vAlign w:val="center"/>
          </w:tcPr>
          <w:p w14:paraId="6C5C98FE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367D08A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8.67 (5.87-12.81)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864EA1D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1EB78341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6100A69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shd w:val="clear" w:color="auto" w:fill="auto"/>
            <w:noWrap/>
            <w:vAlign w:val="center"/>
          </w:tcPr>
          <w:p w14:paraId="49DED54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7.64 (5.15-11.32)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9B33509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&lt;0.001</w:t>
            </w:r>
          </w:p>
        </w:tc>
      </w:tr>
      <w:tr w14:paraId="35B0D9BE">
        <w:trPr>
          <w:trHeight w:val="482" w:hRule="atLeast"/>
          <w:jc w:val="center"/>
        </w:trPr>
        <w:tc>
          <w:tcPr>
            <w:tcW w:w="2676" w:type="dxa"/>
            <w:shd w:val="clear" w:color="auto" w:fill="auto"/>
            <w:noWrap/>
            <w:vAlign w:val="center"/>
          </w:tcPr>
          <w:p w14:paraId="10DD7C5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 Bold" w:hAnsi="Times New Roman Bold" w:eastAsia="DengXian" w:cs="Times New Roman Bold"/>
                <w:b/>
                <w:bCs/>
                <w:color w:val="000000"/>
                <w:kern w:val="0"/>
                <w:sz w:val="24"/>
                <w:lang w:bidi="ar"/>
                <w14:ligatures w14:val="standardContextual"/>
              </w:rPr>
              <w:t>Overall lifestyle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1A7DAADD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BC48242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B5E9C6E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2" w:type="dxa"/>
            <w:shd w:val="clear" w:color="auto" w:fill="auto"/>
            <w:noWrap/>
            <w:vAlign w:val="center"/>
          </w:tcPr>
          <w:p w14:paraId="6F22161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4C2F2FB7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33EE2A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1116F39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3AE6CFE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306" w:type="dxa"/>
            <w:shd w:val="clear" w:color="auto" w:fill="auto"/>
            <w:noWrap/>
            <w:vAlign w:val="center"/>
          </w:tcPr>
          <w:p w14:paraId="08D3DA4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30B3855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14:paraId="7A2F643A">
        <w:trPr>
          <w:trHeight w:val="482" w:hRule="atLeast"/>
          <w:jc w:val="center"/>
        </w:trPr>
        <w:tc>
          <w:tcPr>
            <w:tcW w:w="2676" w:type="dxa"/>
            <w:shd w:val="clear" w:color="auto" w:fill="auto"/>
            <w:noWrap/>
            <w:vAlign w:val="center"/>
          </w:tcPr>
          <w:p w14:paraId="18DA57D9">
            <w:pPr>
              <w:widowControl/>
              <w:ind w:firstLine="240" w:firstLineChars="1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Unfavorable lifestyle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34B301DF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1310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130395F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173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B9CDB26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13.2</w:t>
            </w:r>
          </w:p>
        </w:tc>
        <w:tc>
          <w:tcPr>
            <w:tcW w:w="272" w:type="dxa"/>
            <w:shd w:val="clear" w:color="auto" w:fill="auto"/>
            <w:noWrap/>
            <w:vAlign w:val="center"/>
          </w:tcPr>
          <w:p w14:paraId="538A9321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413D29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Ref.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8C50C33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2E74FFD5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1E9565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shd w:val="clear" w:color="auto" w:fill="auto"/>
            <w:noWrap/>
            <w:vAlign w:val="center"/>
          </w:tcPr>
          <w:p w14:paraId="45274EF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Ref.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2CFEBDED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</w:tr>
      <w:tr w14:paraId="69278484">
        <w:trPr>
          <w:trHeight w:val="482" w:hRule="atLeast"/>
          <w:jc w:val="center"/>
        </w:trPr>
        <w:tc>
          <w:tcPr>
            <w:tcW w:w="2676" w:type="dxa"/>
            <w:shd w:val="clear" w:color="auto" w:fill="auto"/>
            <w:noWrap/>
            <w:vAlign w:val="center"/>
          </w:tcPr>
          <w:p w14:paraId="32776073">
            <w:pPr>
              <w:widowControl/>
              <w:ind w:firstLine="240" w:firstLineChars="1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Intermediate lifestyle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5C724BDE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1148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2E3496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148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72C8732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12.9%</w:t>
            </w:r>
          </w:p>
        </w:tc>
        <w:tc>
          <w:tcPr>
            <w:tcW w:w="272" w:type="dxa"/>
            <w:shd w:val="clear" w:color="auto" w:fill="auto"/>
            <w:noWrap/>
            <w:vAlign w:val="center"/>
          </w:tcPr>
          <w:p w14:paraId="7C2F3A6F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305" w:type="dxa"/>
            <w:shd w:val="clear" w:color="auto" w:fill="auto"/>
            <w:noWrap/>
            <w:vAlign w:val="center"/>
          </w:tcPr>
          <w:p w14:paraId="7E6A464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0.80 (0.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6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8-1.13)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B414200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0.3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09</w:t>
            </w: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5DD10E3F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73" w:type="dxa"/>
            <w:shd w:val="clear" w:color="auto" w:fill="auto"/>
            <w:noWrap/>
            <w:vAlign w:val="center"/>
          </w:tcPr>
          <w:p w14:paraId="3533E07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shd w:val="clear" w:color="auto" w:fill="auto"/>
            <w:noWrap/>
            <w:vAlign w:val="center"/>
          </w:tcPr>
          <w:p w14:paraId="7C80F56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0.95 (0.73-1.24)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7FAF684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0.7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21</w:t>
            </w:r>
          </w:p>
        </w:tc>
      </w:tr>
      <w:tr w14:paraId="5981FE46">
        <w:trPr>
          <w:trHeight w:val="510" w:hRule="atLeast"/>
          <w:jc w:val="center"/>
        </w:trPr>
        <w:tc>
          <w:tcPr>
            <w:tcW w:w="26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1F9EC1">
            <w:pPr>
              <w:widowControl/>
              <w:ind w:firstLine="240" w:firstLineChars="1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Favorable lifestyle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D351A24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1820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66946C4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76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FD4EEE9">
            <w:pPr>
              <w:widowControl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4.2%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5045638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7BE06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0.27 (0.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2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-0.3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6)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339CA47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&lt;0.001</w:t>
            </w:r>
          </w:p>
        </w:tc>
        <w:tc>
          <w:tcPr>
            <w:tcW w:w="2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5C6DC3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FA3F2C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　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CD0E8AE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0.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3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3 (0.</w:t>
            </w:r>
            <w:r>
              <w:rPr>
                <w:rFonts w:hint="eastAsia"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2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  <w:t>4-0.46)</w:t>
            </w: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vertAlign w:val="superscript"/>
                <w:lang w:bidi="ar"/>
                <w14:ligatures w14:val="standardContextual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0BC671F">
            <w:pPr>
              <w:widowControl/>
              <w:jc w:val="left"/>
              <w:rPr>
                <w:rFonts w:ascii="Times New Roman" w:hAnsi="Times New Roman" w:eastAsia="DengXian" w:cs="Times New Roman"/>
                <w:color w:val="000000"/>
                <w:kern w:val="0"/>
                <w:sz w:val="24"/>
                <w:lang w:bidi="ar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24"/>
              </w:rPr>
              <w:t>&lt;0.001</w:t>
            </w:r>
          </w:p>
        </w:tc>
      </w:tr>
    </w:tbl>
    <w:p w14:paraId="3EB9AB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score of 10 was used as a cut-off value for depressive symptoms in this analysis. </w:t>
      </w:r>
    </w:p>
    <w:p w14:paraId="6D2759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 xml:space="preserve">Model 1 was adjusted for age, gender, region, household income, only child, educational level, and marital status. </w:t>
      </w:r>
    </w:p>
    <w:p w14:paraId="66CFBF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sz w:val="24"/>
        </w:rPr>
        <w:t xml:space="preserve">Model 2 was additionally adjusted for overall lifestyle for RNLEs, and for RNLEs additionally for overall lifestyle. </w:t>
      </w:r>
    </w:p>
    <w:p w14:paraId="6832D46E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" w:hAnsi="Times New Roman" w:cs="Times New Roman"/>
          <w:sz w:val="24"/>
        </w:rPr>
        <w:t>RNLEs: recent negative life events; OR: odds ratio; CI: confidence interval.</w:t>
      </w:r>
    </w:p>
    <w:p w14:paraId="38CB342A"/>
    <w:p w14:paraId="01CC837D">
      <w:p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start="1"/>
          <w:cols w:space="425" w:num="1"/>
          <w:docGrid w:type="lines" w:linePitch="312" w:charSpace="0"/>
        </w:sectPr>
      </w:pPr>
    </w:p>
    <w:p w14:paraId="02504EBF">
      <w:pPr>
        <w:jc w:val="center"/>
      </w:pPr>
      <w:r>
        <w:drawing>
          <wp:inline distT="0" distB="0" distL="114300" distR="114300">
            <wp:extent cx="5713730" cy="4526280"/>
            <wp:effectExtent l="0" t="0" r="1270" b="203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AE371">
      <w:pPr>
        <w:pStyle w:val="2"/>
        <w:spacing w:before="0" w:after="0" w:line="360" w:lineRule="auto"/>
        <w:jc w:val="center"/>
        <w:rPr>
          <w:rFonts w:ascii="Times New Roman Regular" w:hAnsi="Times New Roman Regular" w:cs="Times New Roman Regular"/>
          <w:b w:val="0"/>
          <w:sz w:val="24"/>
        </w:rPr>
      </w:pPr>
      <w:bookmarkStart w:id="2" w:name="_Toc555797136"/>
      <w:r>
        <w:rPr>
          <w:rFonts w:ascii="Times New Roman Bold" w:hAnsi="Times New Roman Bold" w:cs="Times New Roman Bold"/>
          <w:bCs/>
          <w:sz w:val="24"/>
        </w:rPr>
        <w:t>Figure S1</w:t>
      </w:r>
      <w:r>
        <w:rPr>
          <w:rFonts w:ascii="Times New Roman Regular" w:hAnsi="Times New Roman Regular" w:cs="Times New Roman Regular"/>
          <w:b w:val="0"/>
          <w:sz w:val="24"/>
        </w:rPr>
        <w:t xml:space="preserve"> Dose-relationship of the number of RNLEs and odds ratio of depressive symptoms.</w:t>
      </w:r>
      <w:bookmarkEnd w:id="2"/>
    </w:p>
    <w:p w14:paraId="0CE25F0B">
      <w:pPr>
        <w:rPr>
          <w:rFonts w:ascii="Times New Roman" w:hAnsi="Times New Roman" w:cs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Model was adjusted for age, gender, region, household income, only child, educational level, marital status, and overall lifestyle.</w:t>
      </w:r>
    </w:p>
    <w:p w14:paraId="454A7D2C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drawing>
          <wp:inline distT="0" distB="0" distL="114300" distR="114300">
            <wp:extent cx="5554980" cy="4418330"/>
            <wp:effectExtent l="0" t="0" r="762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03C3A">
      <w:pPr>
        <w:pStyle w:val="2"/>
        <w:spacing w:before="0" w:after="0" w:line="360" w:lineRule="auto"/>
        <w:jc w:val="center"/>
        <w:rPr>
          <w:rFonts w:ascii="Times New Roman Regular" w:hAnsi="Times New Roman Regular" w:cs="Times New Roman Regular"/>
          <w:b w:val="0"/>
          <w:sz w:val="24"/>
        </w:rPr>
      </w:pPr>
      <w:bookmarkStart w:id="3" w:name="_Toc1876083949"/>
      <w:r>
        <w:rPr>
          <w:rFonts w:ascii="Times New Roman Bold" w:hAnsi="Times New Roman Bold" w:cs="Times New Roman Bold"/>
          <w:bCs/>
          <w:sz w:val="24"/>
        </w:rPr>
        <w:t>Figure S2</w:t>
      </w:r>
      <w:r>
        <w:rPr>
          <w:rFonts w:ascii="Times New Roman Regular" w:hAnsi="Times New Roman Regular" w:cs="Times New Roman Regular"/>
          <w:b w:val="0"/>
          <w:sz w:val="24"/>
        </w:rPr>
        <w:t xml:space="preserve"> Dose-relationship of the number of healthy lifestyle and odds ratio of depressive symptoms.</w:t>
      </w:r>
      <w:bookmarkEnd w:id="3"/>
    </w:p>
    <w:p w14:paraId="371368AF">
      <w:pPr>
        <w:rPr>
          <w:rFonts w:ascii="Times New Roman" w:hAnsi="Times New Roman" w:cs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Model was adjusted for age, gender, region, household income, only child, educational level, marital status, and recent negative life events.</w:t>
      </w:r>
    </w:p>
    <w:p w14:paraId="50199E02">
      <w:pPr>
        <w:pStyle w:val="2"/>
        <w:spacing w:before="0" w:after="0" w:line="360" w:lineRule="auto"/>
        <w:rPr>
          <w:rFonts w:ascii="Times New Roman Regular" w:hAnsi="Times New Roman Regular" w:cs="Times New Roman Regular"/>
          <w:b w:val="0"/>
          <w:sz w:val="24"/>
        </w:rPr>
      </w:pPr>
      <w:bookmarkStart w:id="4" w:name="_Toc1988025589"/>
      <w:r>
        <w:rPr>
          <w:rFonts w:ascii="Times New Roman Bold" w:hAnsi="Times New Roman Bold" w:cs="Times New Roman Bold"/>
          <w:bCs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38100</wp:posOffset>
            </wp:positionV>
            <wp:extent cx="7896225" cy="3524250"/>
            <wp:effectExtent l="0" t="0" r="3175" b="6350"/>
            <wp:wrapTopAndBottom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Bold" w:hAnsi="Times New Roman Bold" w:cs="Times New Roman Bold"/>
          <w:bCs/>
          <w:sz w:val="24"/>
        </w:rPr>
        <w:t>Figure S3</w:t>
      </w:r>
      <w:r>
        <w:rPr>
          <w:rFonts w:ascii="Times New Roman Regular" w:hAnsi="Times New Roman Regular" w:cs="Times New Roman Regular"/>
          <w:b w:val="0"/>
          <w:sz w:val="24"/>
        </w:rPr>
        <w:t xml:space="preserve"> Association between recent negative life events (RNLEs) and odds ratio of depressive symptoms within each overall lifestyle category.</w:t>
      </w:r>
      <w:bookmarkEnd w:id="4"/>
    </w:p>
    <w:p w14:paraId="28A1D404">
      <w:pPr>
        <w:widowControl/>
        <w:spacing w:line="480" w:lineRule="auto"/>
        <w:jc w:val="left"/>
        <w:rPr>
          <w:rFonts w:ascii="Times New Roman" w:hAnsi="Times New Roman" w:eastAsia="宋体" w:cs="Times New Roman"/>
          <w:sz w:val="24"/>
          <w:szCs w:val="21"/>
        </w:rPr>
      </w:pPr>
      <w:r>
        <w:rPr>
          <w:rFonts w:ascii="Times New Roman" w:hAnsi="Times New Roman" w:eastAsia="宋体" w:cs="Times New Roman"/>
          <w:sz w:val="24"/>
          <w:szCs w:val="21"/>
        </w:rPr>
        <w:t>Note: Participants with Low RNLEs were considered as the reference group within each overall lifestyle category. Points represent the odds ratios, and error bars show the 95 % confidence intervals. The model was adjusted for age, gender, region, only child, education level, household income, and marital status.</w:t>
      </w:r>
    </w:p>
    <w:p w14:paraId="1B451C88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7CAEF96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-162560</wp:posOffset>
            </wp:positionV>
            <wp:extent cx="8858885" cy="3236595"/>
            <wp:effectExtent l="0" t="0" r="5715" b="14605"/>
            <wp:wrapTopAndBottom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149A74">
      <w:pPr>
        <w:pStyle w:val="2"/>
        <w:spacing w:before="0" w:after="0" w:line="360" w:lineRule="auto"/>
        <w:rPr>
          <w:rFonts w:ascii="Times New Roman Regular" w:hAnsi="Times New Roman Regular" w:cs="Times New Roman Regular"/>
          <w:b w:val="0"/>
          <w:sz w:val="24"/>
        </w:rPr>
      </w:pPr>
      <w:bookmarkStart w:id="5" w:name="_Toc48010650"/>
      <w:r>
        <w:rPr>
          <w:rFonts w:ascii="Times New Roman Bold" w:hAnsi="Times New Roman Bold" w:cs="Times New Roman Bold"/>
          <w:bCs/>
          <w:sz w:val="24"/>
        </w:rPr>
        <w:t>Figure S4</w:t>
      </w:r>
      <w:r>
        <w:rPr>
          <w:rFonts w:ascii="Times New Roman Regular" w:hAnsi="Times New Roman Regular" w:cs="Times New Roman Regular"/>
          <w:b w:val="0"/>
          <w:sz w:val="24"/>
        </w:rPr>
        <w:t xml:space="preserve"> Joint association of recent negative life events (RNLEs) and overall lifestyle in adulthood with odds ratio of depressive symptoms.</w:t>
      </w:r>
      <w:bookmarkEnd w:id="5"/>
    </w:p>
    <w:p w14:paraId="2B3DC3DD">
      <w:pPr>
        <w:rPr>
          <w:rFonts w:ascii="Times New Roman" w:hAnsi="Times New Roman" w:eastAsia="宋体" w:cs="Times New Roman"/>
          <w:sz w:val="24"/>
          <w:szCs w:val="21"/>
        </w:rPr>
      </w:pPr>
      <w:r>
        <w:rPr>
          <w:rFonts w:ascii="Times New Roman" w:hAnsi="Times New Roman" w:eastAsia="宋体" w:cs="Times New Roman"/>
          <w:sz w:val="24"/>
          <w:szCs w:val="21"/>
        </w:rPr>
        <w:t>There was a significant interaction effect between RNLEs and overall lifestyle on depressive symptoms (P value &lt;0.0001)</w:t>
      </w:r>
    </w:p>
    <w:p w14:paraId="49914447">
      <w:pPr>
        <w:widowControl/>
        <w:jc w:val="left"/>
        <w:rPr>
          <w:rFonts w:ascii="Times New Roman" w:hAnsi="Times New Roman" w:cs="Times New Roman"/>
          <w:sz w:val="24"/>
        </w:rPr>
      </w:pPr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33EA7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5D3F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5D3F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NGYzYzQ3NmQwNTA2NWMxZmFkNTM4NmRiMjBmZjYifQ=="/>
  </w:docVars>
  <w:rsids>
    <w:rsidRoot w:val="F6D765E9"/>
    <w:rsid w:val="00404E44"/>
    <w:rsid w:val="00740357"/>
    <w:rsid w:val="00972A33"/>
    <w:rsid w:val="00A852CC"/>
    <w:rsid w:val="3A69EC43"/>
    <w:rsid w:val="6FFD4819"/>
    <w:rsid w:val="7AE7EE6C"/>
    <w:rsid w:val="7EEBFAC0"/>
    <w:rsid w:val="87F7E7CA"/>
    <w:rsid w:val="BBFCA982"/>
    <w:rsid w:val="BDDBF05A"/>
    <w:rsid w:val="DEBDE55A"/>
    <w:rsid w:val="F6D7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1"/>
    <w:basedOn w:val="1"/>
    <w:next w:val="1"/>
    <w:uiPriority w:val="0"/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uiPriority w:val="0"/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659</Words>
  <Characters>4455</Characters>
  <Lines>143</Lines>
  <Paragraphs>79</Paragraphs>
  <TotalTime>23</TotalTime>
  <ScaleCrop>false</ScaleCrop>
  <LinksUpToDate>false</LinksUpToDate>
  <CharactersWithSpaces>5035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2024-09-07T17:35:00Z</dcterms:created>
  <dc:creator>杨洋</dc:creator>
  <cp:lastModifiedBy>较烂队接俦</cp:lastModifiedBy>
  <dcterms:modified xsi:type="dcterms:W3CDTF">2024-10-22T03:25:20Z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000E401A006644B9789AD866B91843CA_41</vt:lpwstr>
  </property>
</Properties>
</file>