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7AC148" w14:textId="77777777" w:rsidR="00A234DE" w:rsidRPr="00A234DE" w:rsidRDefault="00A234DE" w:rsidP="00A234DE">
      <w:pPr>
        <w:rPr>
          <w:b/>
          <w:bCs/>
        </w:rPr>
      </w:pPr>
      <w:r w:rsidRPr="00A234DE">
        <w:rPr>
          <w:b/>
          <w:bCs/>
        </w:rPr>
        <w:t>Supplementary materials</w:t>
      </w:r>
    </w:p>
    <w:p w14:paraId="2B559E4E" w14:textId="77777777" w:rsidR="00A234DE" w:rsidRPr="00A234DE" w:rsidRDefault="00A234DE" w:rsidP="00A234DE">
      <w:pPr>
        <w:rPr>
          <w:b/>
          <w:bCs/>
          <w:i/>
          <w:iCs/>
        </w:rPr>
      </w:pPr>
      <w:r w:rsidRPr="00A234DE">
        <w:rPr>
          <w:b/>
          <w:bCs/>
          <w:i/>
          <w:iCs/>
        </w:rPr>
        <w:t>Supplementary table 1. Recommendations for adolescent involvement in the review process</w:t>
      </w:r>
    </w:p>
    <w:tbl>
      <w:tblPr>
        <w:tblStyle w:val="TableGrid"/>
        <w:tblW w:w="9067" w:type="dxa"/>
        <w:tblLook w:val="04A0" w:firstRow="1" w:lastRow="0" w:firstColumn="1" w:lastColumn="0" w:noHBand="0" w:noVBand="1"/>
      </w:tblPr>
      <w:tblGrid>
        <w:gridCol w:w="9067"/>
      </w:tblGrid>
      <w:tr w:rsidR="00A234DE" w:rsidRPr="00A234DE" w14:paraId="338CD4B6" w14:textId="77777777" w:rsidTr="00A234DE">
        <w:tc>
          <w:tcPr>
            <w:tcW w:w="9067" w:type="dxa"/>
            <w:tcBorders>
              <w:top w:val="single" w:sz="4" w:space="0" w:color="auto"/>
              <w:left w:val="single" w:sz="4" w:space="0" w:color="auto"/>
              <w:bottom w:val="single" w:sz="4" w:space="0" w:color="auto"/>
              <w:right w:val="single" w:sz="4" w:space="0" w:color="auto"/>
            </w:tcBorders>
            <w:vAlign w:val="bottom"/>
            <w:hideMark/>
          </w:tcPr>
          <w:p w14:paraId="0EA6E431" w14:textId="77777777" w:rsidR="00A234DE" w:rsidRPr="00A234DE" w:rsidRDefault="00A234DE" w:rsidP="00A234DE">
            <w:pPr>
              <w:spacing w:after="160" w:line="259" w:lineRule="auto"/>
            </w:pPr>
            <w:r w:rsidRPr="00A234DE">
              <w:rPr>
                <w:b/>
                <w:bCs/>
                <w:i/>
                <w:iCs/>
              </w:rPr>
              <w:t>Plan for barriers:</w:t>
            </w:r>
            <w:r w:rsidRPr="00A234DE">
              <w:t xml:space="preserve"> Researchers should anticipate logistical challenges like time constraints or limited resources and plan accordingly. For example, when resources are limited, researchers can involve adolescents at key stages where their input will be most impactful.</w:t>
            </w:r>
            <w:r w:rsidRPr="00A234DE">
              <w:fldChar w:fldCharType="begin">
                <w:fldData xml:space="preserve">PEVuZE5vdGU+PENpdGU+PEF1dGhvcj5TZWxsYXJzPC9BdXRob3I+PFllYXI+MjAyMTwvWWVhcj48
UmVjTnVtPjE2NDY8L1JlY051bT48RGlzcGxheVRleHQ+KDEpPC9EaXNwbGF5VGV4dD48cmVjb3Jk
PjxyZWMtbnVtYmVyPjE2NDY8L3JlYy1udW1iZXI+PGZvcmVpZ24ta2V5cz48a2V5IGFwcD0iRU4i
IGRiLWlkPSI1OWVlcHI5NWh2cGFhZmV6YXQ2NXNwNTdmdHNmMmFleDVlZHIiIHRpbWVzdGFtcD0i
MTY1OTQ0NzMwNiI+MTY0Njwva2V5PjwvZm9yZWlnbi1rZXlzPjxyZWYtdHlwZSBuYW1lPSJKb3Vy
bmFsIEFydGljbGUiPjE3PC9yZWYtdHlwZT48Y29udHJpYnV0b3JzPjxhdXRob3JzPjxhdXRob3I+
U2VsbGFycywgRS48L2F1dGhvcj48YXV0aG9yPlBhdmFyaW5pLCBHLjwvYXV0aG9yPjxhdXRob3I+
TWljaGVsc29uLCBELjwvYXV0aG9yPjxhdXRob3I+Q3Jlc3dlbGwsIEMuPC9hdXRob3I+PGF1dGhv
cj5GYXplbCwgTS48L2F1dGhvcj48L2F1dGhvcnM+PC9jb250cmlidXRvcnM+PGF1dGgtYWRkcmVz
cz5EZXBhcnRtZW50IG9mIFBzeWNoaWF0cnksIFVuaXZlcnNpdHkgb2YgT3hmb3JkLCBPeGZvcmQs
IFVuaXRlZCBLaW5nZG9tJiN4RDtTY2hvb2wgb2YgUHN5Y2hvbG9neSwgVW5pdmVyc2l0eSBvZiBT
dXNzZXgsIEJyaWdodG9uLCBVbml0ZWQgS2luZ2RvbTwvYXV0aC1hZGRyZXNzPjx0aXRsZXM+PHRp
dGxlPllvdW5nIHBlb3BsZSZhcG9zO3MgYWR2aXNvcnkgZ3JvdXBzIGluIGhlYWx0aCByZXNlYXJj
aDogU2NvcGluZyByZXZpZXcgYW5kIG1hcHBpbmcgb2YgcHJhY3RpY2VzPC90aXRsZT48c2Vjb25k
YXJ5LXRpdGxlPkFyY2hpdmVzIG9mIERpc2Vhc2UgaW4gQ2hpbGRob29kPC9zZWNvbmRhcnktdGl0
bGU+PGFsdC10aXRsZT5BcmNoLiBEaXMuIENoaWxkLjwvYWx0LXRpdGxlPjwvdGl0bGVzPjxwZXJp
b2RpY2FsPjxmdWxsLXRpdGxlPkFyY2hpdmVzIG9mIERpc2Vhc2UgaW4gQ2hpbGRob29kPC9mdWxs
LXRpdGxlPjwvcGVyaW9kaWNhbD48YWx0LXBlcmlvZGljYWw+PGZ1bGwtdGl0bGU+QXJjaC4gRGlz
LiBDaGlsZC48L2Z1bGwtdGl0bGU+PC9hbHQtcGVyaW9kaWNhbD48cGFnZXM+Njk4LTcwNDwvcGFn
ZXM+PHZvbHVtZT4xMDY8L3ZvbHVtZT48bnVtYmVyPjc8L251bWJlcj48a2V5d29yZHM+PGtleXdv
cmQ+YWRvbGVzY2VudCBoZWFsdGg8L2tleXdvcmQ+PGtleXdvcmQ+cHN5Y2hvbG9neTwva2V5d29y
ZD48a2V5d29yZD5hZG9sZXNjZW50PC9rZXl3b3JkPjxrZXl3b3JkPmFkdWx0PC9rZXl3b3JkPjxr
ZXl3b3JkPmNoaWxkPC9rZXl3b3JkPjxrZXl3b3JkPmVtcGlyaWNpc208L2tleXdvcmQ+PGtleXdv
cmQ+ZmVtYWxlPC9rZXl3b3JkPjxrZXl3b3JkPmh1bWFuPC9rZXl3b3JkPjxrZXl3b3JkPmp1dmVu
aWxlPC9rZXl3b3JkPjxrZXl3b3JkPm1hbGU8L2tleXdvcmQ+PGtleXdvcmQ+bWVkaWNhbCByZXNl
YXJjaDwva2V5d29yZD48a2V5d29yZD5NZWRsaW5lPC9rZXl3b3JkPjxrZXl3b3JkPnJldmlldzwv
a2V5d29yZD48a2V5d29yZD5zY2hvb2wgY2hpbGQ8L2tleXdvcmQ+PGtleXdvcmQ+c3lzdGVtYXRp
YyByZXZpZXc8L2tleXdvcmQ+PGtleXdvcmQ+Y29uc3VsdGF0aW9uPC9rZXl3b3JkPjxrZXl3b3Jk
PmhlYWx0aCBzZXJ2aWNlPC9rZXl3b3JkPjxrZXl3b3JkPmhlYWx0aCBzZXJ2aWNlcyByZXNlYXJj
aDwva2V5d29yZD48a2V5d29yZD5pbmZvcm1hdGlvbiBwcm9jZXNzaW5nPC9rZXl3b3JkPjxrZXl3
b3JkPm9yZ2FuaXphdGlvbiBhbmQgbWFuYWdlbWVudDwva2V5d29yZD48a2V5d29yZD5wYXJ0aWNp
cGF0b3J5IHJlc2VhcmNoPC9rZXl3b3JkPjxrZXl3b3JkPnBlcnNvbm5lbDwva2V5d29yZD48a2V5
d29yZD5wcm9jZWR1cmVzPC9rZXl3b3JkPjxrZXl3b3JkPnB1YmxpY2F0aW9uPC9rZXl3b3JkPjxr
ZXl3b3JkPkNvbW11bml0eS1CYXNlZCBQYXJ0aWNpcGF0b3J5IFJlc2VhcmNoPC9rZXl3b3JkPjxr
ZXl3b3JkPkNvbnN1bHRhbnRzPC9rZXl3b3JkPjxrZXl3b3JkPkRhdGEgQ29sbGVjdGlvbjwva2V5
d29yZD48a2V5d29yZD5IZWFsdGggU2VydmljZXMgTmVlZHMgYW5kIERlbWFuZDwva2V5d29yZD48
a2V5d29yZD5IdW1hbnM8L2tleXdvcmQ+PGtleXdvcmQ+UHVibGljYXRpb25zPC9rZXl3b3JkPjxr
ZXl3b3JkPlJlc2VhcmNoIFBlcnNvbm5lbDwva2V5d29yZD48L2tleXdvcmRzPjxkYXRlcz48eWVh
cj4yMDIxPC95ZWFyPjwvZGF0ZXM+PHB1Ymxpc2hlcj5CTUogUHVibGlzaGluZyBHcm91cDwvcHVi
bGlzaGVyPjxpc2JuPjAwMDM5ODg4IChJU1NOKTwvaXNibj48d29yay10eXBlPlJldmlldzwvd29y
ay10eXBlPjx1cmxzPjxyZWxhdGVkLXVybHM+PHVybD5odHRwczovL3d3dy5zY29wdXMuY29tL2lu
d2FyZC9yZWNvcmQudXJpP2VpZD0yLXMyLjAtODUwOTY0MjgzNzcmYW1wO2RvaT0xMC4xMTM2JTJm
YXJjaGRpc2NoaWxkLTIwMjAtMzIwNDUyJmFtcDtwYXJ0bmVySUQ9NDAmYW1wO21kNT1kZmVhZGNj
ODA0NjAyOTI3NjRlZTIxMTcwYTFmMjBiNDwvdXJsPjwvcmVsYXRlZC11cmxzPjwvdXJscz48Y3Vz
dG9tMj4zMzIwODM5ODwvY3VzdG9tMj48ZWxlY3Ryb25pYy1yZXNvdXJjZS1udW0+MTAuMTEzNi9h
cmNoZGlzY2hpbGQtMjAyMC0zMjA0NTI8L2VsZWN0cm9uaWMtcmVzb3VyY2UtbnVtPjxyZW1vdGUt
ZGF0YWJhc2UtbmFtZT5TY29wdXM8L3JlbW90ZS1kYXRhYmFzZS1uYW1lPjxsYW5ndWFnZT5Fbmds
aXNoPC9sYW5ndWFnZT48L3JlY29yZD48L0NpdGU+PC9FbmROb3RlPgB=
</w:fldData>
              </w:fldChar>
            </w:r>
            <w:r w:rsidRPr="00A234DE">
              <w:instrText xml:space="preserve"> ADDIN EN.CITE </w:instrText>
            </w:r>
            <w:r w:rsidRPr="00A234DE">
              <w:fldChar w:fldCharType="begin">
                <w:fldData xml:space="preserve">PEVuZE5vdGU+PENpdGU+PEF1dGhvcj5TZWxsYXJzPC9BdXRob3I+PFllYXI+MjAyMTwvWWVhcj48
UmVjTnVtPjE2NDY8L1JlY051bT48RGlzcGxheVRleHQ+KDEpPC9EaXNwbGF5VGV4dD48cmVjb3Jk
PjxyZWMtbnVtYmVyPjE2NDY8L3JlYy1udW1iZXI+PGZvcmVpZ24ta2V5cz48a2V5IGFwcD0iRU4i
IGRiLWlkPSI1OWVlcHI5NWh2cGFhZmV6YXQ2NXNwNTdmdHNmMmFleDVlZHIiIHRpbWVzdGFtcD0i
MTY1OTQ0NzMwNiI+MTY0Njwva2V5PjwvZm9yZWlnbi1rZXlzPjxyZWYtdHlwZSBuYW1lPSJKb3Vy
bmFsIEFydGljbGUiPjE3PC9yZWYtdHlwZT48Y29udHJpYnV0b3JzPjxhdXRob3JzPjxhdXRob3I+
U2VsbGFycywgRS48L2F1dGhvcj48YXV0aG9yPlBhdmFyaW5pLCBHLjwvYXV0aG9yPjxhdXRob3I+
TWljaGVsc29uLCBELjwvYXV0aG9yPjxhdXRob3I+Q3Jlc3dlbGwsIEMuPC9hdXRob3I+PGF1dGhv
cj5GYXplbCwgTS48L2F1dGhvcj48L2F1dGhvcnM+PC9jb250cmlidXRvcnM+PGF1dGgtYWRkcmVz
cz5EZXBhcnRtZW50IG9mIFBzeWNoaWF0cnksIFVuaXZlcnNpdHkgb2YgT3hmb3JkLCBPeGZvcmQs
IFVuaXRlZCBLaW5nZG9tJiN4RDtTY2hvb2wgb2YgUHN5Y2hvbG9neSwgVW5pdmVyc2l0eSBvZiBT
dXNzZXgsIEJyaWdodG9uLCBVbml0ZWQgS2luZ2RvbTwvYXV0aC1hZGRyZXNzPjx0aXRsZXM+PHRp
dGxlPllvdW5nIHBlb3BsZSZhcG9zO3MgYWR2aXNvcnkgZ3JvdXBzIGluIGhlYWx0aCByZXNlYXJj
aDogU2NvcGluZyByZXZpZXcgYW5kIG1hcHBpbmcgb2YgcHJhY3RpY2VzPC90aXRsZT48c2Vjb25k
YXJ5LXRpdGxlPkFyY2hpdmVzIG9mIERpc2Vhc2UgaW4gQ2hpbGRob29kPC9zZWNvbmRhcnktdGl0
bGU+PGFsdC10aXRsZT5BcmNoLiBEaXMuIENoaWxkLjwvYWx0LXRpdGxlPjwvdGl0bGVzPjxwZXJp
b2RpY2FsPjxmdWxsLXRpdGxlPkFyY2hpdmVzIG9mIERpc2Vhc2UgaW4gQ2hpbGRob29kPC9mdWxs
LXRpdGxlPjwvcGVyaW9kaWNhbD48YWx0LXBlcmlvZGljYWw+PGZ1bGwtdGl0bGU+QXJjaC4gRGlz
LiBDaGlsZC48L2Z1bGwtdGl0bGU+PC9hbHQtcGVyaW9kaWNhbD48cGFnZXM+Njk4LTcwNDwvcGFn
ZXM+PHZvbHVtZT4xMDY8L3ZvbHVtZT48bnVtYmVyPjc8L251bWJlcj48a2V5d29yZHM+PGtleXdv
cmQ+YWRvbGVzY2VudCBoZWFsdGg8L2tleXdvcmQ+PGtleXdvcmQ+cHN5Y2hvbG9neTwva2V5d29y
ZD48a2V5d29yZD5hZG9sZXNjZW50PC9rZXl3b3JkPjxrZXl3b3JkPmFkdWx0PC9rZXl3b3JkPjxr
ZXl3b3JkPmNoaWxkPC9rZXl3b3JkPjxrZXl3b3JkPmVtcGlyaWNpc208L2tleXdvcmQ+PGtleXdv
cmQ+ZmVtYWxlPC9rZXl3b3JkPjxrZXl3b3JkPmh1bWFuPC9rZXl3b3JkPjxrZXl3b3JkPmp1dmVu
aWxlPC9rZXl3b3JkPjxrZXl3b3JkPm1hbGU8L2tleXdvcmQ+PGtleXdvcmQ+bWVkaWNhbCByZXNl
YXJjaDwva2V5d29yZD48a2V5d29yZD5NZWRsaW5lPC9rZXl3b3JkPjxrZXl3b3JkPnJldmlldzwv
a2V5d29yZD48a2V5d29yZD5zY2hvb2wgY2hpbGQ8L2tleXdvcmQ+PGtleXdvcmQ+c3lzdGVtYXRp
YyByZXZpZXc8L2tleXdvcmQ+PGtleXdvcmQ+Y29uc3VsdGF0aW9uPC9rZXl3b3JkPjxrZXl3b3Jk
PmhlYWx0aCBzZXJ2aWNlPC9rZXl3b3JkPjxrZXl3b3JkPmhlYWx0aCBzZXJ2aWNlcyByZXNlYXJj
aDwva2V5d29yZD48a2V5d29yZD5pbmZvcm1hdGlvbiBwcm9jZXNzaW5nPC9rZXl3b3JkPjxrZXl3
b3JkPm9yZ2FuaXphdGlvbiBhbmQgbWFuYWdlbWVudDwva2V5d29yZD48a2V5d29yZD5wYXJ0aWNp
cGF0b3J5IHJlc2VhcmNoPC9rZXl3b3JkPjxrZXl3b3JkPnBlcnNvbm5lbDwva2V5d29yZD48a2V5
d29yZD5wcm9jZWR1cmVzPC9rZXl3b3JkPjxrZXl3b3JkPnB1YmxpY2F0aW9uPC9rZXl3b3JkPjxr
ZXl3b3JkPkNvbW11bml0eS1CYXNlZCBQYXJ0aWNpcGF0b3J5IFJlc2VhcmNoPC9rZXl3b3JkPjxr
ZXl3b3JkPkNvbnN1bHRhbnRzPC9rZXl3b3JkPjxrZXl3b3JkPkRhdGEgQ29sbGVjdGlvbjwva2V5
d29yZD48a2V5d29yZD5IZWFsdGggU2VydmljZXMgTmVlZHMgYW5kIERlbWFuZDwva2V5d29yZD48
a2V5d29yZD5IdW1hbnM8L2tleXdvcmQ+PGtleXdvcmQ+UHVibGljYXRpb25zPC9rZXl3b3JkPjxr
ZXl3b3JkPlJlc2VhcmNoIFBlcnNvbm5lbDwva2V5d29yZD48L2tleXdvcmRzPjxkYXRlcz48eWVh
cj4yMDIxPC95ZWFyPjwvZGF0ZXM+PHB1Ymxpc2hlcj5CTUogUHVibGlzaGluZyBHcm91cDwvcHVi
bGlzaGVyPjxpc2JuPjAwMDM5ODg4IChJU1NOKTwvaXNibj48d29yay10eXBlPlJldmlldzwvd29y
ay10eXBlPjx1cmxzPjxyZWxhdGVkLXVybHM+PHVybD5odHRwczovL3d3dy5zY29wdXMuY29tL2lu
d2FyZC9yZWNvcmQudXJpP2VpZD0yLXMyLjAtODUwOTY0MjgzNzcmYW1wO2RvaT0xMC4xMTM2JTJm
YXJjaGRpc2NoaWxkLTIwMjAtMzIwNDUyJmFtcDtwYXJ0bmVySUQ9NDAmYW1wO21kNT1kZmVhZGNj
ODA0NjAyOTI3NjRlZTIxMTcwYTFmMjBiNDwvdXJsPjwvcmVsYXRlZC11cmxzPjwvdXJscz48Y3Vz
dG9tMj4zMzIwODM5ODwvY3VzdG9tMj48ZWxlY3Ryb25pYy1yZXNvdXJjZS1udW0+MTAuMTEzNi9h
cmNoZGlzY2hpbGQtMjAyMC0zMjA0NTI8L2VsZWN0cm9uaWMtcmVzb3VyY2UtbnVtPjxyZW1vdGUt
ZGF0YWJhc2UtbmFtZT5TY29wdXM8L3JlbW90ZS1kYXRhYmFzZS1uYW1lPjxsYW5ndWFnZT5Fbmds
aXNoPC9sYW5ndWFnZT48L3JlY29yZD48L0NpdGU+PC9FbmROb3RlPgB=
</w:fldData>
              </w:fldChar>
            </w:r>
            <w:r w:rsidRPr="00A234DE">
              <w:instrText xml:space="preserve"> ADDIN EN.CITE.DATA </w:instrText>
            </w:r>
            <w:r w:rsidRPr="00A234DE">
              <w:fldChar w:fldCharType="end"/>
            </w:r>
            <w:r w:rsidRPr="00A234DE">
              <w:fldChar w:fldCharType="separate"/>
            </w:r>
            <w:r w:rsidRPr="00A234DE">
              <w:t>(1)</w:t>
            </w:r>
            <w:r w:rsidRPr="00A234DE">
              <w:fldChar w:fldCharType="end"/>
            </w:r>
            <w:r w:rsidRPr="00A234DE">
              <w:t xml:space="preserve"> These may include stages like data interpretation or dissemination, which require less specialised knowledge and training.</w:t>
            </w:r>
          </w:p>
        </w:tc>
      </w:tr>
      <w:tr w:rsidR="00A234DE" w:rsidRPr="00A234DE" w14:paraId="0C77F40A" w14:textId="77777777" w:rsidTr="00A234DE">
        <w:tc>
          <w:tcPr>
            <w:tcW w:w="9067" w:type="dxa"/>
            <w:tcBorders>
              <w:top w:val="single" w:sz="4" w:space="0" w:color="auto"/>
              <w:left w:val="single" w:sz="4" w:space="0" w:color="auto"/>
              <w:bottom w:val="single" w:sz="4" w:space="0" w:color="auto"/>
              <w:right w:val="single" w:sz="4" w:space="0" w:color="auto"/>
            </w:tcBorders>
            <w:vAlign w:val="bottom"/>
            <w:hideMark/>
          </w:tcPr>
          <w:p w14:paraId="3CC92AB3" w14:textId="77777777" w:rsidR="00A234DE" w:rsidRPr="00A234DE" w:rsidRDefault="00A234DE" w:rsidP="00A234DE">
            <w:pPr>
              <w:spacing w:after="160" w:line="259" w:lineRule="auto"/>
            </w:pPr>
            <w:r w:rsidRPr="00A234DE">
              <w:rPr>
                <w:b/>
                <w:bCs/>
                <w:i/>
                <w:iCs/>
              </w:rPr>
              <w:t>Early involvement:</w:t>
            </w:r>
            <w:r w:rsidRPr="00A234DE">
              <w:t xml:space="preserve"> Researchers should engage adolescents from the beginning to ensure the review addresses topics relevant to their lives. For example, involvement through consultation sessions or meetings can help adolescents refine research questions and objectives.</w:t>
            </w:r>
          </w:p>
        </w:tc>
      </w:tr>
      <w:tr w:rsidR="00A234DE" w:rsidRPr="00A234DE" w14:paraId="71F589A2" w14:textId="77777777" w:rsidTr="00A234DE">
        <w:tc>
          <w:tcPr>
            <w:tcW w:w="9067" w:type="dxa"/>
            <w:tcBorders>
              <w:top w:val="single" w:sz="4" w:space="0" w:color="auto"/>
              <w:left w:val="single" w:sz="4" w:space="0" w:color="auto"/>
              <w:bottom w:val="single" w:sz="4" w:space="0" w:color="auto"/>
              <w:right w:val="single" w:sz="4" w:space="0" w:color="auto"/>
            </w:tcBorders>
            <w:vAlign w:val="bottom"/>
            <w:hideMark/>
          </w:tcPr>
          <w:p w14:paraId="70D9E365" w14:textId="77777777" w:rsidR="00A234DE" w:rsidRPr="00A234DE" w:rsidRDefault="00A234DE" w:rsidP="00A234DE">
            <w:pPr>
              <w:spacing w:after="160" w:line="259" w:lineRule="auto"/>
            </w:pPr>
            <w:r w:rsidRPr="00A234DE">
              <w:rPr>
                <w:b/>
                <w:bCs/>
                <w:i/>
                <w:iCs/>
              </w:rPr>
              <w:t>Number of adolescents involved:</w:t>
            </w:r>
            <w:r w:rsidRPr="00A234DE">
              <w:t xml:space="preserve"> The number of adolescents involved should be flexible and depend on the stage of involvement and the role they play. There is no fixed number; instead, it varies based on project needs and availability. For example, having 2-5 adolescents in advisory roles or as co-researchers can ensure diverse perspectives without overwhelming the process. Larger numbers may be needed for interpretation stage to capture broader insights.</w:t>
            </w:r>
          </w:p>
        </w:tc>
      </w:tr>
      <w:tr w:rsidR="00A234DE" w:rsidRPr="00A234DE" w14:paraId="73797037" w14:textId="77777777" w:rsidTr="00A234DE">
        <w:tc>
          <w:tcPr>
            <w:tcW w:w="9067" w:type="dxa"/>
            <w:tcBorders>
              <w:top w:val="single" w:sz="4" w:space="0" w:color="auto"/>
              <w:left w:val="single" w:sz="4" w:space="0" w:color="auto"/>
              <w:bottom w:val="single" w:sz="4" w:space="0" w:color="auto"/>
              <w:right w:val="single" w:sz="4" w:space="0" w:color="auto"/>
            </w:tcBorders>
            <w:vAlign w:val="bottom"/>
            <w:hideMark/>
          </w:tcPr>
          <w:p w14:paraId="73ADF413" w14:textId="77777777" w:rsidR="00A234DE" w:rsidRPr="00A234DE" w:rsidRDefault="00A234DE" w:rsidP="00A234DE">
            <w:pPr>
              <w:spacing w:after="160" w:line="259" w:lineRule="auto"/>
            </w:pPr>
            <w:r w:rsidRPr="00A234DE">
              <w:rPr>
                <w:b/>
                <w:bCs/>
                <w:i/>
                <w:iCs/>
              </w:rPr>
              <w:t>Matching roles to expertise and interest:</w:t>
            </w:r>
            <w:r w:rsidRPr="00A234DE">
              <w:t xml:space="preserve"> Researchers should match adolescents’ roles to their experience levels, ensuring their contributions align with their skills and interests. For example, adolescents with lived experience can help analyse findings, while adolescents both with and without lived experience can contribute to more specific and technical tasks.</w:t>
            </w:r>
          </w:p>
        </w:tc>
      </w:tr>
      <w:tr w:rsidR="00A234DE" w:rsidRPr="00A234DE" w14:paraId="786D70D2" w14:textId="77777777" w:rsidTr="00A234DE">
        <w:tc>
          <w:tcPr>
            <w:tcW w:w="9067" w:type="dxa"/>
            <w:tcBorders>
              <w:top w:val="single" w:sz="4" w:space="0" w:color="auto"/>
              <w:left w:val="single" w:sz="4" w:space="0" w:color="auto"/>
              <w:bottom w:val="single" w:sz="4" w:space="0" w:color="auto"/>
              <w:right w:val="single" w:sz="4" w:space="0" w:color="auto"/>
            </w:tcBorders>
            <w:vAlign w:val="bottom"/>
            <w:hideMark/>
          </w:tcPr>
          <w:p w14:paraId="14D2DCCD" w14:textId="77777777" w:rsidR="00A234DE" w:rsidRPr="00A234DE" w:rsidRDefault="00A234DE" w:rsidP="00A234DE">
            <w:pPr>
              <w:spacing w:after="160" w:line="259" w:lineRule="auto"/>
            </w:pPr>
            <w:r w:rsidRPr="00A234DE">
              <w:rPr>
                <w:b/>
                <w:bCs/>
                <w:i/>
                <w:iCs/>
              </w:rPr>
              <w:t>Training:</w:t>
            </w:r>
            <w:r w:rsidRPr="00A234DE">
              <w:t xml:space="preserve"> Researchers should offer clear, accessible training that helps adolescents feel confident in their roles. This training should cover relevant research methods and tools at an appropriate skill level. For example, practical workshops on using tools like Covidence can ensure adolescents understand systematic review processes in a youth-friendly way.</w:t>
            </w:r>
          </w:p>
        </w:tc>
      </w:tr>
      <w:tr w:rsidR="00A234DE" w:rsidRPr="00A234DE" w14:paraId="7E3B5583" w14:textId="77777777" w:rsidTr="00A234DE">
        <w:tc>
          <w:tcPr>
            <w:tcW w:w="9067" w:type="dxa"/>
            <w:tcBorders>
              <w:top w:val="single" w:sz="4" w:space="0" w:color="auto"/>
              <w:left w:val="single" w:sz="4" w:space="0" w:color="auto"/>
              <w:bottom w:val="single" w:sz="4" w:space="0" w:color="auto"/>
              <w:right w:val="single" w:sz="4" w:space="0" w:color="auto"/>
            </w:tcBorders>
            <w:vAlign w:val="bottom"/>
            <w:hideMark/>
          </w:tcPr>
          <w:p w14:paraId="198E2C04" w14:textId="77777777" w:rsidR="00A234DE" w:rsidRPr="00A234DE" w:rsidRDefault="00A234DE" w:rsidP="00A234DE">
            <w:pPr>
              <w:spacing w:after="160" w:line="259" w:lineRule="auto"/>
            </w:pPr>
            <w:r w:rsidRPr="00A234DE">
              <w:rPr>
                <w:b/>
                <w:bCs/>
                <w:i/>
                <w:iCs/>
              </w:rPr>
              <w:t>Accessibility and inclusiveness:</w:t>
            </w:r>
            <w:r w:rsidRPr="00A234DE">
              <w:t xml:space="preserve"> Researchers should make sure discussions and activities are accessible and welcoming. This means avoiding technical jargon and fostering an open environment where adolescents feel comfortable contributing. </w:t>
            </w:r>
          </w:p>
        </w:tc>
      </w:tr>
      <w:tr w:rsidR="00A234DE" w:rsidRPr="00A234DE" w14:paraId="25000386" w14:textId="77777777" w:rsidTr="00A234DE">
        <w:tc>
          <w:tcPr>
            <w:tcW w:w="9067" w:type="dxa"/>
            <w:tcBorders>
              <w:top w:val="single" w:sz="4" w:space="0" w:color="auto"/>
              <w:left w:val="single" w:sz="4" w:space="0" w:color="auto"/>
              <w:bottom w:val="single" w:sz="4" w:space="0" w:color="auto"/>
              <w:right w:val="single" w:sz="4" w:space="0" w:color="auto"/>
            </w:tcBorders>
            <w:vAlign w:val="bottom"/>
            <w:hideMark/>
          </w:tcPr>
          <w:p w14:paraId="454C8E68" w14:textId="77777777" w:rsidR="00A234DE" w:rsidRPr="00A234DE" w:rsidRDefault="00A234DE" w:rsidP="00A234DE">
            <w:pPr>
              <w:spacing w:after="160" w:line="259" w:lineRule="auto"/>
            </w:pPr>
            <w:r w:rsidRPr="00A234DE">
              <w:rPr>
                <w:b/>
                <w:bCs/>
                <w:i/>
                <w:iCs/>
              </w:rPr>
              <w:t>Methods:</w:t>
            </w:r>
            <w:r w:rsidRPr="00A234DE">
              <w:t xml:space="preserve"> To keep adolescents engaged, researchers should adopt creative approaches like hackathons, youth advisory groups, and interactive meetings. They can use more than one method at different stages to make the process more engaging and inclusive. </w:t>
            </w:r>
          </w:p>
        </w:tc>
      </w:tr>
      <w:tr w:rsidR="00A234DE" w:rsidRPr="00A234DE" w14:paraId="23ECC4C7" w14:textId="77777777" w:rsidTr="00A234DE">
        <w:tc>
          <w:tcPr>
            <w:tcW w:w="9067" w:type="dxa"/>
            <w:tcBorders>
              <w:top w:val="single" w:sz="4" w:space="0" w:color="auto"/>
              <w:left w:val="single" w:sz="4" w:space="0" w:color="auto"/>
              <w:bottom w:val="single" w:sz="4" w:space="0" w:color="auto"/>
              <w:right w:val="single" w:sz="4" w:space="0" w:color="auto"/>
            </w:tcBorders>
            <w:vAlign w:val="bottom"/>
            <w:hideMark/>
          </w:tcPr>
          <w:p w14:paraId="0C93FA0F" w14:textId="77777777" w:rsidR="00A234DE" w:rsidRPr="00A234DE" w:rsidRDefault="00A234DE" w:rsidP="00A234DE">
            <w:pPr>
              <w:spacing w:after="160" w:line="259" w:lineRule="auto"/>
            </w:pPr>
            <w:r w:rsidRPr="00A234DE">
              <w:rPr>
                <w:b/>
                <w:bCs/>
                <w:i/>
                <w:iCs/>
              </w:rPr>
              <w:t>Ethics:</w:t>
            </w:r>
            <w:r w:rsidRPr="00A234DE">
              <w:t xml:space="preserve">  Ethical approval may not be required when adolescents are engaged as contributors and part of the research team. However, researchers must maintain ethical standards even when formal approval isn’t required.</w:t>
            </w:r>
            <w:r w:rsidRPr="00A234DE">
              <w:fldChar w:fldCharType="begin"/>
            </w:r>
            <w:r w:rsidRPr="00A234DE">
              <w:instrText xml:space="preserve"> ADDIN EN.CITE &lt;EndNote&gt;&lt;Cite&gt;&lt;Author&gt;Thomas&lt;/Author&gt;&lt;Year&gt;2023&lt;/Year&gt;&lt;RecNum&gt;5403&lt;/RecNum&gt;&lt;DisplayText&gt;(31, 47)&lt;/DisplayText&gt;&lt;record&gt;&lt;rec-number&gt;5403&lt;/rec-number&gt;&lt;foreign-keys&gt;&lt;key app="EN" db-id="59eepr95hvpaafezat65sp57ftsf2aex5edr" timestamp="1726413625"&gt;5403&lt;/key&gt;&lt;/foreign-keys&gt;&lt;ref-type name="Journal Article"&gt;17&lt;/ref-type&gt;&lt;contributors&gt;&lt;authors&gt;&lt;author&gt;Thomas, Ciara&lt;/author&gt;&lt;author&gt;Cockcroft, Emma&lt;/author&gt;&lt;author&gt;Jenkins, Georgia&lt;/author&gt;&lt;author&gt;Liabo, Kristin&lt;/author&gt;&lt;/authors&gt;&lt;/contributors&gt;&lt;titles&gt;&lt;title&gt;Working with children and young people in research: supportive practices and pathways to impact&lt;/title&gt;&lt;secondary-title&gt;Journal of child health care&lt;/secondary-title&gt;&lt;/titles&gt;&lt;periodical&gt;&lt;full-title&gt;Journal of Child Health Care&lt;/full-title&gt;&lt;/periodical&gt;&lt;pages&gt;13674935231171451&lt;/pages&gt;&lt;dates&gt;&lt;year&gt;2023&lt;/year&gt;&lt;/dates&gt;&lt;isbn&gt;1367-4935&lt;/isbn&gt;&lt;urls&gt;&lt;/urls&gt;&lt;/record&gt;&lt;/Cite&gt;&lt;Cite&gt;&lt;Author&gt;Kirby&lt;/Author&gt;&lt;Year&gt;2004&lt;/Year&gt;&lt;RecNum&gt;4772&lt;/RecNum&gt;&lt;record&gt;&lt;rec-number&gt;4772&lt;/rec-number&gt;&lt;foreign-keys&gt;&lt;key app="EN" db-id="59eepr95hvpaafezat65sp57ftsf2aex5edr" timestamp="1659455126"&gt;4772&lt;/key&gt;&lt;/foreign-keys&gt;&lt;ref-type name="Journal Article"&gt;17&lt;/ref-type&gt;&lt;contributors&gt;&lt;authors&gt;&lt;author&gt;Kirby, P.&lt;/author&gt;&lt;/authors&gt;&lt;/contributors&gt;&lt;titles&gt;&lt;title&gt;A Guide to Actively Involving Young People in Research: For Researchers, Research Commissioners, and Managers&lt;/title&gt;&lt;secondary-title&gt;A Guide to Actively Involving Young People in Research: For Researchers, Research Commissioners and Managers&lt;/secondary-title&gt;&lt;/titles&gt;&lt;periodical&gt;&lt;full-title&gt;A Guide to Actively Involving Young People in Research: For Researchers, Research Commissioners and Managers&lt;/full-title&gt;&lt;/periodical&gt;&lt;dates&gt;&lt;year&gt;2004&lt;/year&gt;&lt;/dates&gt;&lt;urls&gt;&lt;/urls&gt;&lt;/record&gt;&lt;/Cite&gt;&lt;/EndNote&gt;</w:instrText>
            </w:r>
            <w:r w:rsidRPr="00A234DE">
              <w:fldChar w:fldCharType="separate"/>
            </w:r>
            <w:r w:rsidRPr="00A234DE">
              <w:t>(31, 47)</w:t>
            </w:r>
            <w:r w:rsidRPr="00A234DE">
              <w:fldChar w:fldCharType="end"/>
            </w:r>
            <w:r w:rsidRPr="00A234DE">
              <w:t xml:space="preserve"> </w:t>
            </w:r>
          </w:p>
        </w:tc>
      </w:tr>
      <w:tr w:rsidR="00A234DE" w:rsidRPr="00A234DE" w14:paraId="0964502E" w14:textId="77777777" w:rsidTr="00A234DE">
        <w:tc>
          <w:tcPr>
            <w:tcW w:w="9067" w:type="dxa"/>
            <w:tcBorders>
              <w:top w:val="single" w:sz="4" w:space="0" w:color="auto"/>
              <w:left w:val="single" w:sz="4" w:space="0" w:color="auto"/>
              <w:bottom w:val="single" w:sz="4" w:space="0" w:color="auto"/>
              <w:right w:val="single" w:sz="4" w:space="0" w:color="auto"/>
            </w:tcBorders>
            <w:vAlign w:val="bottom"/>
            <w:hideMark/>
          </w:tcPr>
          <w:p w14:paraId="4D45CA07" w14:textId="77777777" w:rsidR="00A234DE" w:rsidRPr="00A234DE" w:rsidRDefault="00A234DE" w:rsidP="00A234DE">
            <w:pPr>
              <w:spacing w:after="160" w:line="259" w:lineRule="auto"/>
            </w:pPr>
            <w:r w:rsidRPr="00A234DE">
              <w:rPr>
                <w:b/>
                <w:bCs/>
                <w:i/>
                <w:iCs/>
              </w:rPr>
              <w:t>Flexibility:</w:t>
            </w:r>
            <w:r w:rsidRPr="00A234DE">
              <w:t xml:space="preserve"> Researchers should accommodate adolescents' busy schedules by offering flexibility in participation. This can include flexibility in meeting times, tasks and roles, timelines and deadlines, and a flexible workload. </w:t>
            </w:r>
          </w:p>
        </w:tc>
      </w:tr>
      <w:tr w:rsidR="00A234DE" w:rsidRPr="00A234DE" w14:paraId="76BAC072" w14:textId="77777777" w:rsidTr="00A234DE">
        <w:tc>
          <w:tcPr>
            <w:tcW w:w="9067" w:type="dxa"/>
            <w:tcBorders>
              <w:top w:val="single" w:sz="4" w:space="0" w:color="auto"/>
              <w:left w:val="single" w:sz="4" w:space="0" w:color="auto"/>
              <w:bottom w:val="single" w:sz="4" w:space="0" w:color="auto"/>
              <w:right w:val="single" w:sz="4" w:space="0" w:color="auto"/>
            </w:tcBorders>
            <w:vAlign w:val="bottom"/>
            <w:hideMark/>
          </w:tcPr>
          <w:p w14:paraId="68649BD2" w14:textId="77777777" w:rsidR="00A234DE" w:rsidRPr="00A234DE" w:rsidRDefault="00A234DE" w:rsidP="00A234DE">
            <w:pPr>
              <w:spacing w:after="160" w:line="259" w:lineRule="auto"/>
            </w:pPr>
            <w:r w:rsidRPr="00A234DE">
              <w:rPr>
                <w:b/>
                <w:bCs/>
                <w:i/>
                <w:iCs/>
              </w:rPr>
              <w:lastRenderedPageBreak/>
              <w:t>Diversity:</w:t>
            </w:r>
            <w:r w:rsidRPr="00A234DE">
              <w:t xml:space="preserve"> Researchers should engage adolescents from diverse backgrounds to ensure a broad range of perspectives. For example, recruiting adolescents of different ages, genders, and life experiences can deepen insights during data interpretation.</w:t>
            </w:r>
          </w:p>
        </w:tc>
      </w:tr>
      <w:tr w:rsidR="00A234DE" w:rsidRPr="00A234DE" w14:paraId="42EA5315" w14:textId="77777777" w:rsidTr="00A234DE">
        <w:tc>
          <w:tcPr>
            <w:tcW w:w="9067" w:type="dxa"/>
            <w:tcBorders>
              <w:top w:val="single" w:sz="4" w:space="0" w:color="auto"/>
              <w:left w:val="single" w:sz="4" w:space="0" w:color="auto"/>
              <w:bottom w:val="single" w:sz="4" w:space="0" w:color="auto"/>
              <w:right w:val="single" w:sz="4" w:space="0" w:color="auto"/>
            </w:tcBorders>
            <w:vAlign w:val="bottom"/>
            <w:hideMark/>
          </w:tcPr>
          <w:p w14:paraId="7575CA99" w14:textId="77777777" w:rsidR="00A234DE" w:rsidRPr="00A234DE" w:rsidRDefault="00A234DE" w:rsidP="00A234DE">
            <w:pPr>
              <w:spacing w:after="160" w:line="259" w:lineRule="auto"/>
            </w:pPr>
            <w:r w:rsidRPr="00A234DE">
              <w:rPr>
                <w:b/>
                <w:bCs/>
                <w:i/>
                <w:iCs/>
              </w:rPr>
              <w:t>Compensation:</w:t>
            </w:r>
            <w:r w:rsidRPr="00A234DE">
              <w:t xml:space="preserve"> Researchers should formally recognise adolescents' contributions through appropriate compensation, such as co-authorship or financial rewards. </w:t>
            </w:r>
          </w:p>
        </w:tc>
      </w:tr>
      <w:tr w:rsidR="00A234DE" w:rsidRPr="00A234DE" w14:paraId="44C8A9C0" w14:textId="77777777" w:rsidTr="00A234DE">
        <w:tc>
          <w:tcPr>
            <w:tcW w:w="9067" w:type="dxa"/>
            <w:tcBorders>
              <w:top w:val="single" w:sz="4" w:space="0" w:color="auto"/>
              <w:left w:val="single" w:sz="4" w:space="0" w:color="auto"/>
              <w:bottom w:val="single" w:sz="4" w:space="0" w:color="auto"/>
              <w:right w:val="single" w:sz="4" w:space="0" w:color="auto"/>
            </w:tcBorders>
            <w:vAlign w:val="bottom"/>
            <w:hideMark/>
          </w:tcPr>
          <w:p w14:paraId="32821E14" w14:textId="77777777" w:rsidR="00A234DE" w:rsidRPr="00A234DE" w:rsidRDefault="00A234DE" w:rsidP="00A234DE">
            <w:pPr>
              <w:spacing w:after="160" w:line="259" w:lineRule="auto"/>
            </w:pPr>
            <w:r w:rsidRPr="00A234DE">
              <w:rPr>
                <w:b/>
                <w:bCs/>
                <w:i/>
                <w:iCs/>
              </w:rPr>
              <w:t>Evaluation:</w:t>
            </w:r>
            <w:r w:rsidRPr="00A234DE">
              <w:t xml:space="preserve"> Researchers should formally assess adolescent involvement. For example, gathering feedback through surveys or interviews can help measure the process and benefits of adolescents’ involvement and highlight areas for improvement.</w:t>
            </w:r>
          </w:p>
        </w:tc>
      </w:tr>
      <w:tr w:rsidR="00A234DE" w:rsidRPr="00A234DE" w14:paraId="644AA53B" w14:textId="77777777" w:rsidTr="00A234DE">
        <w:tc>
          <w:tcPr>
            <w:tcW w:w="9067" w:type="dxa"/>
            <w:tcBorders>
              <w:top w:val="single" w:sz="4" w:space="0" w:color="auto"/>
              <w:left w:val="single" w:sz="4" w:space="0" w:color="auto"/>
              <w:bottom w:val="single" w:sz="4" w:space="0" w:color="auto"/>
              <w:right w:val="single" w:sz="4" w:space="0" w:color="auto"/>
            </w:tcBorders>
            <w:vAlign w:val="bottom"/>
            <w:hideMark/>
          </w:tcPr>
          <w:p w14:paraId="61250556" w14:textId="77777777" w:rsidR="00A234DE" w:rsidRPr="00A234DE" w:rsidRDefault="00A234DE" w:rsidP="00A234DE">
            <w:pPr>
              <w:spacing w:after="160" w:line="259" w:lineRule="auto"/>
            </w:pPr>
            <w:r w:rsidRPr="00A234DE">
              <w:rPr>
                <w:b/>
                <w:bCs/>
                <w:i/>
                <w:iCs/>
              </w:rPr>
              <w:t>Reporting guidelines:</w:t>
            </w:r>
            <w:r w:rsidRPr="00A234DE">
              <w:t xml:space="preserve"> Researchers should use reporting tools to ensure full transparency about adolescent involvement. For example, including a dedicated section in published papers that details how adolescents were involved, including their training and contributions, promotes clarity and learning for future projects.</w:t>
            </w:r>
          </w:p>
        </w:tc>
      </w:tr>
    </w:tbl>
    <w:p w14:paraId="1EB1C557" w14:textId="77777777" w:rsidR="00A234DE" w:rsidRPr="00A234DE" w:rsidRDefault="00A234DE" w:rsidP="00A234DE">
      <w:pPr>
        <w:rPr>
          <w:b/>
          <w:bCs/>
          <w:lang w:val="en-IE"/>
        </w:rPr>
      </w:pPr>
    </w:p>
    <w:p w14:paraId="5A0E8354" w14:textId="77777777" w:rsidR="00AC0449" w:rsidRDefault="00AC0449"/>
    <w:sectPr w:rsidR="00AC04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4DE"/>
    <w:rsid w:val="00A234DE"/>
    <w:rsid w:val="00AC0449"/>
    <w:rsid w:val="00AD604E"/>
    <w:rsid w:val="00F17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E746C"/>
  <w15:chartTrackingRefBased/>
  <w15:docId w15:val="{A86D8749-EC3A-484D-AAC5-8137A8D99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34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34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34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34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34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34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34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34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34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34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34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34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34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34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34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34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34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34DE"/>
    <w:rPr>
      <w:rFonts w:eastAsiaTheme="majorEastAsia" w:cstheme="majorBidi"/>
      <w:color w:val="272727" w:themeColor="text1" w:themeTint="D8"/>
    </w:rPr>
  </w:style>
  <w:style w:type="paragraph" w:styleId="Title">
    <w:name w:val="Title"/>
    <w:basedOn w:val="Normal"/>
    <w:next w:val="Normal"/>
    <w:link w:val="TitleChar"/>
    <w:uiPriority w:val="10"/>
    <w:qFormat/>
    <w:rsid w:val="00A234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34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34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34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34DE"/>
    <w:pPr>
      <w:spacing w:before="160"/>
      <w:jc w:val="center"/>
    </w:pPr>
    <w:rPr>
      <w:i/>
      <w:iCs/>
      <w:color w:val="404040" w:themeColor="text1" w:themeTint="BF"/>
    </w:rPr>
  </w:style>
  <w:style w:type="character" w:customStyle="1" w:styleId="QuoteChar">
    <w:name w:val="Quote Char"/>
    <w:basedOn w:val="DefaultParagraphFont"/>
    <w:link w:val="Quote"/>
    <w:uiPriority w:val="29"/>
    <w:rsid w:val="00A234DE"/>
    <w:rPr>
      <w:i/>
      <w:iCs/>
      <w:color w:val="404040" w:themeColor="text1" w:themeTint="BF"/>
    </w:rPr>
  </w:style>
  <w:style w:type="paragraph" w:styleId="ListParagraph">
    <w:name w:val="List Paragraph"/>
    <w:basedOn w:val="Normal"/>
    <w:uiPriority w:val="34"/>
    <w:qFormat/>
    <w:rsid w:val="00A234DE"/>
    <w:pPr>
      <w:ind w:left="720"/>
      <w:contextualSpacing/>
    </w:pPr>
  </w:style>
  <w:style w:type="character" w:styleId="IntenseEmphasis">
    <w:name w:val="Intense Emphasis"/>
    <w:basedOn w:val="DefaultParagraphFont"/>
    <w:uiPriority w:val="21"/>
    <w:qFormat/>
    <w:rsid w:val="00A234DE"/>
    <w:rPr>
      <w:i/>
      <w:iCs/>
      <w:color w:val="0F4761" w:themeColor="accent1" w:themeShade="BF"/>
    </w:rPr>
  </w:style>
  <w:style w:type="paragraph" w:styleId="IntenseQuote">
    <w:name w:val="Intense Quote"/>
    <w:basedOn w:val="Normal"/>
    <w:next w:val="Normal"/>
    <w:link w:val="IntenseQuoteChar"/>
    <w:uiPriority w:val="30"/>
    <w:qFormat/>
    <w:rsid w:val="00A234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34DE"/>
    <w:rPr>
      <w:i/>
      <w:iCs/>
      <w:color w:val="0F4761" w:themeColor="accent1" w:themeShade="BF"/>
    </w:rPr>
  </w:style>
  <w:style w:type="character" w:styleId="IntenseReference">
    <w:name w:val="Intense Reference"/>
    <w:basedOn w:val="DefaultParagraphFont"/>
    <w:uiPriority w:val="32"/>
    <w:qFormat/>
    <w:rsid w:val="00A234DE"/>
    <w:rPr>
      <w:b/>
      <w:bCs/>
      <w:smallCaps/>
      <w:color w:val="0F4761" w:themeColor="accent1" w:themeShade="BF"/>
      <w:spacing w:val="5"/>
    </w:rPr>
  </w:style>
  <w:style w:type="table" w:styleId="TableGrid">
    <w:name w:val="Table Grid"/>
    <w:basedOn w:val="TableNormal"/>
    <w:uiPriority w:val="39"/>
    <w:rsid w:val="00A234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2917953">
      <w:bodyDiv w:val="1"/>
      <w:marLeft w:val="0"/>
      <w:marRight w:val="0"/>
      <w:marTop w:val="0"/>
      <w:marBottom w:val="0"/>
      <w:divBdr>
        <w:top w:val="none" w:sz="0" w:space="0" w:color="auto"/>
        <w:left w:val="none" w:sz="0" w:space="0" w:color="auto"/>
        <w:bottom w:val="none" w:sz="0" w:space="0" w:color="auto"/>
        <w:right w:val="none" w:sz="0" w:space="0" w:color="auto"/>
      </w:divBdr>
    </w:div>
    <w:div w:id="117194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847</Words>
  <Characters>4833</Characters>
  <Application>Microsoft Office Word</Application>
  <DocSecurity>0</DocSecurity>
  <Lines>40</Lines>
  <Paragraphs>11</Paragraphs>
  <ScaleCrop>false</ScaleCrop>
  <Company>Springer Nature</Company>
  <LinksUpToDate>false</LinksUpToDate>
  <CharactersWithSpaces>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2024-11-14T09:46:00Z</dcterms:created>
  <dcterms:modified xsi:type="dcterms:W3CDTF">2024-11-14T09:46:00Z</dcterms:modified>
</cp:coreProperties>
</file>