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12DEF5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4A3C9A">
        <w:rPr>
          <w:rFonts w:ascii="Arial" w:hAnsi="Arial" w:cs="Arial"/>
          <w:b/>
          <w:bCs/>
          <w:sz w:val="22"/>
          <w:szCs w:val="22"/>
          <w:u w:val="single"/>
        </w:rPr>
        <w:t>Electronic Supplementary Material</w:t>
      </w:r>
    </w:p>
    <w:p w14:paraId="03002ADC" w14:textId="77777777" w:rsidR="00CB08F6" w:rsidRPr="004A3C9A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878E2D5" w14:textId="77777777" w:rsidR="00CB08F6" w:rsidRDefault="00CB08F6" w:rsidP="00CB08F6">
      <w:pPr>
        <w:pStyle w:val="Default"/>
        <w:spacing w:before="0" w:line="360" w:lineRule="auto"/>
        <w:rPr>
          <w:rFonts w:ascii="Arial" w:hAnsi="Arial" w:cs="Arial"/>
          <w:b/>
          <w:bCs/>
          <w:sz w:val="22"/>
          <w:szCs w:val="22"/>
        </w:rPr>
      </w:pPr>
      <w:r w:rsidRPr="00CC6FFA">
        <w:rPr>
          <w:rFonts w:ascii="Arial" w:hAnsi="Arial" w:cs="Arial"/>
          <w:b/>
          <w:bCs/>
          <w:sz w:val="22"/>
          <w:szCs w:val="22"/>
        </w:rPr>
        <w:t xml:space="preserve">Comparison of the correlation between cerebral </w:t>
      </w:r>
      <w:r w:rsidRPr="00402C5C">
        <w:rPr>
          <w:rFonts w:ascii="Arial" w:hAnsi="Arial" w:cs="Arial"/>
          <w:b/>
          <w:bCs/>
          <w:sz w:val="22"/>
          <w:szCs w:val="22"/>
        </w:rPr>
        <w:t>[</w:t>
      </w:r>
      <w:r w:rsidRPr="00402C5C">
        <w:rPr>
          <w:rFonts w:ascii="Arial" w:hAnsi="Arial" w:cs="Arial"/>
          <w:b/>
          <w:bCs/>
          <w:sz w:val="22"/>
          <w:szCs w:val="22"/>
          <w:vertAlign w:val="superscript"/>
        </w:rPr>
        <w:t>18</w:t>
      </w:r>
      <w:r w:rsidRPr="00402C5C">
        <w:rPr>
          <w:rFonts w:ascii="Arial" w:hAnsi="Arial" w:cs="Arial"/>
          <w:b/>
          <w:bCs/>
          <w:sz w:val="22"/>
          <w:szCs w:val="22"/>
        </w:rPr>
        <w:t>F]FDG</w:t>
      </w:r>
      <w:r>
        <w:rPr>
          <w:rFonts w:ascii="Arial" w:hAnsi="Arial" w:cs="Arial" w:hint="eastAsia"/>
          <w:b/>
          <w:bCs/>
          <w:sz w:val="22"/>
          <w:szCs w:val="22"/>
        </w:rPr>
        <w:t xml:space="preserve"> </w:t>
      </w:r>
      <w:r w:rsidRPr="00CC6FFA">
        <w:rPr>
          <w:rFonts w:ascii="Arial" w:hAnsi="Arial" w:cs="Arial"/>
          <w:b/>
          <w:bCs/>
          <w:sz w:val="22"/>
          <w:szCs w:val="22"/>
        </w:rPr>
        <w:t>metabolism as assessed by two asymmetry indices and clinical neurological score in patients with ischemic cerebrovascular disease</w:t>
      </w:r>
    </w:p>
    <w:p w14:paraId="10A2E5F8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</w:rPr>
      </w:pPr>
    </w:p>
    <w:p w14:paraId="545D0461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Journal: Molecular Imaging and Biology</w:t>
      </w:r>
    </w:p>
    <w:p w14:paraId="0F7DDA4D" w14:textId="77777777" w:rsidR="00CB08F6" w:rsidRPr="00D43B14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</w:rPr>
      </w:pPr>
    </w:p>
    <w:p w14:paraId="6A2C8660" w14:textId="6E1A6201" w:rsidR="00CB08F6" w:rsidRPr="00CC6FFA" w:rsidRDefault="00CB08F6" w:rsidP="00CB08F6">
      <w:pPr>
        <w:pStyle w:val="Default"/>
        <w:spacing w:before="0" w:line="360" w:lineRule="auto"/>
        <w:rPr>
          <w:rFonts w:ascii="Arial" w:eastAsia="Times Roman" w:hAnsi="Arial" w:cs="Arial"/>
          <w:sz w:val="22"/>
          <w:szCs w:val="22"/>
        </w:rPr>
      </w:pP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Yuxin Liang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Bixiao Cui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Linlin Ye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3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Bin Yang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4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Yi Shan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Hongwei Yang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Lei Ma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Miao Zhang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1,2*</w:t>
      </w:r>
      <w:r w:rsidR="008D7EDD" w:rsidRPr="00CC6FFA">
        <w:rPr>
          <w:rFonts w:ascii="Arial" w:hAnsi="Arial" w:cs="Arial"/>
          <w:bCs/>
          <w:color w:val="auto"/>
          <w:kern w:val="2"/>
          <w:sz w:val="22"/>
          <w:szCs w:val="22"/>
        </w:rPr>
        <w:t>, Jie Lu</w:t>
      </w:r>
      <w:r w:rsidR="008D7EDD" w:rsidRPr="00CC6FFA">
        <w:rPr>
          <w:rFonts w:ascii="Arial" w:hAnsi="Arial" w:cs="Arial"/>
          <w:bCs/>
          <w:color w:val="auto"/>
          <w:kern w:val="2"/>
          <w:sz w:val="22"/>
          <w:szCs w:val="22"/>
          <w:vertAlign w:val="superscript"/>
        </w:rPr>
        <w:t>1,2*</w:t>
      </w:r>
    </w:p>
    <w:p w14:paraId="492BF8E0" w14:textId="77777777" w:rsidR="00CB08F6" w:rsidRPr="008D7EDD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sz w:val="22"/>
          <w:szCs w:val="22"/>
        </w:rPr>
      </w:pPr>
    </w:p>
    <w:p w14:paraId="36F787B6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1.</w:t>
      </w:r>
      <w:r w:rsidRPr="00CC6FFA">
        <w:rPr>
          <w:rFonts w:ascii="Arial" w:hAnsi="Arial" w:cs="Arial"/>
          <w:sz w:val="22"/>
          <w:szCs w:val="22"/>
        </w:rPr>
        <w:t>Department of Radiology and Nuclear Medicine, Xuanwu Hospital Capital Medical University, Beijing 100053, China</w:t>
      </w:r>
      <w:r w:rsidRPr="00D43B14">
        <w:rPr>
          <w:rFonts w:ascii="Arial" w:hAnsi="Arial" w:cs="Arial"/>
          <w:sz w:val="22"/>
          <w:szCs w:val="22"/>
        </w:rPr>
        <w:t xml:space="preserve"> </w:t>
      </w:r>
    </w:p>
    <w:p w14:paraId="511E1EE4" w14:textId="77777777" w:rsidR="00CB08F6" w:rsidRDefault="00CB08F6" w:rsidP="00CB08F6">
      <w:pPr>
        <w:pStyle w:val="Default"/>
        <w:numPr>
          <w:ilvl w:val="0"/>
          <w:numId w:val="1"/>
        </w:numPr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CC6FFA">
        <w:rPr>
          <w:rFonts w:ascii="Arial" w:hAnsi="Arial" w:cs="Arial"/>
          <w:sz w:val="22"/>
          <w:szCs w:val="22"/>
        </w:rPr>
        <w:t>Key Laboratory of Magnetic Resonance Imaging and Brain Informatics, Beijing 100053, China</w:t>
      </w:r>
      <w:r w:rsidRPr="00D43B14">
        <w:rPr>
          <w:rFonts w:ascii="Arial" w:hAnsi="Arial" w:cs="Arial"/>
          <w:sz w:val="22"/>
          <w:szCs w:val="22"/>
        </w:rPr>
        <w:t xml:space="preserve"> </w:t>
      </w:r>
    </w:p>
    <w:p w14:paraId="0B93FF80" w14:textId="77777777" w:rsidR="00CB08F6" w:rsidRDefault="00CB08F6" w:rsidP="00CB08F6">
      <w:pPr>
        <w:pStyle w:val="Default"/>
        <w:numPr>
          <w:ilvl w:val="0"/>
          <w:numId w:val="1"/>
        </w:numPr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CC6FFA">
        <w:rPr>
          <w:rFonts w:ascii="Arial" w:hAnsi="Arial" w:cs="Arial"/>
          <w:sz w:val="22"/>
          <w:szCs w:val="22"/>
        </w:rPr>
        <w:t>Department of Rehabilitation, Xuanwu Hospital, Capital Medical University, Beijing 100053, China</w:t>
      </w:r>
    </w:p>
    <w:p w14:paraId="47BD8FD7" w14:textId="77777777" w:rsidR="00CB08F6" w:rsidRDefault="00CB08F6" w:rsidP="00CB08F6">
      <w:pPr>
        <w:pStyle w:val="Default"/>
        <w:numPr>
          <w:ilvl w:val="0"/>
          <w:numId w:val="1"/>
        </w:numPr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CC6FFA">
        <w:rPr>
          <w:rFonts w:ascii="Arial" w:hAnsi="Arial" w:cs="Arial"/>
          <w:sz w:val="22"/>
          <w:szCs w:val="22"/>
        </w:rPr>
        <w:t>Department of Neurosurgery, Xuanwu Hospital Capital Medical University, Beijing 100053, China</w:t>
      </w:r>
    </w:p>
    <w:p w14:paraId="4E4409BD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</w:p>
    <w:p w14:paraId="23368150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Yuxin Liang</w:t>
      </w:r>
      <w:r w:rsidRPr="006B0C9E">
        <w:rPr>
          <w:rFonts w:ascii="Arial" w:hAnsi="Arial" w:cs="Arial"/>
          <w:sz w:val="22"/>
          <w:szCs w:val="22"/>
        </w:rPr>
        <w:t xml:space="preserve"> and </w:t>
      </w:r>
      <w:r w:rsidRPr="00CC6FFA">
        <w:rPr>
          <w:rFonts w:ascii="Arial" w:hAnsi="Arial" w:cs="Arial"/>
          <w:bCs/>
          <w:color w:val="auto"/>
          <w:kern w:val="2"/>
          <w:sz w:val="22"/>
          <w:szCs w:val="22"/>
        </w:rPr>
        <w:t>Bixiao Cui</w:t>
      </w:r>
      <w:r w:rsidRPr="006B0C9E">
        <w:rPr>
          <w:rFonts w:ascii="Arial" w:hAnsi="Arial" w:cs="Arial"/>
          <w:sz w:val="22"/>
          <w:szCs w:val="22"/>
        </w:rPr>
        <w:t xml:space="preserve"> contributed equally to this work as co-first authors.</w:t>
      </w:r>
    </w:p>
    <w:p w14:paraId="7D0B91E1" w14:textId="77777777" w:rsidR="00CB08F6" w:rsidRPr="006B0C9E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</w:p>
    <w:p w14:paraId="3FE8714E" w14:textId="77777777" w:rsidR="00CB08F6" w:rsidRPr="00D43B14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</w:rPr>
      </w:pPr>
      <w:r w:rsidRPr="00D43B14">
        <w:rPr>
          <w:rFonts w:ascii="Arial" w:hAnsi="Arial" w:cs="Arial"/>
          <w:b/>
          <w:bCs/>
          <w:sz w:val="22"/>
          <w:szCs w:val="22"/>
        </w:rPr>
        <w:t>Corresponding autho</w:t>
      </w:r>
      <w:r w:rsidRPr="00D43B14">
        <w:rPr>
          <w:rFonts w:ascii="Arial" w:hAnsi="Arial" w:cs="Arial" w:hint="eastAsia"/>
          <w:b/>
          <w:bCs/>
          <w:sz w:val="22"/>
          <w:szCs w:val="22"/>
        </w:rPr>
        <w:t>r</w:t>
      </w:r>
      <w:r>
        <w:rPr>
          <w:rFonts w:ascii="Arial" w:hAnsi="Arial" w:cs="Arial" w:hint="eastAsia"/>
          <w:b/>
          <w:bCs/>
          <w:sz w:val="22"/>
          <w:szCs w:val="22"/>
        </w:rPr>
        <w:t>s</w:t>
      </w:r>
      <w:r w:rsidRPr="00D43B14">
        <w:rPr>
          <w:rFonts w:ascii="Arial" w:hAnsi="Arial" w:cs="Arial"/>
          <w:b/>
          <w:bCs/>
          <w:sz w:val="22"/>
          <w:szCs w:val="22"/>
        </w:rPr>
        <w:t>:</w:t>
      </w:r>
    </w:p>
    <w:p w14:paraId="534F8DE2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AB2D85">
        <w:rPr>
          <w:rFonts w:ascii="Arial" w:hAnsi="Arial" w:cs="Arial" w:hint="eastAsia"/>
          <w:sz w:val="22"/>
          <w:szCs w:val="22"/>
        </w:rPr>
        <w:t>Miao Zhang</w:t>
      </w:r>
      <w:r w:rsidRPr="00D43B14">
        <w:rPr>
          <w:rFonts w:ascii="Arial" w:hAnsi="Arial" w:cs="Arial"/>
          <w:sz w:val="22"/>
          <w:szCs w:val="22"/>
        </w:rPr>
        <w:t xml:space="preserve"> </w:t>
      </w:r>
    </w:p>
    <w:p w14:paraId="2E02FB0F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50589E">
        <w:rPr>
          <w:sz w:val="22"/>
          <w:szCs w:val="22"/>
          <w:lang w:eastAsia="ja-JP"/>
        </w:rPr>
        <w:t>Changchun Steel 45 #, Xicheng District</w:t>
      </w:r>
    </w:p>
    <w:p w14:paraId="43662DC4" w14:textId="77777777" w:rsidR="00CB08F6" w:rsidRPr="00D43B14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Beijing</w:t>
      </w:r>
      <w:r w:rsidRPr="00D43B1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 w:hint="eastAsia"/>
          <w:sz w:val="22"/>
          <w:szCs w:val="22"/>
        </w:rPr>
        <w:t>China</w:t>
      </w:r>
      <w:r w:rsidRPr="00D43B1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color w:val="333333"/>
          <w:shd w:val="clear" w:color="auto" w:fill="FFFFFF"/>
        </w:rPr>
        <w:t>100037</w:t>
      </w:r>
    </w:p>
    <w:p w14:paraId="41F67E56" w14:textId="77777777" w:rsidR="00CB08F6" w:rsidRPr="00730A2C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sz w:val="22"/>
          <w:szCs w:val="22"/>
        </w:rPr>
      </w:pPr>
      <w:r w:rsidRPr="00730A2C">
        <w:rPr>
          <w:rFonts w:ascii="Arial" w:hAnsi="Arial" w:cs="Arial"/>
          <w:sz w:val="22"/>
          <w:szCs w:val="22"/>
        </w:rPr>
        <w:t xml:space="preserve">Tel: </w:t>
      </w:r>
      <w:r w:rsidRPr="00AB2D85">
        <w:rPr>
          <w:rFonts w:ascii="Arial" w:hAnsi="Arial" w:cs="Arial"/>
          <w:sz w:val="22"/>
          <w:szCs w:val="22"/>
        </w:rPr>
        <w:t>86-13651168079</w:t>
      </w:r>
      <w:r w:rsidRPr="00730A2C">
        <w:rPr>
          <w:rFonts w:ascii="Arial" w:hAnsi="Arial" w:cs="Arial"/>
          <w:sz w:val="22"/>
          <w:szCs w:val="22"/>
        </w:rPr>
        <w:t xml:space="preserve"> </w:t>
      </w:r>
    </w:p>
    <w:p w14:paraId="285983AF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730A2C">
        <w:rPr>
          <w:rFonts w:ascii="Arial" w:hAnsi="Arial" w:cs="Arial"/>
          <w:sz w:val="22"/>
          <w:szCs w:val="22"/>
        </w:rPr>
        <w:t xml:space="preserve">Email: </w:t>
      </w:r>
      <w:hyperlink r:id="rId5" w:history="1">
        <w:r w:rsidRPr="00B9462B">
          <w:rPr>
            <w:rStyle w:val="ae"/>
            <w:rFonts w:ascii="Arial" w:hAnsi="Arial" w:cs="Arial"/>
            <w:sz w:val="22"/>
            <w:szCs w:val="22"/>
          </w:rPr>
          <w:t>zhangmiao_smile@163.com</w:t>
        </w:r>
      </w:hyperlink>
    </w:p>
    <w:p w14:paraId="0D1D8D45" w14:textId="77777777" w:rsidR="00CB08F6" w:rsidRPr="00825BC3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</w:p>
    <w:p w14:paraId="41C1487D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sz w:val="22"/>
          <w:szCs w:val="22"/>
        </w:rPr>
      </w:pPr>
      <w:r>
        <w:rPr>
          <w:rFonts w:ascii="Arial" w:eastAsia="Times Roman" w:hAnsi="Arial" w:cs="Arial" w:hint="eastAsia"/>
          <w:sz w:val="22"/>
          <w:szCs w:val="22"/>
        </w:rPr>
        <w:t>Jie Lu</w:t>
      </w:r>
    </w:p>
    <w:p w14:paraId="2F06B4A2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50589E">
        <w:rPr>
          <w:sz w:val="22"/>
          <w:szCs w:val="22"/>
          <w:lang w:eastAsia="ja-JP"/>
        </w:rPr>
        <w:t>Changchun Steel 45 #, Xicheng District</w:t>
      </w:r>
    </w:p>
    <w:p w14:paraId="2F4C80CC" w14:textId="77777777" w:rsidR="00CB08F6" w:rsidRPr="00D43B14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Beijing</w:t>
      </w:r>
      <w:r w:rsidRPr="00D43B1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 w:hint="eastAsia"/>
          <w:sz w:val="22"/>
          <w:szCs w:val="22"/>
        </w:rPr>
        <w:t>China</w:t>
      </w:r>
      <w:r w:rsidRPr="00D43B1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color w:val="333333"/>
          <w:shd w:val="clear" w:color="auto" w:fill="FFFFFF"/>
        </w:rPr>
        <w:t>100037</w:t>
      </w:r>
    </w:p>
    <w:p w14:paraId="24F5D2B3" w14:textId="77777777" w:rsidR="00CB08F6" w:rsidRPr="00730A2C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sz w:val="22"/>
          <w:szCs w:val="22"/>
        </w:rPr>
      </w:pPr>
      <w:r w:rsidRPr="00730A2C">
        <w:rPr>
          <w:rFonts w:ascii="Arial" w:hAnsi="Arial" w:cs="Arial"/>
          <w:sz w:val="22"/>
          <w:szCs w:val="22"/>
        </w:rPr>
        <w:t xml:space="preserve">Tel: </w:t>
      </w:r>
      <w:r w:rsidRPr="00AB2D85">
        <w:rPr>
          <w:rFonts w:ascii="Arial" w:hAnsi="Arial" w:cs="Arial"/>
          <w:sz w:val="22"/>
          <w:szCs w:val="22"/>
        </w:rPr>
        <w:t>86-18911507070</w:t>
      </w:r>
      <w:r w:rsidRPr="00730A2C">
        <w:rPr>
          <w:rFonts w:ascii="Arial" w:hAnsi="Arial" w:cs="Arial"/>
          <w:sz w:val="22"/>
          <w:szCs w:val="22"/>
        </w:rPr>
        <w:t xml:space="preserve"> </w:t>
      </w:r>
    </w:p>
    <w:p w14:paraId="05A0E689" w14:textId="77777777" w:rsidR="00CB08F6" w:rsidRPr="007E6C3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730A2C">
        <w:rPr>
          <w:rFonts w:ascii="Arial" w:hAnsi="Arial" w:cs="Arial"/>
          <w:sz w:val="22"/>
          <w:szCs w:val="22"/>
        </w:rPr>
        <w:t xml:space="preserve">Email: </w:t>
      </w:r>
      <w:r w:rsidRPr="00AB2D85">
        <w:rPr>
          <w:rFonts w:ascii="Arial" w:hAnsi="Arial" w:cs="Arial"/>
          <w:sz w:val="22"/>
          <w:szCs w:val="22"/>
        </w:rPr>
        <w:t>imaginglu@hotmail.com</w:t>
      </w:r>
    </w:p>
    <w:p w14:paraId="08B8D084" w14:textId="77777777" w:rsidR="00CB08F6" w:rsidRPr="00730A2C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</w:rPr>
      </w:pPr>
    </w:p>
    <w:p w14:paraId="35241B04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832C4F">
        <w:rPr>
          <w:rFonts w:ascii="Arial" w:hAnsi="Arial" w:cs="Arial"/>
          <w:b/>
          <w:bCs/>
          <w:sz w:val="22"/>
          <w:szCs w:val="22"/>
          <w:u w:val="single"/>
        </w:rPr>
        <w:lastRenderedPageBreak/>
        <w:t>Materials and Methods</w:t>
      </w:r>
    </w:p>
    <w:p w14:paraId="452D31BC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185A40">
        <w:rPr>
          <w:rFonts w:ascii="Arial" w:hAnsi="Arial" w:cs="Arial"/>
          <w:i/>
          <w:iCs/>
          <w:sz w:val="22"/>
          <w:szCs w:val="22"/>
        </w:rPr>
        <w:t>Subjects</w:t>
      </w:r>
    </w:p>
    <w:p w14:paraId="71D9C57F" w14:textId="77777777" w:rsidR="00CB08F6" w:rsidRPr="00A64286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 w:hint="eastAsia"/>
          <w:sz w:val="22"/>
          <w:szCs w:val="22"/>
        </w:rPr>
        <w:t>Seventy p</w:t>
      </w:r>
      <w:r w:rsidRPr="00185A40">
        <w:rPr>
          <w:rFonts w:ascii="Arial" w:hAnsi="Arial" w:cs="Arial"/>
          <w:sz w:val="22"/>
          <w:szCs w:val="22"/>
        </w:rPr>
        <w:t>atients with subacute and chronic ischemic stroke in Xuanwu Hospital, Capital Medical University from March 2018 to August 2023 were retrospectively screened and included according to the following criteria: (1) a confirmed diagnosis of ICVD due to ICA or MCA steno-occlusive; (2) a history of a clinically confirmed stroke of the relevant ICA or MCA territory; and (3) consecutive PET/MR, DWI, computed tomography angiography and magnetic resonance angiography scans. The exclusion criteria were: (1) presence of multiple infarcts on both sides of the brain; (2) other neurological disorders that can cause abnormal brain metabolism; and (3) the contraindication for MRI or artefacts on MRI. Following a year of rehabilitation training (non-operative treatment), nineteen patients underwent a repeat follow-up 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 xml:space="preserve">F]FDG PET/MR scan. </w:t>
      </w:r>
      <w:r w:rsidRPr="001841EE">
        <w:rPr>
          <w:rFonts w:ascii="Arial" w:hAnsi="Arial" w:cs="Arial" w:hint="eastAsia"/>
          <w:sz w:val="22"/>
          <w:szCs w:val="22"/>
        </w:rPr>
        <w:t xml:space="preserve">The </w:t>
      </w:r>
      <w:r w:rsidRPr="001841EE">
        <w:rPr>
          <w:rFonts w:ascii="Arial" w:hAnsi="Arial" w:cs="Arial"/>
          <w:sz w:val="22"/>
          <w:szCs w:val="22"/>
        </w:rPr>
        <w:t>neurological function was assessed using the National Institutes of Health Stroke Scale (NIHSS) and the Modiﬁed Rankin Scale (mRS) scores on admission to hospital</w:t>
      </w:r>
      <w:r w:rsidRPr="001841EE">
        <w:rPr>
          <w:rFonts w:ascii="Arial" w:hAnsi="Arial" w:cs="Arial" w:hint="eastAsia"/>
          <w:sz w:val="22"/>
          <w:szCs w:val="22"/>
        </w:rPr>
        <w:t>.</w:t>
      </w:r>
      <w:r w:rsidRPr="001841EE">
        <w:rPr>
          <w:rFonts w:ascii="Arial" w:hAnsi="Arial" w:cs="Arial"/>
          <w:sz w:val="22"/>
          <w:szCs w:val="22"/>
        </w:rPr>
        <w:t xml:space="preserve"> This study was approved by the ethical approval institutional review board of Xuanwu Hospital, Capital Medical University and conducted in accordance with the Declaration of Helsinki.</w:t>
      </w:r>
      <w:r w:rsidRPr="00185A40">
        <w:rPr>
          <w:rFonts w:ascii="Arial" w:hAnsi="Arial" w:cs="Arial"/>
          <w:sz w:val="22"/>
          <w:szCs w:val="22"/>
        </w:rPr>
        <w:t xml:space="preserve"> The written informed consents were obtained from all participating patients. Fig. 1 shown the flowchart of the study design.</w:t>
      </w:r>
    </w:p>
    <w:p w14:paraId="4A7A8EEC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185A40">
        <w:rPr>
          <w:rFonts w:ascii="Arial" w:hAnsi="Arial" w:cs="Arial"/>
          <w:i/>
          <w:iCs/>
          <w:sz w:val="22"/>
          <w:szCs w:val="22"/>
        </w:rPr>
        <w:t xml:space="preserve">PET/MR </w:t>
      </w:r>
      <w:r>
        <w:rPr>
          <w:rFonts w:ascii="Arial" w:hAnsi="Arial" w:cs="Arial" w:hint="eastAsia"/>
          <w:i/>
          <w:iCs/>
          <w:sz w:val="22"/>
          <w:szCs w:val="22"/>
        </w:rPr>
        <w:t>I</w:t>
      </w:r>
      <w:r w:rsidRPr="00185A40">
        <w:rPr>
          <w:rFonts w:ascii="Arial" w:hAnsi="Arial" w:cs="Arial"/>
          <w:i/>
          <w:iCs/>
          <w:sz w:val="22"/>
          <w:szCs w:val="22"/>
        </w:rPr>
        <w:t xml:space="preserve">mage </w:t>
      </w:r>
      <w:r>
        <w:rPr>
          <w:rFonts w:ascii="Arial" w:hAnsi="Arial" w:cs="Arial" w:hint="eastAsia"/>
          <w:i/>
          <w:iCs/>
          <w:sz w:val="22"/>
          <w:szCs w:val="22"/>
        </w:rPr>
        <w:t>A</w:t>
      </w:r>
      <w:r w:rsidRPr="00185A40">
        <w:rPr>
          <w:rFonts w:ascii="Arial" w:hAnsi="Arial" w:cs="Arial"/>
          <w:i/>
          <w:iCs/>
          <w:sz w:val="22"/>
          <w:szCs w:val="22"/>
        </w:rPr>
        <w:t>cquisition</w:t>
      </w:r>
    </w:p>
    <w:p w14:paraId="5AC9E241" w14:textId="77777777" w:rsidR="00CB08F6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sz w:val="22"/>
          <w:szCs w:val="22"/>
        </w:rPr>
      </w:pPr>
      <w:r w:rsidRPr="00185A40">
        <w:rPr>
          <w:rFonts w:ascii="Arial" w:hAnsi="Arial" w:cs="Arial"/>
          <w:sz w:val="22"/>
          <w:szCs w:val="22"/>
        </w:rPr>
        <w:t>All scans were collected on a hybrid time of flight (TOF) PET/MR system (Signa, GE Healthcare). Before examination, all subjects fasted for minimum of 6 hours and blood glucose levels were checked to ensure a glycemic level below 8 mmol/L. 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 xml:space="preserve">F]FDG (3.7 MBq/kg) were injected manually in the median cubital vein, the PET/MR scan started at 50min post-injection. Each patient was instructed to stay calm and was positioned in the PET/MR scanner in a supine position using a 19-channel head and neck union coil. </w:t>
      </w:r>
    </w:p>
    <w:p w14:paraId="0DF9AE62" w14:textId="77777777" w:rsidR="00CB08F6" w:rsidRPr="00F0589C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i/>
          <w:iCs/>
          <w:sz w:val="22"/>
          <w:szCs w:val="22"/>
        </w:rPr>
      </w:pPr>
      <w:r w:rsidRPr="00185A40">
        <w:rPr>
          <w:rFonts w:ascii="Arial" w:hAnsi="Arial" w:cs="Arial"/>
          <w:sz w:val="22"/>
          <w:szCs w:val="22"/>
        </w:rPr>
        <w:t>The 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 xml:space="preserve">F]FDG PET images were obtained over a period of 10 minutes. </w:t>
      </w:r>
      <w:r>
        <w:rPr>
          <w:rFonts w:ascii="Arial" w:hAnsi="Arial" w:cs="Arial" w:hint="eastAsia"/>
          <w:sz w:val="22"/>
          <w:szCs w:val="22"/>
        </w:rPr>
        <w:t xml:space="preserve">The </w:t>
      </w:r>
      <w:r w:rsidRPr="00185A40">
        <w:rPr>
          <w:rFonts w:ascii="Arial" w:hAnsi="Arial" w:cs="Arial"/>
          <w:sz w:val="22"/>
          <w:szCs w:val="22"/>
        </w:rPr>
        <w:t xml:space="preserve">PET data were corrected for attenuation, scatter, random, decay, and dead time. The default attenuation correction sequences (Dixon MR sequences) and MR scans were simultaneously obtained. </w:t>
      </w:r>
      <w:r>
        <w:rPr>
          <w:rFonts w:ascii="Arial" w:hAnsi="Arial" w:cs="Arial" w:hint="eastAsia"/>
          <w:sz w:val="22"/>
          <w:szCs w:val="22"/>
        </w:rPr>
        <w:t xml:space="preserve">The </w:t>
      </w:r>
      <w:r w:rsidRPr="00185A40">
        <w:rPr>
          <w:rFonts w:ascii="Arial" w:hAnsi="Arial" w:cs="Arial"/>
          <w:sz w:val="22"/>
          <w:szCs w:val="22"/>
        </w:rPr>
        <w:t>Dixon MR sequences</w:t>
      </w:r>
      <w:r w:rsidRPr="00F0589C">
        <w:rPr>
          <w:rFonts w:ascii="Arial" w:hAnsi="Arial" w:cs="Arial"/>
          <w:sz w:val="22"/>
          <w:szCs w:val="22"/>
        </w:rPr>
        <w:t xml:space="preserve"> was automatically prescribed and acquired as follows: LAVA-Flex (GE Healthcare) axial acquisition, repetition time (TR) = 4 ms, echo time (TE) = 1.7 ms, slice thickness = 5.2 mm, 120 slices, pixel size = 1.95 × 2.93 mm</w:t>
      </w:r>
      <w:r w:rsidRPr="00776D2B">
        <w:rPr>
          <w:rFonts w:ascii="Arial" w:hAnsi="Arial" w:cs="Arial" w:hint="eastAsia"/>
          <w:sz w:val="22"/>
          <w:szCs w:val="22"/>
          <w:vertAlign w:val="superscript"/>
        </w:rPr>
        <w:t>2</w:t>
      </w:r>
      <w:r w:rsidRPr="00F0589C">
        <w:rPr>
          <w:rFonts w:ascii="Arial" w:hAnsi="Arial" w:cs="Arial"/>
          <w:sz w:val="22"/>
          <w:szCs w:val="22"/>
        </w:rPr>
        <w:t>, and acquisition time = 18 s.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The corrected PET data were reconstructed using a time-of-flight, point spread function, ordered subset expectation maximization (time of flight - point spread function - office of systems engineering and management, TOF-PSF-OSEM) algorithm with 8 iterations and 32 subsets, and a 3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mm cut-off filter. The resulting pixel size was 1.82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1.82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2.78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mm</w:t>
      </w:r>
      <w:r w:rsidRPr="00AE4D85">
        <w:rPr>
          <w:rFonts w:ascii="Arial" w:hAnsi="Arial" w:cs="Arial"/>
          <w:sz w:val="22"/>
          <w:szCs w:val="22"/>
          <w:vertAlign w:val="superscript"/>
        </w:rPr>
        <w:t>3</w:t>
      </w:r>
      <w:r w:rsidRPr="00185A40">
        <w:rPr>
          <w:rFonts w:ascii="Arial" w:hAnsi="Arial" w:cs="Arial"/>
          <w:sz w:val="22"/>
          <w:szCs w:val="22"/>
        </w:rPr>
        <w:t xml:space="preserve">. </w:t>
      </w:r>
    </w:p>
    <w:p w14:paraId="27288F70" w14:textId="77CCD478" w:rsidR="00CB08F6" w:rsidRDefault="00CB08F6" w:rsidP="004878A7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 w:hint="eastAsia"/>
          <w:sz w:val="22"/>
          <w:szCs w:val="22"/>
        </w:rPr>
      </w:pPr>
      <w:r w:rsidRPr="00185A40">
        <w:rPr>
          <w:rFonts w:ascii="Arial" w:hAnsi="Arial" w:cs="Arial"/>
          <w:sz w:val="22"/>
          <w:szCs w:val="22"/>
        </w:rPr>
        <w:lastRenderedPageBreak/>
        <w:t xml:space="preserve">PET and MR imaging data were simultaneously acquired. </w:t>
      </w:r>
      <w:r w:rsidRPr="00686CD8">
        <w:rPr>
          <w:rFonts w:ascii="Arial" w:hAnsi="Arial" w:cs="Arial"/>
          <w:sz w:val="22"/>
          <w:szCs w:val="22"/>
        </w:rPr>
        <w:t xml:space="preserve">The main MRI sequences included </w:t>
      </w:r>
      <w:r w:rsidRPr="00686CD8">
        <w:rPr>
          <w:rFonts w:ascii="Arial" w:hAnsi="Arial" w:cs="Arial" w:hint="eastAsia"/>
          <w:sz w:val="22"/>
          <w:szCs w:val="22"/>
        </w:rPr>
        <w:t>the</w:t>
      </w:r>
      <w:r w:rsidRPr="00686CD8">
        <w:rPr>
          <w:rFonts w:ascii="Arial" w:hAnsi="Arial" w:cs="Arial"/>
          <w:sz w:val="22"/>
          <w:szCs w:val="22"/>
        </w:rPr>
        <w:t xml:space="preserve"> T2 ﬂuid-attenuated inversion recovery</w:t>
      </w:r>
      <w:r w:rsidRPr="00686CD8"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(T2</w:t>
      </w:r>
      <w:r w:rsidRPr="00686CD8"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FLAIR) sequence (voxel size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0.</w:t>
      </w:r>
      <w:r w:rsidRPr="00686CD8">
        <w:rPr>
          <w:rFonts w:ascii="Arial" w:hAnsi="Arial" w:cs="Arial" w:hint="eastAsia"/>
          <w:sz w:val="22"/>
          <w:szCs w:val="22"/>
        </w:rPr>
        <w:t>94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0.</w:t>
      </w:r>
      <w:r w:rsidRPr="00686CD8">
        <w:rPr>
          <w:rFonts w:ascii="Arial" w:hAnsi="Arial" w:cs="Arial" w:hint="eastAsia"/>
          <w:sz w:val="22"/>
          <w:szCs w:val="22"/>
        </w:rPr>
        <w:t>94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4.00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mm</w:t>
      </w:r>
      <w:r w:rsidRPr="00AE4D85">
        <w:rPr>
          <w:rFonts w:ascii="Arial" w:hAnsi="Arial" w:cs="Arial"/>
          <w:sz w:val="22"/>
          <w:szCs w:val="22"/>
          <w:vertAlign w:val="superscript"/>
        </w:rPr>
        <w:t>3</w:t>
      </w:r>
      <w:r w:rsidRPr="00686CD8">
        <w:rPr>
          <w:rFonts w:ascii="Arial" w:hAnsi="Arial" w:cs="Arial"/>
          <w:sz w:val="22"/>
          <w:szCs w:val="22"/>
        </w:rPr>
        <w:t xml:space="preserve">, </w:t>
      </w:r>
      <w:r w:rsidRPr="00686CD8">
        <w:rPr>
          <w:rFonts w:ascii="Arial" w:hAnsi="Arial" w:cs="Arial" w:hint="eastAsia"/>
          <w:sz w:val="22"/>
          <w:szCs w:val="22"/>
        </w:rPr>
        <w:t>TR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11000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 xml:space="preserve">ms, </w:t>
      </w:r>
      <w:r w:rsidRPr="00686CD8">
        <w:rPr>
          <w:rFonts w:ascii="Arial" w:hAnsi="Arial" w:cs="Arial" w:hint="eastAsia"/>
          <w:sz w:val="22"/>
          <w:szCs w:val="22"/>
        </w:rPr>
        <w:t>TE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 w:hint="eastAsia"/>
          <w:sz w:val="22"/>
          <w:szCs w:val="22"/>
        </w:rPr>
        <w:t>141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ms, and slices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686CD8">
        <w:rPr>
          <w:rFonts w:ascii="Arial" w:hAnsi="Arial" w:cs="Arial"/>
          <w:sz w:val="22"/>
          <w:szCs w:val="22"/>
        </w:rPr>
        <w:t>32)</w:t>
      </w:r>
      <w:r w:rsidRPr="00185A40">
        <w:rPr>
          <w:rFonts w:ascii="Arial" w:hAnsi="Arial" w:cs="Arial"/>
          <w:sz w:val="22"/>
          <w:szCs w:val="22"/>
        </w:rPr>
        <w:t>, the diffusion-weighted image (DWI) (b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0/1000) sequence (voxel size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1.88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1.88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×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4.00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mm</w:t>
      </w:r>
      <w:r w:rsidRPr="00AE4D85">
        <w:rPr>
          <w:rFonts w:ascii="Arial" w:hAnsi="Arial" w:cs="Arial"/>
          <w:sz w:val="22"/>
          <w:szCs w:val="22"/>
          <w:vertAlign w:val="superscript"/>
        </w:rPr>
        <w:t>3</w:t>
      </w:r>
      <w:r w:rsidRPr="00185A40">
        <w:rPr>
          <w:rFonts w:ascii="Arial" w:hAnsi="Arial" w:cs="Arial"/>
          <w:sz w:val="22"/>
          <w:szCs w:val="22"/>
        </w:rPr>
        <w:t>, TR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6189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ms,</w:t>
      </w:r>
      <w:r w:rsidRPr="00F0589C">
        <w:rPr>
          <w:rFonts w:ascii="Arial" w:hAnsi="Arial" w:cs="Arial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TE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74.7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ms, and slices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32).</w:t>
      </w:r>
    </w:p>
    <w:p w14:paraId="5A137A8D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9C044A">
        <w:rPr>
          <w:rFonts w:ascii="Arial" w:hAnsi="Arial" w:cs="Arial"/>
          <w:i/>
          <w:iCs/>
          <w:sz w:val="22"/>
          <w:szCs w:val="22"/>
        </w:rPr>
        <w:t xml:space="preserve">PET/MR </w:t>
      </w:r>
      <w:r w:rsidRPr="009C044A">
        <w:rPr>
          <w:rFonts w:ascii="Arial" w:hAnsi="Arial" w:cs="Arial" w:hint="eastAsia"/>
          <w:i/>
          <w:iCs/>
          <w:sz w:val="22"/>
          <w:szCs w:val="22"/>
        </w:rPr>
        <w:t>I</w:t>
      </w:r>
      <w:r w:rsidRPr="009C044A">
        <w:rPr>
          <w:rFonts w:ascii="Arial" w:hAnsi="Arial" w:cs="Arial"/>
          <w:i/>
          <w:iCs/>
          <w:sz w:val="22"/>
          <w:szCs w:val="22"/>
        </w:rPr>
        <w:t xml:space="preserve">mage </w:t>
      </w:r>
      <w:r w:rsidRPr="009C044A">
        <w:rPr>
          <w:rFonts w:ascii="Arial" w:hAnsi="Arial" w:cs="Arial" w:hint="eastAsia"/>
          <w:i/>
          <w:iCs/>
          <w:sz w:val="22"/>
          <w:szCs w:val="22"/>
        </w:rPr>
        <w:t>P</w:t>
      </w:r>
      <w:r w:rsidRPr="009C044A">
        <w:rPr>
          <w:rFonts w:ascii="Arial" w:hAnsi="Arial" w:cs="Arial"/>
          <w:i/>
          <w:iCs/>
          <w:sz w:val="22"/>
          <w:szCs w:val="22"/>
        </w:rPr>
        <w:t>reprocessing</w:t>
      </w:r>
    </w:p>
    <w:p w14:paraId="38515C46" w14:textId="77777777" w:rsidR="00CB08F6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 xml:space="preserve">The </w:t>
      </w:r>
      <w:r w:rsidRPr="00995966">
        <w:rPr>
          <w:rFonts w:ascii="Arial" w:hAnsi="Arial" w:cs="Arial"/>
          <w:sz w:val="22"/>
          <w:szCs w:val="22"/>
        </w:rPr>
        <w:t xml:space="preserve">PET/MR </w:t>
      </w:r>
      <w:r>
        <w:rPr>
          <w:rFonts w:ascii="Arial" w:hAnsi="Arial" w:cs="Arial" w:hint="eastAsia"/>
          <w:sz w:val="22"/>
          <w:szCs w:val="22"/>
        </w:rPr>
        <w:t>i</w:t>
      </w:r>
      <w:r w:rsidRPr="00995966">
        <w:rPr>
          <w:rFonts w:ascii="Arial" w:hAnsi="Arial" w:cs="Arial"/>
          <w:sz w:val="22"/>
          <w:szCs w:val="22"/>
        </w:rPr>
        <w:t xml:space="preserve">mage </w:t>
      </w:r>
      <w:r>
        <w:rPr>
          <w:rFonts w:ascii="Arial" w:hAnsi="Arial" w:cs="Arial" w:hint="eastAsia"/>
          <w:sz w:val="22"/>
          <w:szCs w:val="22"/>
        </w:rPr>
        <w:t>p</w:t>
      </w:r>
      <w:r w:rsidRPr="00995966">
        <w:rPr>
          <w:rFonts w:ascii="Arial" w:hAnsi="Arial" w:cs="Arial"/>
          <w:sz w:val="22"/>
          <w:szCs w:val="22"/>
        </w:rPr>
        <w:t>reprocessing</w:t>
      </w:r>
      <w:r>
        <w:rPr>
          <w:rFonts w:ascii="Arial" w:hAnsi="Arial" w:cs="Arial" w:hint="eastAsia"/>
          <w:sz w:val="22"/>
          <w:szCs w:val="22"/>
        </w:rPr>
        <w:t xml:space="preserve"> using </w:t>
      </w:r>
      <w:r w:rsidRPr="00185A40">
        <w:rPr>
          <w:rFonts w:ascii="Arial" w:hAnsi="Arial" w:cs="Arial"/>
          <w:sz w:val="22"/>
          <w:szCs w:val="22"/>
        </w:rPr>
        <w:t xml:space="preserve">3D </w:t>
      </w:r>
      <w:r>
        <w:rPr>
          <w:rFonts w:ascii="Arial" w:hAnsi="Arial" w:cs="Arial" w:hint="eastAsia"/>
          <w:sz w:val="22"/>
          <w:szCs w:val="22"/>
        </w:rPr>
        <w:t>S</w:t>
      </w:r>
      <w:r w:rsidRPr="00185A40">
        <w:rPr>
          <w:rFonts w:ascii="Arial" w:hAnsi="Arial" w:cs="Arial"/>
          <w:sz w:val="22"/>
          <w:szCs w:val="22"/>
        </w:rPr>
        <w:t xml:space="preserve">licer </w:t>
      </w:r>
      <w:r>
        <w:rPr>
          <w:rFonts w:ascii="Arial" w:hAnsi="Arial" w:cs="Arial" w:hint="eastAsia"/>
          <w:sz w:val="22"/>
          <w:szCs w:val="22"/>
        </w:rPr>
        <w:t>T</w:t>
      </w:r>
      <w:r w:rsidRPr="00185A40">
        <w:rPr>
          <w:rFonts w:ascii="Arial" w:hAnsi="Arial" w:cs="Arial"/>
          <w:sz w:val="22"/>
          <w:szCs w:val="22"/>
        </w:rPr>
        <w:t xml:space="preserve">ool (version 5.5.0, </w:t>
      </w:r>
      <w:hyperlink r:id="rId6" w:history="1">
        <w:r w:rsidRPr="00B9462B">
          <w:rPr>
            <w:rStyle w:val="ae"/>
            <w:rFonts w:ascii="Arial" w:hAnsi="Arial" w:cs="Arial"/>
            <w:sz w:val="22"/>
            <w:szCs w:val="22"/>
          </w:rPr>
          <w:t>https://www.slicer.org</w:t>
        </w:r>
      </w:hyperlink>
      <w:r w:rsidRPr="00185A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 w:hint="eastAsia"/>
          <w:sz w:val="22"/>
          <w:szCs w:val="22"/>
        </w:rPr>
        <w:t xml:space="preserve">. </w:t>
      </w:r>
      <w:r w:rsidRPr="00185A40">
        <w:rPr>
          <w:rFonts w:ascii="Arial" w:hAnsi="Arial" w:cs="Arial"/>
          <w:sz w:val="22"/>
          <w:szCs w:val="22"/>
        </w:rPr>
        <w:t xml:space="preserve">Firstly, </w:t>
      </w:r>
      <w:r>
        <w:rPr>
          <w:rFonts w:ascii="Arial" w:hAnsi="Arial" w:cs="Arial" w:hint="eastAsia"/>
          <w:sz w:val="22"/>
          <w:szCs w:val="22"/>
        </w:rPr>
        <w:t>t</w:t>
      </w:r>
      <w:r w:rsidRPr="00185A40">
        <w:rPr>
          <w:rFonts w:ascii="Arial" w:hAnsi="Arial" w:cs="Arial"/>
          <w:sz w:val="22"/>
          <w:szCs w:val="22"/>
        </w:rPr>
        <w:t>he skull-stripping was performed on all MRI sequences (T2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Flair, DWI, ADC) as well as 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>F]FDG PET by using HD-BET brain extraction toolkit algorithm[1</w:t>
      </w:r>
      <w:r>
        <w:rPr>
          <w:rFonts w:ascii="Arial" w:hAnsi="Arial" w:cs="Arial" w:hint="eastAsia"/>
          <w:sz w:val="22"/>
          <w:szCs w:val="22"/>
        </w:rPr>
        <w:t>3</w:t>
      </w:r>
      <w:r w:rsidRPr="00185A40">
        <w:rPr>
          <w:rFonts w:ascii="Arial" w:hAnsi="Arial" w:cs="Arial"/>
          <w:sz w:val="22"/>
          <w:szCs w:val="22"/>
        </w:rPr>
        <w:t>].</w:t>
      </w:r>
      <w:r w:rsidRPr="0099596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</w:rPr>
        <w:t>S</w:t>
      </w:r>
      <w:r w:rsidRPr="00185A40">
        <w:rPr>
          <w:rFonts w:ascii="Arial" w:hAnsi="Arial" w:cs="Arial"/>
          <w:sz w:val="22"/>
          <w:szCs w:val="22"/>
        </w:rPr>
        <w:t>ubsequently, each subject’s 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>F]FDG PET image was performed partial volume correction (PVC) by using the Van-Cittert algorithm, and the standardized uptake value ratio (SUVR) was calculated[1</w:t>
      </w:r>
      <w:r>
        <w:rPr>
          <w:rFonts w:ascii="Arial" w:hAnsi="Arial" w:cs="Arial" w:hint="eastAsia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,</w:t>
      </w:r>
      <w:r w:rsidRPr="00185A40">
        <w:rPr>
          <w:rFonts w:ascii="Arial" w:hAnsi="Arial" w:cs="Arial"/>
          <w:sz w:val="22"/>
          <w:szCs w:val="22"/>
        </w:rPr>
        <w:t xml:space="preserve"> 1</w:t>
      </w:r>
      <w:r>
        <w:rPr>
          <w:rFonts w:ascii="Arial" w:hAnsi="Arial" w:cs="Arial" w:hint="eastAsia"/>
          <w:sz w:val="22"/>
          <w:szCs w:val="22"/>
        </w:rPr>
        <w:t>5</w:t>
      </w:r>
      <w:r w:rsidRPr="00185A40">
        <w:rPr>
          <w:rFonts w:ascii="Arial" w:hAnsi="Arial" w:cs="Arial"/>
          <w:sz w:val="22"/>
          <w:szCs w:val="22"/>
        </w:rPr>
        <w:t>]. Then</w:t>
      </w:r>
      <w:r>
        <w:rPr>
          <w:rFonts w:ascii="Arial" w:hAnsi="Arial" w:cs="Arial" w:hint="eastAsia"/>
          <w:sz w:val="22"/>
          <w:szCs w:val="22"/>
        </w:rPr>
        <w:t>,</w:t>
      </w:r>
      <w:r w:rsidRPr="00185A40">
        <w:rPr>
          <w:rFonts w:ascii="Arial" w:hAnsi="Arial" w:cs="Arial"/>
          <w:sz w:val="22"/>
          <w:szCs w:val="22"/>
        </w:rPr>
        <w:t xml:space="preserve"> the DWI (b=1000), ADC, and PET images were all co-registered to the individual T2 FLAIR image using the General Registration BRAINS algorithm. </w:t>
      </w:r>
    </w:p>
    <w:p w14:paraId="244DB63C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9C044A">
        <w:rPr>
          <w:rFonts w:ascii="Arial" w:hAnsi="Arial" w:cs="Arial"/>
          <w:i/>
          <w:iCs/>
          <w:sz w:val="22"/>
          <w:szCs w:val="22"/>
        </w:rPr>
        <w:t xml:space="preserve">Segmentation </w:t>
      </w:r>
      <w:r w:rsidRPr="009C044A">
        <w:rPr>
          <w:rFonts w:ascii="Arial" w:hAnsi="Arial" w:cs="Arial" w:hint="eastAsia"/>
          <w:i/>
          <w:iCs/>
          <w:sz w:val="22"/>
          <w:szCs w:val="22"/>
        </w:rPr>
        <w:t>P</w:t>
      </w:r>
      <w:r w:rsidRPr="009C044A">
        <w:rPr>
          <w:rFonts w:ascii="Arial" w:hAnsi="Arial" w:cs="Arial"/>
          <w:i/>
          <w:iCs/>
          <w:sz w:val="22"/>
          <w:szCs w:val="22"/>
        </w:rPr>
        <w:t>rocess</w:t>
      </w:r>
    </w:p>
    <w:p w14:paraId="5454D63D" w14:textId="77777777" w:rsidR="00CB08F6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185A40">
        <w:rPr>
          <w:rFonts w:ascii="Arial" w:hAnsi="Arial" w:cs="Arial"/>
          <w:sz w:val="22"/>
          <w:szCs w:val="22"/>
        </w:rPr>
        <w:t>Two experienced neuroradiologists independently and manually delineated the cerebral infarction regions based on PET</w:t>
      </w:r>
      <w:r>
        <w:rPr>
          <w:rFonts w:ascii="Arial" w:hAnsi="Arial" w:cs="Arial" w:hint="eastAsia"/>
          <w:sz w:val="22"/>
          <w:szCs w:val="22"/>
        </w:rPr>
        <w:t>/</w:t>
      </w:r>
      <w:r w:rsidRPr="00185A40">
        <w:rPr>
          <w:rFonts w:ascii="Arial" w:hAnsi="Arial" w:cs="Arial"/>
          <w:sz w:val="22"/>
          <w:szCs w:val="22"/>
        </w:rPr>
        <w:t>MRI images. For cases of disagreement, a consensus was reached in a separate session. The individual brain PET image was subdivided into 83 regions by using an automated labeling system, neuroparc (https://github.com/neurodata/neuroparc)[16]. And the bilateral frontal, temporal, parietal, and occipital regions were left behind in preparation for the next step of analysis.</w:t>
      </w:r>
    </w:p>
    <w:p w14:paraId="55ABD613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9C044A">
        <w:rPr>
          <w:rFonts w:ascii="Arial" w:hAnsi="Arial" w:cs="Arial"/>
          <w:i/>
          <w:iCs/>
          <w:sz w:val="22"/>
          <w:szCs w:val="22"/>
        </w:rPr>
        <w:t xml:space="preserve">Asymmetry Index (AI) </w:t>
      </w:r>
      <w:r w:rsidRPr="009C044A">
        <w:rPr>
          <w:rFonts w:ascii="Arial" w:hAnsi="Arial" w:cs="Arial" w:hint="eastAsia"/>
          <w:i/>
          <w:iCs/>
          <w:sz w:val="22"/>
          <w:szCs w:val="22"/>
        </w:rPr>
        <w:t>M</w:t>
      </w:r>
      <w:r w:rsidRPr="009C044A">
        <w:rPr>
          <w:rFonts w:ascii="Arial" w:hAnsi="Arial" w:cs="Arial"/>
          <w:i/>
          <w:iCs/>
          <w:sz w:val="22"/>
          <w:szCs w:val="22"/>
        </w:rPr>
        <w:t>easurements</w:t>
      </w:r>
    </w:p>
    <w:p w14:paraId="3C4070AB" w14:textId="77777777" w:rsidR="00CB08F6" w:rsidRPr="00686CD8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185A40">
        <w:rPr>
          <w:rFonts w:ascii="Arial" w:hAnsi="Arial" w:cs="Arial"/>
          <w:sz w:val="22"/>
          <w:szCs w:val="22"/>
        </w:rPr>
        <w:t xml:space="preserve">AI is the method used to measure the asymmetry of a distribution. </w:t>
      </w:r>
      <w:r>
        <w:rPr>
          <w:rFonts w:ascii="Arial" w:hAnsi="Arial" w:cs="Arial" w:hint="eastAsia"/>
          <w:sz w:val="22"/>
          <w:szCs w:val="22"/>
        </w:rPr>
        <w:t>T</w:t>
      </w:r>
      <w:r w:rsidRPr="00185A40">
        <w:rPr>
          <w:rFonts w:ascii="Arial" w:hAnsi="Arial" w:cs="Arial"/>
          <w:sz w:val="22"/>
          <w:szCs w:val="22"/>
        </w:rPr>
        <w:t>he 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 xml:space="preserve">F]FDG PET images were converted into maps that represented the standardized uptake value ratio (SUVR) for each voxel. The SUVR was calculated by dividing the tissue concentration of radioactivity (kBq/mL) in the region of interest by the mean activity concentration in a reference region. The AI was calculated in the individual brain map after removing all cerebral infarctions on both ipsilateral and contralateral sides to assess the left-right asymmetry </w:t>
      </w:r>
      <w:r>
        <w:rPr>
          <w:rFonts w:ascii="Arial" w:hAnsi="Arial" w:cs="Arial" w:hint="eastAsia"/>
          <w:sz w:val="22"/>
          <w:szCs w:val="22"/>
        </w:rPr>
        <w:t>on</w:t>
      </w:r>
      <w:r w:rsidRPr="00185A40">
        <w:rPr>
          <w:rFonts w:ascii="Arial" w:hAnsi="Arial" w:cs="Arial"/>
          <w:sz w:val="22"/>
          <w:szCs w:val="22"/>
        </w:rPr>
        <w:t xml:space="preserve"> SUVR</w:t>
      </w:r>
      <w:r>
        <w:rPr>
          <w:rFonts w:ascii="Arial" w:hAnsi="Arial" w:cs="Arial" w:hint="eastAsia"/>
          <w:sz w:val="22"/>
          <w:szCs w:val="22"/>
        </w:rPr>
        <w:t xml:space="preserve"> value</w:t>
      </w:r>
      <w:r w:rsidRPr="00185A40">
        <w:rPr>
          <w:rFonts w:ascii="Arial" w:hAnsi="Arial" w:cs="Arial"/>
          <w:sz w:val="22"/>
          <w:szCs w:val="22"/>
        </w:rPr>
        <w:t>. Two formulas for evaluating asymmetry, named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5A40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5A40">
        <w:rPr>
          <w:rFonts w:ascii="Arial" w:hAnsi="Arial" w:cs="Arial"/>
          <w:sz w:val="22"/>
          <w:szCs w:val="22"/>
        </w:rPr>
        <w:t>, were computed based on the following two equations (1)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(2) respectively[17]:</w:t>
      </w:r>
    </w:p>
    <w:p w14:paraId="0F2F1AD4" w14:textId="77777777" w:rsidR="00CB08F6" w:rsidRPr="00185A40" w:rsidRDefault="00CB08F6" w:rsidP="00CB08F6">
      <w:pPr>
        <w:pStyle w:val="MTDisplayEquation"/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ab/>
      </w:r>
      <w:r w:rsidR="00847DDA" w:rsidRPr="00847DDA">
        <w:rPr>
          <w:rFonts w:ascii="Arial" w:eastAsia="Arial Unicode MS" w:hAnsi="Arial" w:cs="Arial"/>
          <w:noProof/>
          <w:color w:val="000000"/>
          <w:kern w:val="0"/>
          <w:sz w:val="22"/>
          <w:szCs w:val="22"/>
          <w:bdr w:val="nil"/>
          <w:shd w:val="clear" w:color="auto" w:fill="auto"/>
        </w:rPr>
        <w:object w:dxaOrig="4080" w:dyaOrig="720" w14:anchorId="03092E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203.8pt;height:37.65pt;mso-width-percent:0;mso-height-percent:0;mso-width-percent:0;mso-height-percent:0" o:ole="">
            <v:imagedata r:id="rId7" o:title=""/>
          </v:shape>
          <o:OLEObject Type="Embed" ProgID="Equation.DSMT4" ShapeID="_x0000_i1026" DrawAspect="Content" ObjectID="_1791227339" r:id="rId8"/>
        </w:objec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ab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begin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 xml:space="preserve"> MACROBUTTON MTPlaceRef \* MERGEFORMAT 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begin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 xml:space="preserve"> SEQ MTEqn \h \* MERGEFORMAT 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>(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begin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 xml:space="preserve"> SEQ MTEqn \c \* Arabic \* MERGEFORMAT 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separate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>1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>)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</w:p>
    <w:p w14:paraId="1D24EE2A" w14:textId="77777777" w:rsidR="00CB08F6" w:rsidRPr="00185A40" w:rsidRDefault="00CB08F6" w:rsidP="00CB08F6">
      <w:pPr>
        <w:pStyle w:val="MTDisplayEquation"/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ab/>
      </w:r>
      <w:r w:rsidR="00847DDA" w:rsidRPr="00847DDA">
        <w:rPr>
          <w:rFonts w:ascii="Arial" w:eastAsia="Arial Unicode MS" w:hAnsi="Arial" w:cs="Arial"/>
          <w:noProof/>
          <w:color w:val="000000"/>
          <w:kern w:val="0"/>
          <w:sz w:val="22"/>
          <w:szCs w:val="22"/>
          <w:bdr w:val="nil"/>
          <w:shd w:val="clear" w:color="auto" w:fill="auto"/>
        </w:rPr>
        <w:object w:dxaOrig="4570" w:dyaOrig="730" w14:anchorId="58688134">
          <v:shape id="_x0000_i1025" type="#_x0000_t75" alt="" style="width:228.2pt;height:37.65pt;mso-width-percent:0;mso-height-percent:0;mso-width-percent:0;mso-height-percent:0" o:ole="">
            <v:imagedata r:id="rId9" o:title=""/>
          </v:shape>
          <o:OLEObject Type="Embed" ProgID="Equation.DSMT4" ShapeID="_x0000_i1025" DrawAspect="Content" ObjectID="_1791227340" r:id="rId10"/>
        </w:objec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ab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begin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 xml:space="preserve"> MACROBUTTON MTPlaceRef \* MERGEFORMAT 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begin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 xml:space="preserve"> SEQ MTEqn \h \* MERGEFORMAT 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>(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begin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 xml:space="preserve"> SEQ MTEqn \c \* Arabic \* MERGEFORMAT 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separate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>2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instrText>)</w:instrText>
      </w:r>
      <w:r w:rsidRPr="00185A40">
        <w:rPr>
          <w:rFonts w:ascii="Arial" w:eastAsia="Arial Unicode MS" w:hAnsi="Arial" w:cs="Arial"/>
          <w:color w:val="000000"/>
          <w:kern w:val="0"/>
          <w:sz w:val="22"/>
          <w:szCs w:val="22"/>
          <w:bdr w:val="nil"/>
          <w:shd w:val="clear" w:color="auto" w:fill="auto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</w:p>
    <w:p w14:paraId="2CD18F1C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185A40">
        <w:rPr>
          <w:rFonts w:ascii="Arial" w:hAnsi="Arial" w:cs="Arial"/>
          <w:sz w:val="22"/>
          <w:szCs w:val="22"/>
        </w:rPr>
        <w:lastRenderedPageBreak/>
        <w:t xml:space="preserve">where contralateral (ipsilateral) represents the affected side (unaffected side). Subsequently, the volume </w:t>
      </w:r>
      <w:r>
        <w:rPr>
          <w:rFonts w:ascii="Arial" w:hAnsi="Arial" w:cs="Arial" w:hint="eastAsia"/>
          <w:sz w:val="22"/>
          <w:szCs w:val="22"/>
        </w:rPr>
        <w:t xml:space="preserve">of </w:t>
      </w:r>
      <w:r w:rsidRPr="00185A40">
        <w:rPr>
          <w:rFonts w:ascii="Arial" w:hAnsi="Arial" w:cs="Arial"/>
          <w:sz w:val="22"/>
          <w:szCs w:val="22"/>
        </w:rPr>
        <w:t>decreased metaboli</w:t>
      </w:r>
      <w:r>
        <w:rPr>
          <w:rFonts w:ascii="Arial" w:hAnsi="Arial" w:cs="Arial" w:hint="eastAsia"/>
          <w:sz w:val="22"/>
          <w:szCs w:val="22"/>
        </w:rPr>
        <w:t>sm</w:t>
      </w:r>
      <w:r w:rsidRPr="00185A40">
        <w:rPr>
          <w:rFonts w:ascii="Arial" w:hAnsi="Arial" w:cs="Arial"/>
          <w:sz w:val="22"/>
          <w:szCs w:val="22"/>
        </w:rPr>
        <w:t xml:space="preserve"> on affected side was defined as those voxel-wise AI value higher than 10%[18]. And we calculated the percentage change in frontal, temporal, parietal, occipital regions and cerebral hemisphere on affected side compared to the unaffected side.</w:t>
      </w:r>
      <w:r w:rsidRPr="00686CD8">
        <w:rPr>
          <w:rFonts w:ascii="Arial" w:hAnsi="Arial" w:cs="Arial"/>
          <w:sz w:val="22"/>
          <w:szCs w:val="22"/>
        </w:rPr>
        <w:t xml:space="preserve"> </w:t>
      </w:r>
    </w:p>
    <w:p w14:paraId="7E6BF471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9C044A">
        <w:rPr>
          <w:rFonts w:ascii="Arial" w:hAnsi="Arial" w:cs="Arial"/>
          <w:i/>
          <w:iCs/>
          <w:sz w:val="22"/>
          <w:szCs w:val="22"/>
        </w:rPr>
        <w:t xml:space="preserve">Statistical </w:t>
      </w:r>
      <w:r w:rsidRPr="009C044A">
        <w:rPr>
          <w:rFonts w:ascii="Arial" w:hAnsi="Arial" w:cs="Arial" w:hint="eastAsia"/>
          <w:i/>
          <w:iCs/>
          <w:sz w:val="22"/>
          <w:szCs w:val="22"/>
        </w:rPr>
        <w:t>A</w:t>
      </w:r>
      <w:r w:rsidRPr="009C044A">
        <w:rPr>
          <w:rFonts w:ascii="Arial" w:hAnsi="Arial" w:cs="Arial"/>
          <w:i/>
          <w:iCs/>
          <w:sz w:val="22"/>
          <w:szCs w:val="22"/>
        </w:rPr>
        <w:t>nalysis</w:t>
      </w:r>
      <w:r w:rsidRPr="00185A40">
        <w:rPr>
          <w:rFonts w:ascii="Arial" w:hAnsi="Arial" w:cs="Arial"/>
          <w:sz w:val="22"/>
          <w:szCs w:val="22"/>
        </w:rPr>
        <w:t xml:space="preserve"> </w:t>
      </w:r>
    </w:p>
    <w:p w14:paraId="0E8D9A00" w14:textId="77777777" w:rsidR="00CB08F6" w:rsidRPr="00686CD8" w:rsidRDefault="00CB08F6" w:rsidP="00CB08F6">
      <w:pPr>
        <w:pStyle w:val="Default"/>
        <w:spacing w:before="0" w:line="360" w:lineRule="auto"/>
        <w:ind w:firstLineChars="200" w:firstLine="440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185A40">
        <w:rPr>
          <w:rFonts w:ascii="Arial" w:hAnsi="Arial" w:cs="Arial"/>
          <w:sz w:val="22"/>
          <w:szCs w:val="22"/>
        </w:rPr>
        <w:t xml:space="preserve">All statistical analyses were conducted using IBM SPSS Statistics for Windows, version 27.0 (IBM). Categorical variables were expressed as percentages. Normally distributed metric variables were expressed as mean ± standard deviation (SD). Non-normally distributed variables were expressed as median (range). Metabolic differences across the AI calculation methods were assessed using Paired T-tests. The statistical significance was determined at 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5A40">
        <w:rPr>
          <w:rFonts w:ascii="Arial" w:hAnsi="Arial" w:cs="Arial"/>
          <w:sz w:val="22"/>
          <w:szCs w:val="22"/>
        </w:rPr>
        <w:t xml:space="preserve"> value&lt;0.05. The correlation between the AI assessments and NIHSS/mRS score were analyzed using Spearman’s rank correlation. The data before and after the follow-up were all analyzed.</w:t>
      </w:r>
    </w:p>
    <w:p w14:paraId="6959AAB8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2FF741F1" w14:textId="77777777" w:rsidR="00CB08F6" w:rsidRPr="00832C4F" w:rsidRDefault="00CB08F6" w:rsidP="00CB08F6">
      <w:pPr>
        <w:pStyle w:val="Default"/>
        <w:spacing w:before="0" w:line="360" w:lineRule="auto"/>
        <w:jc w:val="both"/>
        <w:rPr>
          <w:rFonts w:ascii="Arial" w:eastAsia="Times Roman" w:hAnsi="Arial" w:cs="Arial"/>
          <w:b/>
          <w:bCs/>
          <w:sz w:val="22"/>
          <w:szCs w:val="22"/>
          <w:u w:val="single"/>
        </w:rPr>
      </w:pPr>
      <w:r w:rsidRPr="00832C4F">
        <w:rPr>
          <w:rFonts w:ascii="Arial" w:hAnsi="Arial" w:cs="Arial"/>
          <w:b/>
          <w:bCs/>
          <w:sz w:val="22"/>
          <w:szCs w:val="22"/>
          <w:u w:val="single"/>
        </w:rPr>
        <w:t>Results</w:t>
      </w:r>
    </w:p>
    <w:p w14:paraId="44BDF083" w14:textId="77777777" w:rsidR="001A7FE1" w:rsidRDefault="001A7FE1" w:rsidP="001A7FE1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i/>
          <w:iCs/>
          <w:sz w:val="22"/>
          <w:szCs w:val="22"/>
        </w:rPr>
        <w:t>Patient characteristic</w:t>
      </w:r>
    </w:p>
    <w:p w14:paraId="45C0B41F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 xml:space="preserve">A total of 70 patients, comprising 51 males (72.86%) with a mean age of 52 ± 11 years, presenting with unilateral internal carotid artery and middle cerebral artery steno-occlusive disease, underwent </w:t>
      </w:r>
      <w:r>
        <w:rPr>
          <w:rFonts w:ascii="Arial" w:hAnsi="Arial" w:cs="Arial" w:hint="eastAsia"/>
          <w:sz w:val="22"/>
          <w:szCs w:val="22"/>
        </w:rPr>
        <w:t>a</w:t>
      </w:r>
      <w:r w:rsidRPr="001841EE">
        <w:rPr>
          <w:rFonts w:ascii="Arial" w:hAnsi="Arial" w:cs="Arial"/>
          <w:sz w:val="22"/>
          <w:szCs w:val="22"/>
        </w:rPr>
        <w:t xml:space="preserve"> </w:t>
      </w:r>
      <w:r w:rsidRPr="00185A40">
        <w:rPr>
          <w:rFonts w:ascii="Arial" w:hAnsi="Arial" w:cs="Arial"/>
          <w:sz w:val="22"/>
          <w:szCs w:val="22"/>
        </w:rPr>
        <w:t>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>F]FDG</w:t>
      </w:r>
      <w:r w:rsidRPr="001841EE">
        <w:rPr>
          <w:rFonts w:ascii="Arial" w:hAnsi="Arial" w:cs="Arial"/>
          <w:sz w:val="22"/>
          <w:szCs w:val="22"/>
        </w:rPr>
        <w:t xml:space="preserve"> PET/MR s</w:t>
      </w:r>
      <w:r>
        <w:rPr>
          <w:rFonts w:ascii="Arial" w:hAnsi="Arial" w:cs="Arial" w:hint="eastAsia"/>
          <w:sz w:val="22"/>
          <w:szCs w:val="22"/>
        </w:rPr>
        <w:t>can</w:t>
      </w:r>
      <w:r w:rsidRPr="001841EE">
        <w:rPr>
          <w:rFonts w:ascii="Arial" w:hAnsi="Arial" w:cs="Arial"/>
          <w:sz w:val="22"/>
          <w:szCs w:val="22"/>
        </w:rPr>
        <w:t xml:space="preserve">. The NIHSS and mRS scores were recorded for each patient. Additionally, nineteen of these patients (including 10 males (52.63%) with a mean age of 51 ± 14 years at pre-follow-up and 53 ± 13 years at post-follow-up) underwent a repeated follow-up </w:t>
      </w:r>
      <w:r w:rsidRPr="00185A40">
        <w:rPr>
          <w:rFonts w:ascii="Arial" w:hAnsi="Arial" w:cs="Arial"/>
          <w:sz w:val="22"/>
          <w:szCs w:val="22"/>
        </w:rPr>
        <w:t>[</w:t>
      </w:r>
      <w:r w:rsidRPr="00713836">
        <w:rPr>
          <w:rFonts w:ascii="Arial" w:hAnsi="Arial" w:cs="Arial"/>
          <w:sz w:val="22"/>
          <w:szCs w:val="22"/>
          <w:vertAlign w:val="superscript"/>
        </w:rPr>
        <w:t>18</w:t>
      </w:r>
      <w:r w:rsidRPr="00185A40">
        <w:rPr>
          <w:rFonts w:ascii="Arial" w:hAnsi="Arial" w:cs="Arial"/>
          <w:sz w:val="22"/>
          <w:szCs w:val="22"/>
        </w:rPr>
        <w:t>F]FDG</w:t>
      </w:r>
      <w:r w:rsidRPr="001841EE">
        <w:rPr>
          <w:rFonts w:ascii="Arial" w:hAnsi="Arial" w:cs="Arial"/>
          <w:sz w:val="22"/>
          <w:szCs w:val="22"/>
        </w:rPr>
        <w:t xml:space="preserve"> PET/MR scan and were reassessed using the NIHSS and mRS after a year of rehabilitation training. Fig. 2 illustrates the exemplary imaging of one participant both before and after the follow-up period. Table 1 showed the demographic characteristics of all patients and the follow-up participants.</w:t>
      </w:r>
    </w:p>
    <w:p w14:paraId="0CCADDA2" w14:textId="77777777" w:rsidR="001A7FE1" w:rsidRDefault="001A7FE1" w:rsidP="001A7FE1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BA62A8">
        <w:rPr>
          <w:rFonts w:ascii="Arial" w:hAnsi="Arial" w:cs="Arial"/>
          <w:i/>
          <w:iCs/>
          <w:sz w:val="22"/>
          <w:szCs w:val="22"/>
        </w:rPr>
        <w:t xml:space="preserve">The hypometabolic state </w:t>
      </w:r>
      <w:r>
        <w:rPr>
          <w:rFonts w:ascii="Arial" w:hAnsi="Arial" w:cs="Arial" w:hint="eastAsia"/>
          <w:i/>
          <w:iCs/>
          <w:sz w:val="22"/>
          <w:szCs w:val="22"/>
        </w:rPr>
        <w:t>on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affected </w:t>
      </w:r>
      <w:r>
        <w:rPr>
          <w:rFonts w:ascii="Arial" w:hAnsi="Arial" w:cs="Arial" w:hint="eastAsia"/>
          <w:i/>
          <w:iCs/>
          <w:sz w:val="22"/>
          <w:szCs w:val="22"/>
        </w:rPr>
        <w:t>side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as assessed by 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1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and 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2</w:t>
      </w:r>
    </w:p>
    <w:p w14:paraId="5DA5578E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>We found the regional decreased metabolism volume and its respective percentage in the individual lobes and the entire hemisphere on the affected side, not including the infarction area, obtained from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 xml:space="preserve"> method were all greater than that of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>. The volume of hypometabolism was calculated as 176.66 ± 36.09 vs. 178.68 ± 36.11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 xml:space="preserve"> on the affected cerebral hemisphere, resulting in a calculated percentage of hypometabolism of 43.52 ± 8.72 vs. 44.02 ± 8.69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0.0001). In addition, the volume and percentage of hypometabolism observed in frontal, temporal, parietal, and occipital lobes yielded comparable outcomes (all 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0.0001) (shown in Table 2).</w:t>
      </w:r>
    </w:p>
    <w:p w14:paraId="2B1CDC45" w14:textId="77777777" w:rsidR="001A7FE1" w:rsidRPr="00BA62A8" w:rsidRDefault="001A7FE1" w:rsidP="001A7FE1">
      <w:pPr>
        <w:pStyle w:val="Default"/>
        <w:spacing w:before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A62A8">
        <w:rPr>
          <w:rFonts w:ascii="Arial" w:hAnsi="Arial" w:cs="Arial"/>
          <w:i/>
          <w:iCs/>
          <w:sz w:val="22"/>
          <w:szCs w:val="22"/>
        </w:rPr>
        <w:lastRenderedPageBreak/>
        <w:t>Correlation between the decreased metabolism volume as evaluated by AI (AI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1</w:t>
      </w:r>
      <w:r w:rsidRPr="00BA62A8">
        <w:rPr>
          <w:rFonts w:ascii="Arial" w:hAnsi="Arial" w:cs="Arial"/>
          <w:i/>
          <w:iCs/>
          <w:sz w:val="22"/>
          <w:szCs w:val="22"/>
        </w:rPr>
        <w:t>, 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2</w:t>
      </w:r>
      <w:r w:rsidRPr="00BA62A8">
        <w:rPr>
          <w:rFonts w:ascii="Arial" w:hAnsi="Arial" w:cs="Arial"/>
          <w:i/>
          <w:iCs/>
          <w:sz w:val="22"/>
          <w:szCs w:val="22"/>
        </w:rPr>
        <w:t>) and the NIHSS/mRS score</w:t>
      </w:r>
    </w:p>
    <w:p w14:paraId="0D3B1C4F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i/>
          <w:iCs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>A significant correlation between the decreased metabolism volume (excluding the infarction area) as evaluated by AI (AI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>,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) and the NIHSS score can be observed. The correlation coefficients obtained from the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method were all higher than those from the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. The correlation coefficients for the temporal lobe were 0.3403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0.0039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 w:hint="eastAsia"/>
          <w:sz w:val="22"/>
          <w:szCs w:val="22"/>
        </w:rPr>
        <w:t>)</w:t>
      </w:r>
      <w:r w:rsidRPr="001841EE">
        <w:rPr>
          <w:rFonts w:ascii="Arial" w:hAnsi="Arial" w:cs="Arial"/>
          <w:sz w:val="22"/>
          <w:szCs w:val="22"/>
        </w:rPr>
        <w:t xml:space="preserve"> and 0.3393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0.0041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b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 The correlation coefficients for the parietal lobe were 0.3076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0.0096</w:t>
      </w:r>
      <w:r>
        <w:rPr>
          <w:rFonts w:ascii="Arial" w:hAnsi="Arial" w:cs="Arial" w:hint="eastAsia"/>
          <w:sz w:val="22"/>
          <w:szCs w:val="22"/>
        </w:rPr>
        <w:t>,</w:t>
      </w:r>
      <w:r w:rsidRPr="00767FF8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e</w:t>
      </w:r>
      <w:r w:rsidRPr="001841EE">
        <w:rPr>
          <w:rFonts w:ascii="Arial" w:hAnsi="Arial" w:cs="Arial"/>
          <w:sz w:val="22"/>
          <w:szCs w:val="22"/>
        </w:rPr>
        <w:t>) and 0.3052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0.0102</w:t>
      </w:r>
      <w:r>
        <w:rPr>
          <w:rFonts w:ascii="Arial" w:hAnsi="Arial" w:cs="Arial" w:hint="eastAsia"/>
          <w:sz w:val="22"/>
          <w:szCs w:val="22"/>
        </w:rPr>
        <w:t>,</w:t>
      </w:r>
      <w:r w:rsidRPr="00767FF8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f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And the correlation coefficients for the whole affected hemisphere were 0.3010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0.0113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Fig.3</w:t>
      </w:r>
      <w:r>
        <w:rPr>
          <w:rFonts w:ascii="Arial" w:hAnsi="Arial" w:cs="Arial"/>
          <w:sz w:val="22"/>
          <w:szCs w:val="22"/>
        </w:rPr>
        <w:t>a</w:t>
      </w:r>
      <w:r w:rsidRPr="001841EE">
        <w:rPr>
          <w:rFonts w:ascii="Arial" w:hAnsi="Arial" w:cs="Arial"/>
          <w:sz w:val="22"/>
          <w:szCs w:val="22"/>
        </w:rPr>
        <w:t>) and 0.2942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0.0134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Fig.3</w:t>
      </w:r>
      <w:r>
        <w:rPr>
          <w:rFonts w:ascii="Arial" w:hAnsi="Arial" w:cs="Arial"/>
          <w:sz w:val="22"/>
          <w:szCs w:val="22"/>
        </w:rPr>
        <w:t>b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2FB9C2FD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i/>
          <w:iCs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>Similar results demonstrated that the volume and percentage (without the infarction area) of hypometabolism obtained by the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exhibited a stronger correlation with mRS than the correlation between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 xml:space="preserve"> and mRS. The correlation coefficients for the temporal lobe were 0.2751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0.0212</w:t>
      </w:r>
      <w:r>
        <w:rPr>
          <w:rFonts w:ascii="Arial" w:hAnsi="Arial" w:cs="Arial" w:hint="eastAsia"/>
          <w:sz w:val="22"/>
          <w:szCs w:val="22"/>
        </w:rPr>
        <w:t>,</w:t>
      </w:r>
      <w:r w:rsidRPr="0020607B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c</w:t>
      </w:r>
      <w:r w:rsidRPr="001841EE">
        <w:rPr>
          <w:rFonts w:ascii="Arial" w:hAnsi="Arial" w:cs="Arial"/>
          <w:sz w:val="22"/>
          <w:szCs w:val="22"/>
        </w:rPr>
        <w:t>) and 0.2745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0.0215</w:t>
      </w:r>
      <w:r>
        <w:rPr>
          <w:rFonts w:ascii="Arial" w:hAnsi="Arial" w:cs="Arial" w:hint="eastAsia"/>
          <w:sz w:val="22"/>
          <w:szCs w:val="22"/>
        </w:rPr>
        <w:t>,</w:t>
      </w:r>
      <w:r w:rsidRPr="0020607B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d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 The correlation coefficients for the parietal lobe were 0.2885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0.0154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g</w:t>
      </w:r>
      <w:r w:rsidRPr="001841EE">
        <w:rPr>
          <w:rFonts w:ascii="Arial" w:hAnsi="Arial" w:cs="Arial"/>
          <w:sz w:val="22"/>
          <w:szCs w:val="22"/>
        </w:rPr>
        <w:t>) and 0.2825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0.0178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Fig.1</w:t>
      </w:r>
      <w:r>
        <w:rPr>
          <w:rFonts w:ascii="Arial" w:hAnsi="Arial" w:cs="Arial"/>
          <w:sz w:val="22"/>
          <w:szCs w:val="22"/>
        </w:rPr>
        <w:t>h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 And the correlation coefficients for the whole affected hemisphere were 0.3010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0.0113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Fig.3</w:t>
      </w:r>
      <w:r>
        <w:rPr>
          <w:rFonts w:ascii="Arial" w:hAnsi="Arial" w:cs="Arial"/>
          <w:sz w:val="22"/>
          <w:szCs w:val="22"/>
        </w:rPr>
        <w:t>c</w:t>
      </w:r>
      <w:r w:rsidRPr="001841EE">
        <w:rPr>
          <w:rFonts w:ascii="Arial" w:hAnsi="Arial" w:cs="Arial"/>
          <w:sz w:val="22"/>
          <w:szCs w:val="22"/>
        </w:rPr>
        <w:t>) and 0.2942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>
        <w:rPr>
          <w:rFonts w:ascii="Arial" w:hAnsi="Arial" w:cs="Arial" w:hint="eastAsia"/>
          <w:i/>
          <w:iCs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=</w:t>
      </w:r>
      <w:r>
        <w:rPr>
          <w:rFonts w:ascii="Arial" w:hAnsi="Arial" w:cs="Arial" w:hint="eastAsia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0.0134</w:t>
      </w:r>
      <w:r>
        <w:rPr>
          <w:rFonts w:ascii="Arial" w:hAnsi="Arial" w:cs="Arial" w:hint="eastAsia"/>
          <w:sz w:val="22"/>
          <w:szCs w:val="22"/>
        </w:rPr>
        <w:t xml:space="preserve">, </w:t>
      </w:r>
      <w:r w:rsidRPr="001841EE">
        <w:rPr>
          <w:rFonts w:ascii="Arial" w:hAnsi="Arial" w:cs="Arial"/>
          <w:sz w:val="22"/>
          <w:szCs w:val="22"/>
        </w:rPr>
        <w:t>Suppl. Fig.3</w:t>
      </w:r>
      <w:r>
        <w:rPr>
          <w:rFonts w:ascii="Arial" w:hAnsi="Arial" w:cs="Arial"/>
          <w:sz w:val="22"/>
          <w:szCs w:val="22"/>
        </w:rPr>
        <w:t>d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047A37E9" w14:textId="77777777" w:rsidR="001A7FE1" w:rsidRDefault="001A7FE1" w:rsidP="001A7FE1">
      <w:pPr>
        <w:pStyle w:val="Default"/>
        <w:spacing w:before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A62A8">
        <w:rPr>
          <w:rFonts w:ascii="Arial" w:hAnsi="Arial" w:cs="Arial"/>
          <w:i/>
          <w:iCs/>
          <w:sz w:val="22"/>
          <w:szCs w:val="22"/>
        </w:rPr>
        <w:t>Correlation between the regional percentage of the decreased metabolism volume as evaluated by AI (AI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1</w:t>
      </w:r>
      <w:r w:rsidRPr="00BA62A8">
        <w:rPr>
          <w:rFonts w:ascii="Arial" w:hAnsi="Arial" w:cs="Arial"/>
          <w:i/>
          <w:iCs/>
          <w:sz w:val="22"/>
          <w:szCs w:val="22"/>
        </w:rPr>
        <w:t>, 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2</w:t>
      </w:r>
      <w:r w:rsidRPr="00BA62A8">
        <w:rPr>
          <w:rFonts w:ascii="Arial" w:hAnsi="Arial" w:cs="Arial"/>
          <w:i/>
          <w:iCs/>
          <w:sz w:val="22"/>
          <w:szCs w:val="22"/>
        </w:rPr>
        <w:t>) and the NIHSS/mRS score</w:t>
      </w:r>
    </w:p>
    <w:p w14:paraId="5FBF8A82" w14:textId="77777777" w:rsidR="001A7FE1" w:rsidRPr="00BA62A8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>The significant correlation between the regional decreased metabolic percentage (without the infarction area) evaluated by AIs (AI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>,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) and the NIHSS score can be observed. The correlation coefficients for the temporal lobe were 0.3550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0.0026</w:t>
      </w:r>
      <w:r>
        <w:rPr>
          <w:rFonts w:ascii="Arial" w:hAnsi="Arial" w:cs="Arial" w:hint="eastAsia"/>
          <w:sz w:val="22"/>
          <w:szCs w:val="22"/>
        </w:rPr>
        <w:t>,</w:t>
      </w:r>
      <w:r w:rsidRPr="00915DE9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a</w:t>
      </w:r>
      <w:r w:rsidRPr="001841EE">
        <w:rPr>
          <w:rFonts w:ascii="Arial" w:hAnsi="Arial" w:cs="Arial"/>
          <w:sz w:val="22"/>
          <w:szCs w:val="22"/>
        </w:rPr>
        <w:t>) and 0.3516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0.0028</w:t>
      </w:r>
      <w:r>
        <w:rPr>
          <w:rFonts w:ascii="Arial" w:hAnsi="Arial" w:cs="Arial" w:hint="eastAsia"/>
          <w:sz w:val="22"/>
          <w:szCs w:val="22"/>
        </w:rPr>
        <w:t>,</w:t>
      </w:r>
      <w:r w:rsidRPr="00915DE9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b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 And the correlation coefficients for the parietal lobe were 0.4887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</w:t>
      </w:r>
      <w:r>
        <w:rPr>
          <w:rFonts w:ascii="Arial" w:hAnsi="Arial" w:cs="Arial" w:hint="eastAsia"/>
          <w:sz w:val="22"/>
          <w:szCs w:val="22"/>
        </w:rPr>
        <w:t>,</w:t>
      </w:r>
      <w:r w:rsidRPr="00915DE9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e</w:t>
      </w:r>
      <w:r w:rsidRPr="001841EE">
        <w:rPr>
          <w:rFonts w:ascii="Arial" w:hAnsi="Arial" w:cs="Arial"/>
          <w:sz w:val="22"/>
          <w:szCs w:val="22"/>
        </w:rPr>
        <w:t>) and 0.4866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</w:t>
      </w:r>
      <w:r>
        <w:rPr>
          <w:rFonts w:ascii="Arial" w:hAnsi="Arial" w:cs="Arial" w:hint="eastAsia"/>
          <w:sz w:val="22"/>
          <w:szCs w:val="22"/>
        </w:rPr>
        <w:t>,</w:t>
      </w:r>
      <w:r w:rsidRPr="00915DE9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Fig.3</w:t>
      </w:r>
      <w:r>
        <w:rPr>
          <w:rFonts w:ascii="Arial" w:hAnsi="Arial" w:cs="Arial"/>
          <w:sz w:val="22"/>
          <w:szCs w:val="22"/>
        </w:rPr>
        <w:t>f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</w:t>
      </w:r>
      <w:r>
        <w:rPr>
          <w:rFonts w:ascii="Arial" w:hAnsi="Arial" w:cs="Arial" w:hint="eastAsia"/>
          <w:sz w:val="22"/>
          <w:szCs w:val="22"/>
        </w:rPr>
        <w:t>.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52318527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i/>
          <w:iCs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>The higher correlation in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could also be found between the regional percentage of decreased metabolism volume and the mRS score. The correlation coefficients for the temporal lobe were 0.2917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0.0143</w:t>
      </w:r>
      <w:r>
        <w:rPr>
          <w:rFonts w:ascii="Arial" w:hAnsi="Arial" w:cs="Arial" w:hint="eastAsia"/>
          <w:sz w:val="22"/>
          <w:szCs w:val="22"/>
        </w:rPr>
        <w:t>,</w:t>
      </w:r>
      <w:r w:rsidRPr="00B35A77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c</w:t>
      </w:r>
      <w:r w:rsidRPr="001841EE">
        <w:rPr>
          <w:rFonts w:ascii="Arial" w:hAnsi="Arial" w:cs="Arial"/>
          <w:sz w:val="22"/>
          <w:szCs w:val="22"/>
        </w:rPr>
        <w:t>) and 0.2874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0.0159</w:t>
      </w:r>
      <w:r>
        <w:rPr>
          <w:rFonts w:ascii="Arial" w:hAnsi="Arial" w:cs="Arial" w:hint="eastAsia"/>
          <w:sz w:val="22"/>
          <w:szCs w:val="22"/>
        </w:rPr>
        <w:t>,</w:t>
      </w:r>
      <w:r w:rsidRPr="00B35A77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d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 And the correlation coefficients for the parietal lobe were 0.4504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</w:t>
      </w:r>
      <w:r>
        <w:rPr>
          <w:rFonts w:ascii="Arial" w:hAnsi="Arial" w:cs="Arial" w:hint="eastAsia"/>
          <w:sz w:val="22"/>
          <w:szCs w:val="22"/>
        </w:rPr>
        <w:t>,</w:t>
      </w:r>
      <w:r w:rsidRPr="00B35A77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g</w:t>
      </w:r>
      <w:r w:rsidRPr="001841EE">
        <w:rPr>
          <w:rFonts w:ascii="Arial" w:hAnsi="Arial" w:cs="Arial"/>
          <w:sz w:val="22"/>
          <w:szCs w:val="22"/>
        </w:rPr>
        <w:t>) and 0.4485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</w:t>
      </w:r>
      <w:r>
        <w:rPr>
          <w:rFonts w:ascii="Arial" w:hAnsi="Arial" w:cs="Arial" w:hint="eastAsia"/>
          <w:sz w:val="22"/>
          <w:szCs w:val="22"/>
        </w:rPr>
        <w:t>,</w:t>
      </w:r>
      <w:r w:rsidRPr="00B35A77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>Suppl. Fig.2</w:t>
      </w:r>
      <w:r>
        <w:rPr>
          <w:rFonts w:ascii="Arial" w:hAnsi="Arial" w:cs="Arial"/>
          <w:sz w:val="22"/>
          <w:szCs w:val="22"/>
        </w:rPr>
        <w:t>h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50CE0089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i/>
          <w:iCs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>The decreased metabolic percentage in the whole affected hemisphere as determined by the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demonstrated a slightly stronger correlation with NIHSS/mRS scores than the results obtained by the corresponding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>. The correlation coefficients for the NIHSS score were 0.4076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</w:t>
      </w:r>
      <w:r w:rsidRPr="001841EE">
        <w:rPr>
          <w:rFonts w:ascii="Arial" w:hAnsi="Arial" w:cs="Arial"/>
          <w:sz w:val="22"/>
          <w:szCs w:val="22"/>
        </w:rPr>
        <w:lastRenderedPageBreak/>
        <w:t>0.0005; Fig. 3</w:t>
      </w:r>
      <w:r>
        <w:rPr>
          <w:rFonts w:ascii="Arial" w:hAnsi="Arial" w:cs="Arial"/>
          <w:sz w:val="22"/>
          <w:szCs w:val="22"/>
        </w:rPr>
        <w:t>e</w:t>
      </w:r>
      <w:r w:rsidRPr="001841EE">
        <w:rPr>
          <w:rFonts w:ascii="Arial" w:hAnsi="Arial" w:cs="Arial"/>
          <w:sz w:val="22"/>
          <w:szCs w:val="22"/>
        </w:rPr>
        <w:t>) and 0.4094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0.0004; Fig. 3</w:t>
      </w:r>
      <w:r>
        <w:rPr>
          <w:rFonts w:ascii="Arial" w:hAnsi="Arial" w:cs="Arial"/>
          <w:sz w:val="22"/>
          <w:szCs w:val="22"/>
        </w:rPr>
        <w:t>f</w:t>
      </w:r>
      <w:r w:rsidRPr="001841EE">
        <w:rPr>
          <w:rFonts w:ascii="Arial" w:hAnsi="Arial" w:cs="Arial"/>
          <w:sz w:val="22"/>
          <w:szCs w:val="22"/>
        </w:rPr>
        <w:t>) for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, respectively. And the correlation coefficients for the mRS score were 0.3649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0.0019; Fig. 3</w:t>
      </w:r>
      <w:r>
        <w:rPr>
          <w:rFonts w:ascii="Arial" w:hAnsi="Arial" w:cs="Arial"/>
          <w:sz w:val="22"/>
          <w:szCs w:val="22"/>
        </w:rPr>
        <w:t>g</w:t>
      </w:r>
      <w:r w:rsidRPr="001841EE">
        <w:rPr>
          <w:rFonts w:ascii="Arial" w:hAnsi="Arial" w:cs="Arial"/>
          <w:sz w:val="22"/>
          <w:szCs w:val="22"/>
        </w:rPr>
        <w:t>) and 0.3660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= 0.0018; Fig. 3</w:t>
      </w:r>
      <w:r>
        <w:rPr>
          <w:rFonts w:ascii="Arial" w:hAnsi="Arial" w:cs="Arial"/>
          <w:sz w:val="22"/>
          <w:szCs w:val="22"/>
        </w:rPr>
        <w:t>h</w:t>
      </w:r>
      <w:r w:rsidRPr="001841EE">
        <w:rPr>
          <w:rFonts w:ascii="Arial" w:hAnsi="Arial" w:cs="Arial"/>
          <w:sz w:val="22"/>
          <w:szCs w:val="22"/>
        </w:rPr>
        <w:t>), respectively.</w:t>
      </w:r>
      <w:r w:rsidRPr="00BA62A8">
        <w:rPr>
          <w:rFonts w:ascii="Arial" w:hAnsi="Arial" w:cs="Arial"/>
          <w:i/>
          <w:iCs/>
          <w:sz w:val="22"/>
          <w:szCs w:val="22"/>
        </w:rPr>
        <w:t xml:space="preserve"> </w:t>
      </w:r>
    </w:p>
    <w:p w14:paraId="09F759AB" w14:textId="77777777" w:rsidR="001A7FE1" w:rsidRPr="00A64286" w:rsidRDefault="001A7FE1" w:rsidP="001A7FE1">
      <w:pPr>
        <w:pStyle w:val="Default"/>
        <w:spacing w:before="0" w:line="36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A64286">
        <w:rPr>
          <w:rFonts w:ascii="Arial" w:hAnsi="Arial" w:cs="Arial"/>
          <w:i/>
          <w:iCs/>
          <w:sz w:val="22"/>
          <w:szCs w:val="22"/>
        </w:rPr>
        <w:t xml:space="preserve">Difference of hypometabolic state </w:t>
      </w:r>
      <w:r>
        <w:rPr>
          <w:rFonts w:ascii="Arial" w:hAnsi="Arial" w:cs="Arial" w:hint="eastAsia"/>
          <w:i/>
          <w:iCs/>
          <w:sz w:val="22"/>
          <w:szCs w:val="22"/>
        </w:rPr>
        <w:t>assess</w:t>
      </w:r>
      <w:r w:rsidRPr="00A64286">
        <w:rPr>
          <w:rFonts w:ascii="Arial" w:hAnsi="Arial" w:cs="Arial"/>
          <w:i/>
          <w:iCs/>
          <w:sz w:val="22"/>
          <w:szCs w:val="22"/>
        </w:rPr>
        <w:t>ed by 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1</w:t>
      </w:r>
      <w:r w:rsidRPr="00A64286">
        <w:rPr>
          <w:rFonts w:ascii="Arial" w:hAnsi="Arial" w:cs="Arial"/>
          <w:i/>
          <w:iCs/>
          <w:sz w:val="22"/>
          <w:szCs w:val="22"/>
        </w:rPr>
        <w:t xml:space="preserve"> and AI</w:t>
      </w:r>
      <w:r w:rsidRPr="00A707AA">
        <w:rPr>
          <w:rFonts w:ascii="Arial" w:hAnsi="Arial" w:cs="Arial"/>
          <w:i/>
          <w:iCs/>
          <w:sz w:val="22"/>
          <w:szCs w:val="22"/>
          <w:vertAlign w:val="subscript"/>
        </w:rPr>
        <w:t>2</w:t>
      </w:r>
      <w:r w:rsidRPr="00A64286">
        <w:rPr>
          <w:rFonts w:ascii="Arial" w:hAnsi="Arial" w:cs="Arial"/>
          <w:i/>
          <w:iCs/>
          <w:sz w:val="22"/>
          <w:szCs w:val="22"/>
        </w:rPr>
        <w:t xml:space="preserve"> in pre-follow-up and post-follow-up patients</w:t>
      </w:r>
    </w:p>
    <w:p w14:paraId="7137BD0D" w14:textId="77777777" w:rsidR="001A7FE1" w:rsidRDefault="001A7FE1" w:rsidP="001A7FE1">
      <w:pPr>
        <w:pStyle w:val="Default"/>
        <w:spacing w:before="0" w:line="360" w:lineRule="auto"/>
        <w:ind w:firstLineChars="200" w:firstLine="440"/>
        <w:jc w:val="both"/>
        <w:rPr>
          <w:rFonts w:ascii="Arial" w:hAnsi="Arial" w:cs="Arial"/>
          <w:sz w:val="22"/>
          <w:szCs w:val="22"/>
        </w:rPr>
      </w:pPr>
      <w:r w:rsidRPr="001841EE">
        <w:rPr>
          <w:rFonts w:ascii="Arial" w:hAnsi="Arial" w:cs="Arial"/>
          <w:sz w:val="22"/>
          <w:szCs w:val="22"/>
        </w:rPr>
        <w:t xml:space="preserve">In the follow-up group of fourteen patients, the </w:t>
      </w:r>
      <w:r>
        <w:rPr>
          <w:rFonts w:ascii="Arial" w:hAnsi="Arial" w:cs="Arial" w:hint="eastAsia"/>
          <w:sz w:val="22"/>
          <w:szCs w:val="22"/>
        </w:rPr>
        <w:t xml:space="preserve">volume of </w:t>
      </w:r>
      <w:r w:rsidRPr="001841EE">
        <w:rPr>
          <w:rFonts w:ascii="Arial" w:hAnsi="Arial" w:cs="Arial"/>
          <w:sz w:val="22"/>
          <w:szCs w:val="22"/>
        </w:rPr>
        <w:t>decrease</w:t>
      </w:r>
      <w:r>
        <w:rPr>
          <w:rFonts w:ascii="Arial" w:hAnsi="Arial" w:cs="Arial" w:hint="eastAsia"/>
          <w:sz w:val="22"/>
          <w:szCs w:val="22"/>
        </w:rPr>
        <w:t>d</w:t>
      </w:r>
      <w:r w:rsidRPr="001841EE">
        <w:rPr>
          <w:rFonts w:ascii="Arial" w:hAnsi="Arial" w:cs="Arial"/>
          <w:sz w:val="22"/>
          <w:szCs w:val="22"/>
        </w:rPr>
        <w:t xml:space="preserve"> hypometaboli</w:t>
      </w:r>
      <w:r>
        <w:rPr>
          <w:rFonts w:ascii="Arial" w:hAnsi="Arial" w:cs="Arial" w:hint="eastAsia"/>
          <w:sz w:val="22"/>
          <w:szCs w:val="22"/>
        </w:rPr>
        <w:t>sm</w:t>
      </w:r>
      <w:r w:rsidRPr="001841EE">
        <w:rPr>
          <w:rFonts w:ascii="Arial" w:hAnsi="Arial" w:cs="Arial"/>
          <w:sz w:val="22"/>
          <w:szCs w:val="22"/>
        </w:rPr>
        <w:t xml:space="preserve"> (excluding the infarction area) was 18.07 ± 12.53 and 17.98 ± 12.46, respectively, as assessed by the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 xml:space="preserve"> methods (both 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0.0001; Fig. 4</w:t>
      </w:r>
      <w:r>
        <w:rPr>
          <w:rFonts w:ascii="Arial" w:hAnsi="Arial" w:cs="Arial"/>
          <w:sz w:val="22"/>
          <w:szCs w:val="22"/>
        </w:rPr>
        <w:t>a</w:t>
      </w:r>
      <w:r w:rsidRPr="001841EE">
        <w:rPr>
          <w:rFonts w:ascii="Arial" w:hAnsi="Arial" w:cs="Arial"/>
          <w:sz w:val="22"/>
          <w:szCs w:val="22"/>
        </w:rPr>
        <w:t>). Moreover, the</w:t>
      </w:r>
      <w:r w:rsidRPr="0023654F">
        <w:rPr>
          <w:rFonts w:ascii="Arial" w:hAnsi="Arial" w:cs="Arial"/>
          <w:sz w:val="22"/>
          <w:szCs w:val="22"/>
        </w:rPr>
        <w:t xml:space="preserve"> </w:t>
      </w:r>
      <w:r w:rsidRPr="001841EE">
        <w:rPr>
          <w:rFonts w:ascii="Arial" w:hAnsi="Arial" w:cs="Arial"/>
          <w:sz w:val="22"/>
          <w:szCs w:val="22"/>
        </w:rPr>
        <w:t xml:space="preserve">percentage </w:t>
      </w:r>
      <w:r>
        <w:rPr>
          <w:rFonts w:ascii="Arial" w:hAnsi="Arial" w:cs="Arial" w:hint="eastAsia"/>
          <w:sz w:val="22"/>
          <w:szCs w:val="22"/>
        </w:rPr>
        <w:t xml:space="preserve">of </w:t>
      </w:r>
      <w:r w:rsidRPr="001841EE">
        <w:rPr>
          <w:rFonts w:ascii="Arial" w:hAnsi="Arial" w:cs="Arial"/>
          <w:sz w:val="22"/>
          <w:szCs w:val="22"/>
        </w:rPr>
        <w:t>decrease</w:t>
      </w:r>
      <w:r>
        <w:rPr>
          <w:rFonts w:ascii="Arial" w:hAnsi="Arial" w:cs="Arial" w:hint="eastAsia"/>
          <w:sz w:val="22"/>
          <w:szCs w:val="22"/>
        </w:rPr>
        <w:t>d</w:t>
      </w:r>
      <w:r w:rsidRPr="001841EE">
        <w:rPr>
          <w:rFonts w:ascii="Arial" w:hAnsi="Arial" w:cs="Arial"/>
          <w:sz w:val="22"/>
          <w:szCs w:val="22"/>
        </w:rPr>
        <w:t xml:space="preserve"> hypometaboli</w:t>
      </w:r>
      <w:r>
        <w:rPr>
          <w:rFonts w:ascii="Arial" w:hAnsi="Arial" w:cs="Arial" w:hint="eastAsia"/>
          <w:sz w:val="22"/>
          <w:szCs w:val="22"/>
        </w:rPr>
        <w:t>sm</w:t>
      </w:r>
      <w:r w:rsidRPr="001841EE">
        <w:rPr>
          <w:rFonts w:ascii="Arial" w:hAnsi="Arial" w:cs="Arial"/>
          <w:sz w:val="22"/>
          <w:szCs w:val="22"/>
        </w:rPr>
        <w:t xml:space="preserve"> was 4.67 ± 3.25 and 4.64 ± 3.23, respectively (both 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0.0001; Fig. 4</w:t>
      </w:r>
      <w:r>
        <w:rPr>
          <w:rFonts w:ascii="Arial" w:hAnsi="Arial" w:cs="Arial"/>
          <w:sz w:val="22"/>
          <w:szCs w:val="22"/>
        </w:rPr>
        <w:t>b</w:t>
      </w:r>
      <w:r w:rsidRPr="001841EE">
        <w:rPr>
          <w:rFonts w:ascii="Arial" w:hAnsi="Arial" w:cs="Arial"/>
          <w:sz w:val="22"/>
          <w:szCs w:val="22"/>
        </w:rPr>
        <w:t>). The reduction in hypometabolic volume, as assessed by the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method, and its hemispheric percentage on the affected side, was both greater than that observed by the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 xml:space="preserve"> (both 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0.0001). Table 3 provide a detailed comparison of the before and after follow-up evaluations conducted using the AI</w:t>
      </w:r>
      <w:r w:rsidRPr="00A707AA">
        <w:rPr>
          <w:rFonts w:ascii="Arial" w:hAnsi="Arial" w:cs="Arial"/>
          <w:sz w:val="22"/>
          <w:szCs w:val="22"/>
          <w:vertAlign w:val="subscript"/>
        </w:rPr>
        <w:t>1</w:t>
      </w:r>
      <w:r w:rsidRPr="001841EE">
        <w:rPr>
          <w:rFonts w:ascii="Arial" w:hAnsi="Arial" w:cs="Arial"/>
          <w:sz w:val="22"/>
          <w:szCs w:val="22"/>
        </w:rPr>
        <w:t xml:space="preserve"> and AI</w:t>
      </w:r>
      <w:r w:rsidRPr="00A707AA">
        <w:rPr>
          <w:rFonts w:ascii="Arial" w:hAnsi="Arial" w:cs="Arial"/>
          <w:sz w:val="22"/>
          <w:szCs w:val="22"/>
          <w:vertAlign w:val="subscript"/>
        </w:rPr>
        <w:t>2</w:t>
      </w:r>
      <w:r w:rsidRPr="001841EE">
        <w:rPr>
          <w:rFonts w:ascii="Arial" w:hAnsi="Arial" w:cs="Arial"/>
          <w:sz w:val="22"/>
          <w:szCs w:val="22"/>
        </w:rPr>
        <w:t>. In addition, there were significant differences between the pre- and post-follow-up patients in terms of NIHSS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0.0047) and mRS (</w:t>
      </w:r>
      <w:r w:rsidRPr="004A53CD">
        <w:rPr>
          <w:rFonts w:ascii="Arial" w:hAnsi="Arial" w:cs="Arial"/>
          <w:i/>
          <w:iCs/>
          <w:sz w:val="22"/>
          <w:szCs w:val="22"/>
        </w:rPr>
        <w:t>p</w:t>
      </w:r>
      <w:r w:rsidRPr="001841EE">
        <w:rPr>
          <w:rFonts w:ascii="Arial" w:hAnsi="Arial" w:cs="Arial"/>
          <w:sz w:val="22"/>
          <w:szCs w:val="22"/>
        </w:rPr>
        <w:t xml:space="preserve"> &lt; 0.0001) scores (show in Table 4). Moreover, the decreased metabolism observed in the remaining five patients in the follow-up group exhibited an increase, accompanied by a notable improvement in their NIHSS/mRS scores.</w:t>
      </w:r>
    </w:p>
    <w:p w14:paraId="201A16A7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inline distT="0" distB="0" distL="0" distR="0" wp14:anchorId="54449DD8" wp14:editId="67684474">
            <wp:extent cx="5824855" cy="8229600"/>
            <wp:effectExtent l="0" t="0" r="4445" b="0"/>
            <wp:docPr id="179095237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952378" name="图片 179095237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48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CBED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D43B14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1. </w:t>
      </w:r>
      <w:r w:rsidRPr="004727E9">
        <w:rPr>
          <w:rFonts w:ascii="Arial" w:hAnsi="Arial" w:cs="Arial"/>
          <w:sz w:val="22"/>
          <w:szCs w:val="22"/>
        </w:rPr>
        <w:t>The correlation between the hypometabolic volume in different regions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with the clinical scores(NIHSS/mRS) (N=70). NIHSS, National Institutes of Health Stroke Scale; mRS, Modified Rankin Scale. </w:t>
      </w:r>
      <w:r w:rsidRPr="00EF4B2C">
        <w:rPr>
          <w:rFonts w:ascii="Arial" w:hAnsi="Arial" w:cs="Arial"/>
          <w:sz w:val="22"/>
          <w:szCs w:val="22"/>
        </w:rPr>
        <w:t>TL, Temporal lobe; PL, Parietal lobe</w:t>
      </w:r>
      <w:r>
        <w:rPr>
          <w:rFonts w:ascii="Arial" w:hAnsi="Arial" w:cs="Arial" w:hint="eastAsia"/>
          <w:sz w:val="22"/>
          <w:szCs w:val="22"/>
        </w:rPr>
        <w:t>.</w:t>
      </w:r>
      <w:r w:rsidRPr="004727E9">
        <w:rPr>
          <w:rFonts w:ascii="Arial" w:hAnsi="Arial" w:cs="Arial"/>
          <w:b/>
          <w:bCs/>
          <w:sz w:val="22"/>
          <w:szCs w:val="22"/>
        </w:rPr>
        <w:t xml:space="preserve"> (a) </w:t>
      </w:r>
      <w:r w:rsidRPr="004727E9">
        <w:rPr>
          <w:rFonts w:ascii="Arial" w:hAnsi="Arial" w:cs="Arial"/>
          <w:sz w:val="22"/>
          <w:szCs w:val="22"/>
        </w:rPr>
        <w:t>Correlation between the volume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(b)</w:t>
      </w:r>
      <w:r w:rsidRPr="004727E9">
        <w:rPr>
          <w:rFonts w:ascii="Arial" w:hAnsi="Arial" w:cs="Arial"/>
          <w:sz w:val="22"/>
          <w:szCs w:val="22"/>
        </w:rPr>
        <w:t xml:space="preserve"> Correlation between the volume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(c)</w:t>
      </w:r>
      <w:r w:rsidRPr="004727E9">
        <w:rPr>
          <w:rFonts w:ascii="Arial" w:hAnsi="Arial" w:cs="Arial"/>
          <w:sz w:val="22"/>
          <w:szCs w:val="22"/>
        </w:rPr>
        <w:t xml:space="preserve"> Correlation between the volume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(d)</w:t>
      </w:r>
      <w:r w:rsidRPr="004727E9">
        <w:rPr>
          <w:rFonts w:ascii="Arial" w:hAnsi="Arial" w:cs="Arial"/>
          <w:sz w:val="22"/>
          <w:szCs w:val="22"/>
        </w:rPr>
        <w:t xml:space="preserve"> Correlation between the volume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(e)</w:t>
      </w:r>
      <w:r w:rsidRPr="004727E9">
        <w:rPr>
          <w:rFonts w:ascii="Arial" w:hAnsi="Arial" w:cs="Arial"/>
          <w:sz w:val="22"/>
          <w:szCs w:val="22"/>
        </w:rPr>
        <w:t xml:space="preserve"> Correlation between the volume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(f)</w:t>
      </w:r>
      <w:r w:rsidRPr="004727E9">
        <w:rPr>
          <w:rFonts w:ascii="Arial" w:hAnsi="Arial" w:cs="Arial"/>
          <w:sz w:val="22"/>
          <w:szCs w:val="22"/>
        </w:rPr>
        <w:t xml:space="preserve"> Correlation between the volume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(g)</w:t>
      </w:r>
      <w:r w:rsidRPr="004727E9">
        <w:rPr>
          <w:rFonts w:ascii="Arial" w:hAnsi="Arial" w:cs="Arial"/>
          <w:sz w:val="22"/>
          <w:szCs w:val="22"/>
        </w:rPr>
        <w:t xml:space="preserve"> Correlation between the volume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 xml:space="preserve">(h) </w:t>
      </w:r>
      <w:r w:rsidRPr="004727E9">
        <w:rPr>
          <w:rFonts w:ascii="Arial" w:hAnsi="Arial" w:cs="Arial"/>
          <w:sz w:val="22"/>
          <w:szCs w:val="22"/>
        </w:rPr>
        <w:t>Correlation between the volume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mRS score.</w:t>
      </w:r>
    </w:p>
    <w:p w14:paraId="751312F8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noProof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inline distT="0" distB="0" distL="0" distR="0" wp14:anchorId="2616FFF1" wp14:editId="5B65864F">
            <wp:extent cx="5648325" cy="8229600"/>
            <wp:effectExtent l="0" t="0" r="3175" b="0"/>
            <wp:docPr id="20207382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38278" name="图片 202073827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BA60E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D43B14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2</w:t>
      </w:r>
      <w:r w:rsidRPr="00D43B14">
        <w:rPr>
          <w:rFonts w:ascii="Arial" w:hAnsi="Arial" w:cs="Arial"/>
          <w:b/>
          <w:bCs/>
          <w:sz w:val="22"/>
          <w:szCs w:val="22"/>
        </w:rPr>
        <w:t xml:space="preserve">. </w:t>
      </w:r>
      <w:r w:rsidRPr="004727E9">
        <w:rPr>
          <w:rFonts w:ascii="Arial" w:hAnsi="Arial" w:cs="Arial"/>
          <w:sz w:val="22"/>
          <w:szCs w:val="22"/>
        </w:rPr>
        <w:t>The correlation between the hypometabolic percentage in different regions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with the clinical scores(NIHSS/mRS) (N=70). NIHSS, National Institutes of Health Stroke Scale; mRS, Modified Rankin Scale.</w:t>
      </w:r>
      <w:r w:rsidRPr="00C54F0D">
        <w:rPr>
          <w:rFonts w:ascii="Arial" w:hAnsi="Arial" w:cs="Arial"/>
          <w:sz w:val="22"/>
          <w:szCs w:val="22"/>
        </w:rPr>
        <w:t xml:space="preserve"> </w:t>
      </w:r>
      <w:r w:rsidRPr="00EF4B2C">
        <w:rPr>
          <w:rFonts w:ascii="Arial" w:hAnsi="Arial" w:cs="Arial"/>
          <w:sz w:val="22"/>
          <w:szCs w:val="22"/>
        </w:rPr>
        <w:t>FL, Frontal lobe; TL, Temporal lobe</w:t>
      </w:r>
      <w:r>
        <w:rPr>
          <w:rFonts w:ascii="Arial" w:hAnsi="Arial" w:cs="Arial" w:hint="eastAsia"/>
          <w:sz w:val="22"/>
          <w:szCs w:val="22"/>
        </w:rPr>
        <w:t>.</w:t>
      </w:r>
      <w:r w:rsidRPr="004727E9">
        <w:rPr>
          <w:rFonts w:ascii="Arial" w:hAnsi="Arial" w:cs="Arial"/>
          <w:sz w:val="22"/>
          <w:szCs w:val="22"/>
        </w:rPr>
        <w:t xml:space="preserve"> </w:t>
      </w:r>
      <w:r w:rsidRPr="004727E9">
        <w:rPr>
          <w:rFonts w:ascii="Arial" w:hAnsi="Arial" w:cs="Arial"/>
          <w:b/>
          <w:bCs/>
          <w:sz w:val="22"/>
          <w:szCs w:val="22"/>
        </w:rPr>
        <w:t>(a)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frontal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(b)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frontal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(c)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frontal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(d)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frontal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(e)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(f)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(g)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(h)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temporal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mRS score.</w:t>
      </w:r>
    </w:p>
    <w:p w14:paraId="5AAE71ED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</w:p>
    <w:p w14:paraId="71558143" w14:textId="77777777" w:rsid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  <w:noProof/>
          <w:sz w:val="22"/>
          <w:szCs w:val="22"/>
          <w14:textOutline w14:w="0" w14:cap="rnd" w14:cmpd="sng" w14:algn="ctr">
            <w14:noFill/>
            <w14:prstDash w14:val="solid"/>
            <w14:bevel/>
          </w14:textOutline>
        </w:rPr>
        <w:lastRenderedPageBreak/>
        <w:drawing>
          <wp:inline distT="0" distB="0" distL="0" distR="0" wp14:anchorId="60DE62A8" wp14:editId="4E7BBEB1">
            <wp:extent cx="5899785" cy="8229600"/>
            <wp:effectExtent l="0" t="0" r="5715" b="0"/>
            <wp:docPr id="18167637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763785" name="图片 181676378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7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62331" w14:textId="3592A262" w:rsidR="00876EFD" w:rsidRPr="00CB08F6" w:rsidRDefault="00CB08F6" w:rsidP="00CB08F6">
      <w:pPr>
        <w:pStyle w:val="Default"/>
        <w:spacing w:before="0" w:line="360" w:lineRule="auto"/>
        <w:jc w:val="both"/>
        <w:rPr>
          <w:rFonts w:ascii="Arial" w:hAnsi="Arial" w:cs="Arial"/>
          <w:sz w:val="22"/>
          <w:szCs w:val="22"/>
        </w:rPr>
      </w:pPr>
      <w:r w:rsidRPr="00D43B14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Figure </w:t>
      </w:r>
      <w:r>
        <w:rPr>
          <w:rFonts w:ascii="Arial" w:hAnsi="Arial" w:cs="Arial" w:hint="eastAsia"/>
          <w:b/>
          <w:bCs/>
          <w:sz w:val="22"/>
          <w:szCs w:val="22"/>
        </w:rPr>
        <w:t>3</w:t>
      </w:r>
      <w:r w:rsidRPr="00D43B14">
        <w:rPr>
          <w:rFonts w:ascii="Arial" w:hAnsi="Arial" w:cs="Arial"/>
          <w:b/>
          <w:bCs/>
          <w:sz w:val="22"/>
          <w:szCs w:val="22"/>
        </w:rPr>
        <w:t xml:space="preserve">. </w:t>
      </w:r>
      <w:r w:rsidRPr="004727E9">
        <w:rPr>
          <w:rFonts w:ascii="Arial" w:hAnsi="Arial" w:cs="Arial"/>
          <w:sz w:val="22"/>
          <w:szCs w:val="22"/>
        </w:rPr>
        <w:t>The correlation between the hypometabolic percentage in different regions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with the clinical scores(NIHSS/mRS) (N=70). NIHSS, National Institutes of Health Stroke Scale; mRS, Modified Rankin Scale.</w:t>
      </w:r>
      <w:r w:rsidRPr="00C54F0D">
        <w:rPr>
          <w:rFonts w:ascii="Arial" w:hAnsi="Arial" w:cs="Arial"/>
          <w:sz w:val="22"/>
          <w:szCs w:val="22"/>
        </w:rPr>
        <w:t xml:space="preserve"> </w:t>
      </w:r>
      <w:r w:rsidRPr="00EF33DA">
        <w:rPr>
          <w:rFonts w:ascii="Arial" w:hAnsi="Arial" w:cs="Arial"/>
          <w:sz w:val="22"/>
          <w:szCs w:val="22"/>
        </w:rPr>
        <w:t>PL, Parietal lobe; OL, Occipital lobe.</w:t>
      </w:r>
      <w:r w:rsidRPr="004727E9">
        <w:rPr>
          <w:rFonts w:ascii="Arial" w:hAnsi="Arial" w:cs="Arial"/>
          <w:sz w:val="22"/>
          <w:szCs w:val="22"/>
        </w:rPr>
        <w:t xml:space="preserve"> </w:t>
      </w:r>
      <w:r w:rsidRPr="004727E9">
        <w:rPr>
          <w:rFonts w:ascii="Arial" w:hAnsi="Arial" w:cs="Arial"/>
          <w:b/>
          <w:bCs/>
          <w:sz w:val="22"/>
          <w:szCs w:val="22"/>
        </w:rPr>
        <w:t>(a)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(b)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(c)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(d)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parietal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(e)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occipital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(f)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occipital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NIHSS score. </w:t>
      </w:r>
      <w:r w:rsidRPr="004727E9">
        <w:rPr>
          <w:rFonts w:ascii="Arial" w:hAnsi="Arial" w:cs="Arial"/>
          <w:b/>
          <w:bCs/>
          <w:sz w:val="22"/>
          <w:szCs w:val="22"/>
        </w:rPr>
        <w:t>(g)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occipital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1</w:t>
      </w:r>
      <w:r w:rsidRPr="004727E9">
        <w:rPr>
          <w:rFonts w:ascii="Arial" w:hAnsi="Arial" w:cs="Arial"/>
          <w:sz w:val="22"/>
          <w:szCs w:val="22"/>
        </w:rPr>
        <w:t xml:space="preserve"> and mRS score. </w:t>
      </w:r>
      <w:r w:rsidRPr="004727E9">
        <w:rPr>
          <w:rFonts w:ascii="Arial" w:hAnsi="Arial" w:cs="Arial"/>
          <w:b/>
          <w:bCs/>
          <w:sz w:val="22"/>
          <w:szCs w:val="22"/>
        </w:rPr>
        <w:t>(h)</w:t>
      </w:r>
      <w:r w:rsidRPr="004727E9">
        <w:rPr>
          <w:rFonts w:ascii="Arial" w:hAnsi="Arial" w:cs="Arial"/>
          <w:sz w:val="22"/>
          <w:szCs w:val="22"/>
        </w:rPr>
        <w:t xml:space="preserve"> Correlation between the percentage in occipital lobe in AI</w:t>
      </w:r>
      <w:r w:rsidRPr="00F21A01">
        <w:rPr>
          <w:rFonts w:ascii="Arial" w:hAnsi="Arial" w:cs="Arial"/>
          <w:sz w:val="22"/>
          <w:szCs w:val="22"/>
          <w:vertAlign w:val="subscript"/>
        </w:rPr>
        <w:t>2</w:t>
      </w:r>
      <w:r w:rsidRPr="004727E9">
        <w:rPr>
          <w:rFonts w:ascii="Arial" w:hAnsi="Arial" w:cs="Arial"/>
          <w:sz w:val="22"/>
          <w:szCs w:val="22"/>
        </w:rPr>
        <w:t xml:space="preserve"> and mRS score.</w:t>
      </w:r>
    </w:p>
    <w:sectPr w:rsidR="00876EFD" w:rsidRPr="00CB08F6" w:rsidSect="00CB08F6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Roman">
    <w:altName w:val="Times New Roman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757DA4"/>
    <w:multiLevelType w:val="hybridMultilevel"/>
    <w:tmpl w:val="1390C692"/>
    <w:lvl w:ilvl="0" w:tplc="47120C8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4031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8F6"/>
    <w:rsid w:val="000057B3"/>
    <w:rsid w:val="00007050"/>
    <w:rsid w:val="000A621D"/>
    <w:rsid w:val="000C334E"/>
    <w:rsid w:val="000D5E69"/>
    <w:rsid w:val="000E52AF"/>
    <w:rsid w:val="0010223C"/>
    <w:rsid w:val="0012388D"/>
    <w:rsid w:val="0013030C"/>
    <w:rsid w:val="0016334D"/>
    <w:rsid w:val="00175EF1"/>
    <w:rsid w:val="00183618"/>
    <w:rsid w:val="001A7FE1"/>
    <w:rsid w:val="001B2349"/>
    <w:rsid w:val="001E4739"/>
    <w:rsid w:val="00262220"/>
    <w:rsid w:val="002A23F2"/>
    <w:rsid w:val="002A4EEC"/>
    <w:rsid w:val="003029BB"/>
    <w:rsid w:val="00306EB1"/>
    <w:rsid w:val="003267EB"/>
    <w:rsid w:val="00390E11"/>
    <w:rsid w:val="003D7A55"/>
    <w:rsid w:val="0042036E"/>
    <w:rsid w:val="004878A7"/>
    <w:rsid w:val="004936ED"/>
    <w:rsid w:val="004A7F29"/>
    <w:rsid w:val="004D6BD1"/>
    <w:rsid w:val="00523B8B"/>
    <w:rsid w:val="0054614F"/>
    <w:rsid w:val="005649B9"/>
    <w:rsid w:val="0057281F"/>
    <w:rsid w:val="005E2517"/>
    <w:rsid w:val="00634130"/>
    <w:rsid w:val="0068493C"/>
    <w:rsid w:val="007E0C94"/>
    <w:rsid w:val="00834AC2"/>
    <w:rsid w:val="00847DDA"/>
    <w:rsid w:val="00853FFB"/>
    <w:rsid w:val="00876EFD"/>
    <w:rsid w:val="008D7EDD"/>
    <w:rsid w:val="0090200C"/>
    <w:rsid w:val="00912C18"/>
    <w:rsid w:val="009333E1"/>
    <w:rsid w:val="009646F8"/>
    <w:rsid w:val="009662AE"/>
    <w:rsid w:val="00997AED"/>
    <w:rsid w:val="009A6D5F"/>
    <w:rsid w:val="009B4275"/>
    <w:rsid w:val="009C1206"/>
    <w:rsid w:val="009D42B9"/>
    <w:rsid w:val="009D788F"/>
    <w:rsid w:val="009E1D33"/>
    <w:rsid w:val="00A66B2B"/>
    <w:rsid w:val="00AA1C8A"/>
    <w:rsid w:val="00AD3F7B"/>
    <w:rsid w:val="00AD40FA"/>
    <w:rsid w:val="00B15DA9"/>
    <w:rsid w:val="00B24123"/>
    <w:rsid w:val="00B32A6C"/>
    <w:rsid w:val="00B4661E"/>
    <w:rsid w:val="00B513ED"/>
    <w:rsid w:val="00B92A7E"/>
    <w:rsid w:val="00BC2E60"/>
    <w:rsid w:val="00BF211D"/>
    <w:rsid w:val="00C645E2"/>
    <w:rsid w:val="00CB08F6"/>
    <w:rsid w:val="00CB1720"/>
    <w:rsid w:val="00CD37A4"/>
    <w:rsid w:val="00CD684E"/>
    <w:rsid w:val="00CE6F39"/>
    <w:rsid w:val="00D177A6"/>
    <w:rsid w:val="00D34987"/>
    <w:rsid w:val="00D456D9"/>
    <w:rsid w:val="00DA757E"/>
    <w:rsid w:val="00EC0796"/>
    <w:rsid w:val="00EF79F0"/>
    <w:rsid w:val="00F14B77"/>
    <w:rsid w:val="00F270A1"/>
    <w:rsid w:val="00F37F4A"/>
    <w:rsid w:val="00FC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9C581"/>
  <w15:chartTrackingRefBased/>
  <w15:docId w15:val="{A9E93D50-5756-4148-9ACE-E4B4D6966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B08F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0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08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08F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08F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08F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08F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08F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08F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08F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B08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B08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B08F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B08F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B08F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B08F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B08F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B08F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B08F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B0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08F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B08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B08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B08F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B08F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B08F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08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B08F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B08F6"/>
    <w:rPr>
      <w:b/>
      <w:bCs/>
      <w:smallCaps/>
      <w:color w:val="0F4761" w:themeColor="accent1" w:themeShade="BF"/>
      <w:spacing w:val="5"/>
    </w:rPr>
  </w:style>
  <w:style w:type="character" w:styleId="ae">
    <w:name w:val="Hyperlink"/>
    <w:rsid w:val="00CB08F6"/>
    <w:rPr>
      <w:u w:val="single"/>
    </w:rPr>
  </w:style>
  <w:style w:type="paragraph" w:customStyle="1" w:styleId="Default">
    <w:name w:val="Default"/>
    <w:qFormat/>
    <w:rsid w:val="00CB08F6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:sz w:val="24"/>
      <w:bdr w:val="ni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MTDisplayEquation">
    <w:name w:val="MTDisplayEquation"/>
    <w:basedOn w:val="a"/>
    <w:next w:val="a"/>
    <w:link w:val="MTDisplayEquation0"/>
    <w:qFormat/>
    <w:rsid w:val="00CB08F6"/>
    <w:pPr>
      <w:tabs>
        <w:tab w:val="center" w:pos="4160"/>
        <w:tab w:val="right" w:pos="8300"/>
      </w:tabs>
    </w:pPr>
    <w:rPr>
      <w:rFonts w:ascii="Times New Roman" w:hAnsi="Times New Roman" w:cs="Times New Roman"/>
      <w:color w:val="212121"/>
      <w:shd w:val="clear" w:color="auto" w:fill="FFFFFF"/>
    </w:rPr>
  </w:style>
  <w:style w:type="character" w:customStyle="1" w:styleId="MTDisplayEquation0">
    <w:name w:val="MTDisplayEquation 字符"/>
    <w:basedOn w:val="a0"/>
    <w:link w:val="MTDisplayEquation"/>
    <w:qFormat/>
    <w:rsid w:val="00CB08F6"/>
    <w:rPr>
      <w:rFonts w:ascii="Times New Roman" w:hAnsi="Times New Roman" w:cs="Times New Roman"/>
      <w:color w:val="2121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tif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licer.org" TargetMode="External"/><Relationship Id="rId11" Type="http://schemas.openxmlformats.org/officeDocument/2006/relationships/image" Target="media/image3.tiff"/><Relationship Id="rId5" Type="http://schemas.openxmlformats.org/officeDocument/2006/relationships/hyperlink" Target="mailto:zhangmiao_smile@163.com" TargetMode="Externa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2401</Words>
  <Characters>13691</Characters>
  <Application>Microsoft Office Word</Application>
  <DocSecurity>0</DocSecurity>
  <Lines>114</Lines>
  <Paragraphs>32</Paragraphs>
  <ScaleCrop>false</ScaleCrop>
  <Company/>
  <LinksUpToDate>false</LinksUpToDate>
  <CharactersWithSpaces>16060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雨昕 梁</dc:creator>
  <cp:keywords/>
  <dc:description/>
  <cp:lastModifiedBy>雨昕 梁</cp:lastModifiedBy>
  <cp:revision>4</cp:revision>
  <dcterms:created xsi:type="dcterms:W3CDTF">2024-10-23T11:39:00Z</dcterms:created>
  <dcterms:modified xsi:type="dcterms:W3CDTF">2024-10-23T14:15:00Z</dcterms:modified>
</cp:coreProperties>
</file>