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1E25CF" w14:textId="77777777" w:rsidR="003E676F" w:rsidRPr="00DF4225" w:rsidRDefault="003E676F" w:rsidP="003E676F">
      <w:pPr>
        <w:pStyle w:val="Heading1"/>
      </w:pPr>
      <w:r w:rsidRPr="00DF4225">
        <w:t xml:space="preserve">Model  </w:t>
      </w:r>
    </w:p>
    <w:p w14:paraId="4F9D5F53" w14:textId="77777777" w:rsidR="003E676F" w:rsidRPr="00DF4225" w:rsidRDefault="003E676F" w:rsidP="003E676F">
      <w:r w:rsidRPr="00DF4225">
        <w:t>We test the association between urban green space and BMI using regression techniques, specifically, using a generalised linear model (GLM). The GLM framework offers additional model flexibility compared to traditional Ordinary Least Squares (OLS) and is employed when the distribution of the outcome variable may not be normal. In particular, the researcher may specify a functional form that links the outcome variable to a linear index of explanatory variables and make a distributional assumption about the variance of the estimator. The model, as it applies to the current context, is as follows:</w:t>
      </w:r>
    </w:p>
    <w:p w14:paraId="635EC6FF" w14:textId="77777777" w:rsidR="003E676F" w:rsidRPr="00DF4225" w:rsidRDefault="003E676F" w:rsidP="003E676F">
      <w:pPr>
        <w:spacing w:line="240" w:lineRule="auto"/>
      </w:pPr>
      <w:r w:rsidRPr="00DF4225">
        <w:rPr>
          <w:noProof/>
          <w:lang w:eastAsia="en-IE"/>
        </w:rPr>
        <w:drawing>
          <wp:inline distT="0" distB="0" distL="0" distR="0" wp14:anchorId="4A1BEF0D" wp14:editId="2CAE9C57">
            <wp:extent cx="5551170" cy="848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51170" cy="848916"/>
                    </a:xfrm>
                    <a:prstGeom prst="rect">
                      <a:avLst/>
                    </a:prstGeom>
                    <a:noFill/>
                    <a:ln>
                      <a:noFill/>
                    </a:ln>
                  </pic:spPr>
                </pic:pic>
              </a:graphicData>
            </a:graphic>
          </wp:inline>
        </w:drawing>
      </w:r>
    </w:p>
    <w:p w14:paraId="4605084B" w14:textId="77777777" w:rsidR="003E676F" w:rsidRPr="00DF4225" w:rsidRDefault="003E676F" w:rsidP="003E676F">
      <w:r w:rsidRPr="00DF4225">
        <w:t xml:space="preserve">where </w:t>
      </w:r>
      <m:oMath>
        <m:r>
          <w:rPr>
            <w:rFonts w:ascii="Cambria Math" w:hAnsi="Cambria Math"/>
          </w:rPr>
          <m:t xml:space="preserve">g(.) </m:t>
        </m:r>
      </m:oMath>
      <w:r w:rsidRPr="00DF4225">
        <w:t xml:space="preserve">is a function that links BMI to our independent variables of interest, </w:t>
      </w:r>
      <w:proofErr w:type="spellStart"/>
      <w:r w:rsidRPr="00DF4225">
        <w:rPr>
          <w:i/>
        </w:rPr>
        <w:t>green</w:t>
      </w:r>
      <w:r w:rsidRPr="00DF4225">
        <w:rPr>
          <w:i/>
          <w:vertAlign w:val="subscript"/>
        </w:rPr>
        <w:t>i</w:t>
      </w:r>
      <w:proofErr w:type="spellEnd"/>
      <w:r w:rsidRPr="00DF4225">
        <w:t xml:space="preserve"> is a categorical representation of local green space for individual </w:t>
      </w:r>
      <w:proofErr w:type="spellStart"/>
      <w:r w:rsidRPr="00DF4225">
        <w:rPr>
          <w:i/>
        </w:rPr>
        <w:t>i</w:t>
      </w:r>
      <w:proofErr w:type="spellEnd"/>
      <w:r w:rsidRPr="00DF4225">
        <w:t xml:space="preserve">, and the </w:t>
      </w:r>
      <m:oMath>
        <m:r>
          <m:rPr>
            <m:sty m:val="bi"/>
          </m:rPr>
          <w:rPr>
            <w:rFonts w:ascii="Cambria Math" w:hAnsi="Cambria Math"/>
          </w:rPr>
          <m:t>X</m:t>
        </m:r>
      </m:oMath>
      <w:r w:rsidRPr="00DF4225">
        <w:rPr>
          <w:b/>
        </w:rPr>
        <w:t xml:space="preserve"> </w:t>
      </w:r>
      <w:r w:rsidRPr="00DF4225">
        <w:t xml:space="preserve">represents the vector of </w:t>
      </w:r>
      <w:r w:rsidRPr="00DF4225">
        <w:rPr>
          <w:i/>
        </w:rPr>
        <w:t>k</w:t>
      </w:r>
      <w:r w:rsidRPr="00DF4225">
        <w:t xml:space="preserve"> socioeconomic and health-related control variables discussed above. We perform a specification search to identify the most appropriate functional form for </w:t>
      </w:r>
      <m:oMath>
        <m:r>
          <w:rPr>
            <w:rFonts w:ascii="Cambria Math" w:hAnsi="Cambria Math"/>
          </w:rPr>
          <m:t>g(.)</m:t>
        </m:r>
      </m:oMath>
      <w:r w:rsidRPr="00DF4225">
        <w:t xml:space="preserve"> (link function) and value for </w:t>
      </w:r>
      <m:oMath>
        <m:r>
          <w:rPr>
            <w:rFonts w:ascii="Cambria Math" w:hAnsi="Cambria Math"/>
          </w:rPr>
          <m:t>v</m:t>
        </m:r>
      </m:oMath>
      <w:r w:rsidRPr="00DF4225">
        <w:t xml:space="preserve"> (estimator family). In the search process, we allow the link to be the identity (linear), natural log, and square root functions, and </w:t>
      </w:r>
      <m:oMath>
        <m:r>
          <w:rPr>
            <w:rFonts w:ascii="Cambria Math" w:hAnsi="Cambria Math"/>
          </w:rPr>
          <m:t>v = 0,1,2</m:t>
        </m:r>
      </m:oMath>
      <w:r w:rsidRPr="00DF4225">
        <w:t xml:space="preserve"> (equivalent to Gaussian, Poisson, and Gamma families respectively). The variance of the dependent variable (</w:t>
      </w:r>
      <w:r w:rsidRPr="00DF4225">
        <w:rPr>
          <w:i/>
        </w:rPr>
        <w:t>Var</w:t>
      </w:r>
      <w:r w:rsidRPr="00DF4225">
        <w:t>) is assumed to vary (</w:t>
      </w:r>
      <w:r w:rsidRPr="00DF4225">
        <w:rPr>
          <w:rFonts w:ascii="Cambria Math" w:hAnsi="Cambria Math" w:cs="Cambria Math"/>
        </w:rPr>
        <w:t>∝</w:t>
      </w:r>
      <w:r w:rsidRPr="00DF4225">
        <w:t xml:space="preserve">) according to some function of the mean of the variable. The models chosen are those with the lowest Akaike’s Information Criterion (AIC) </w:t>
      </w:r>
      <w:r w:rsidRPr="00DF4225">
        <w:fldChar w:fldCharType="begin"/>
      </w:r>
      <w:r w:rsidRPr="00DF4225">
        <w:instrText xml:space="preserve"> ADDIN ZOTERO_ITEM CSL_CITATION {"citationID":"X4jUbLFC","properties":{"formattedCitation":"(30)","plainCitation":"(30)","noteIndex":0},"citationItems":[{"id":455,"uris":["http://zotero.org/users/local/Db0NCFfG/items/8ZLA2Q3N"],"uri":["http://zotero.org/users/local/Db0NCFfG/items/8ZLA2Q3N"],"itemData":{"id":455,"type":"chapter","title":"Information Theory and an Extension of the Maximum Likelihood Principle","container-title":"Second International Symposium on Information Theory,","publisher":"Akademiai Kiado","publisher-place":"Budapest","page":"267–281","event-place":"Budapest","author":[{"family":"Akaike","given":"Hirotugu"}],"editor":[{"family":"Csáki","given":"Frigyes"},{"family":"Petrov","given":"Boris Nikolaevich"}]}}],"schema":"https://github.com/citation-style-language/schema/raw/master/csl-citation.json"} </w:instrText>
      </w:r>
      <w:r w:rsidRPr="00DF4225">
        <w:fldChar w:fldCharType="separate"/>
      </w:r>
      <w:r w:rsidRPr="00DF4225">
        <w:t>(32)</w:t>
      </w:r>
      <w:r w:rsidRPr="00DF4225">
        <w:fldChar w:fldCharType="end"/>
      </w:r>
      <w:r w:rsidRPr="00DF4225">
        <w:t xml:space="preserve"> and Schwarz Bayesian Criterion (BIC) </w:t>
      </w:r>
      <w:r w:rsidRPr="00DF4225">
        <w:fldChar w:fldCharType="begin"/>
      </w:r>
      <w:r w:rsidRPr="00DF4225">
        <w:instrText xml:space="preserve"> ADDIN ZOTERO_ITEM CSL_CITATION {"citationID":"vt7L1HOD","properties":{"formattedCitation":"(31)","plainCitation":"(31)","noteIndex":0},"citationItems":[{"id":456,"uris":["http://zotero.org/users/local/Db0NCFfG/items/TWIIJ2LV"],"uri":["http://zotero.org/users/local/Db0NCFfG/items/TWIIJ2LV"],"itemData":{"id":456,"type":"article-journal","title":"Estimating the Dimension of a Model","container-title":"The Annals of Statistics","page":"461-464","volume":"6","issue":"2","archive":"JSTOR","abstract":"[The problem of selecting one of a number of models of different dimensions is treated by finding its Bayes solution, and evaluating the leading terms of its asymptotic expansion. These terms are a valid large-sample criterion beyond the Bayesian context, since they do not depend on the a priori distribution.]","ISSN":"00905364","author":[{"family":"Schwarz","given":"Gideon"}],"issued":{"date-parts":[["1978"]]}}}],"schema":"https://github.com/citation-style-language/schema/raw/master/csl-citation.json"} </w:instrText>
      </w:r>
      <w:r w:rsidRPr="00DF4225">
        <w:fldChar w:fldCharType="separate"/>
      </w:r>
      <w:r w:rsidRPr="00DF4225">
        <w:t>(33)</w:t>
      </w:r>
      <w:r w:rsidRPr="00DF4225">
        <w:fldChar w:fldCharType="end"/>
      </w:r>
      <w:r w:rsidRPr="00DF4225">
        <w:t xml:space="preserve">. The Gaussian family model with identity link function emerges as the most efficient. As such, the results reported are equivalent to those produced by a linear OLS model. Robust standard errors, clustered at the household level, are computed to allow for a general form of heteroscedasticity. We run two </w:t>
      </w:r>
      <w:r w:rsidRPr="00DF4225">
        <w:lastRenderedPageBreak/>
        <w:t>specifications of each model; one with the full set of covariates as set out above, and a second “parsimonious” model with groups of covariates that are collectively insignificant at the 5 per cent level excluded. This allows us to check the sensitivity of the urban green space coefficients to the set of covariates chosen for inclusion.</w:t>
      </w:r>
    </w:p>
    <w:p w14:paraId="7C4FFA87"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76F"/>
    <w:rsid w:val="003E676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37B1F"/>
  <w15:chartTrackingRefBased/>
  <w15:docId w15:val="{3D5825F1-E66E-465F-9BE0-7394CFA7E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76F"/>
    <w:pPr>
      <w:spacing w:after="120" w:line="480" w:lineRule="auto"/>
      <w:jc w:val="both"/>
    </w:pPr>
    <w:rPr>
      <w:rFonts w:ascii="Times New Roman" w:eastAsia="Times New Roman" w:hAnsi="Times New Roman" w:cs="Times New Roman"/>
      <w:sz w:val="24"/>
      <w:szCs w:val="20"/>
      <w:lang w:val="en-IE"/>
    </w:rPr>
  </w:style>
  <w:style w:type="paragraph" w:styleId="Heading1">
    <w:name w:val="heading 1"/>
    <w:basedOn w:val="Normal"/>
    <w:next w:val="Normal"/>
    <w:link w:val="Heading1Char"/>
    <w:qFormat/>
    <w:rsid w:val="003E676F"/>
    <w:pPr>
      <w:spacing w:before="240" w:line="240" w:lineRule="auto"/>
      <w:ind w:left="357" w:hanging="357"/>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E676F"/>
    <w:rPr>
      <w:rFonts w:ascii="Times New Roman" w:eastAsia="Times New Roman" w:hAnsi="Times New Roman" w:cs="Times New Roman"/>
      <w:b/>
      <w:bCs/>
      <w:sz w:val="28"/>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3368</Characters>
  <Application>Microsoft Office Word</Application>
  <DocSecurity>0</DocSecurity>
  <Lines>28</Lines>
  <Paragraphs>7</Paragraphs>
  <ScaleCrop>false</ScaleCrop>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2020-05-18T02:07:00Z</dcterms:created>
  <dcterms:modified xsi:type="dcterms:W3CDTF">2020-05-18T02:07:00Z</dcterms:modified>
</cp:coreProperties>
</file>