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center"/>
        <w:rPr>
          <w:rFonts w:ascii="Times New Roman" w:hAnsi="Times New Roman" w:cs="Times New Roman"/>
          <w:b/>
          <w:vertAlign w:val="baseline"/>
        </w:rPr>
      </w:pPr>
      <w:r>
        <w:rPr>
          <w:rFonts w:ascii="Times New Roman" w:hAnsi="Times New Roman" w:cs="Times New Roman"/>
          <w:b/>
        </w:rPr>
        <w:t xml:space="preserve">Table </w:t>
      </w:r>
      <w:r>
        <w:rPr>
          <w:rFonts w:hint="eastAsia" w:ascii="Times New Roman" w:hAnsi="Times New Roman" w:cs="Times New Roman"/>
          <w:b/>
          <w:lang w:val="en-US" w:eastAsia="zh-CN"/>
        </w:rPr>
        <w:t>1</w:t>
      </w:r>
      <w:r>
        <w:rPr>
          <w:rFonts w:ascii="Times New Roman" w:hAnsi="Times New Roman" w:cs="Times New Roman"/>
          <w:b/>
        </w:rPr>
        <w:t>.</w:t>
      </w:r>
      <w:r>
        <w:rPr>
          <w:rFonts w:hint="eastAsia" w:ascii="Times New Roman" w:hAnsi="Times New Roman" w:cs="Times New Roman"/>
          <w:b/>
        </w:rPr>
        <w:t>Primers sequence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3"/>
        <w:tblpPr w:leftFromText="180" w:rightFromText="180" w:vertAnchor="text" w:horzAnchor="page" w:tblpX="1770" w:tblpY="5601"/>
        <w:tblOverlap w:val="never"/>
        <w:tblW w:w="0" w:type="auto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2"/>
        <w:gridCol w:w="5865"/>
        <w:gridCol w:w="1072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2" w:type="dxa"/>
            <w:tcBorders>
              <w:bottom w:val="single" w:color="000000" w:sz="6" w:space="0"/>
              <w:right w:val="nil"/>
            </w:tcBorders>
            <w:noWrap/>
            <w:vAlign w:val="top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appellation</w:t>
            </w:r>
          </w:p>
        </w:tc>
        <w:tc>
          <w:tcPr>
            <w:tcW w:w="5865" w:type="dxa"/>
            <w:tcBorders>
              <w:top w:val="single" w:color="000000" w:sz="12" w:space="0"/>
              <w:left w:val="nil"/>
              <w:bottom w:val="single" w:color="000000" w:sz="6" w:space="0"/>
            </w:tcBorders>
            <w:noWrap/>
            <w:vAlign w:val="top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sequence</w:t>
            </w:r>
          </w:p>
        </w:tc>
        <w:tc>
          <w:tcPr>
            <w:tcW w:w="1072" w:type="dxa"/>
            <w:tcBorders>
              <w:bottom w:val="single" w:color="000000" w:sz="6" w:space="0"/>
            </w:tcBorders>
            <w:noWrap/>
            <w:vAlign w:val="top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size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012" w:type="dxa"/>
            <w:vMerge w:val="restart"/>
            <w:tcBorders>
              <w:right w:val="nil"/>
            </w:tcBorders>
            <w:noWrap/>
            <w:vAlign w:val="center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GAPDH</w:t>
            </w:r>
          </w:p>
        </w:tc>
        <w:tc>
          <w:tcPr>
            <w:tcW w:w="5865" w:type="dxa"/>
            <w:tcBorders>
              <w:left w:val="nil"/>
            </w:tcBorders>
            <w:noWrap/>
            <w:vAlign w:val="top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5‘- GGATTTGGTCGTATTGGGCG -3’    </w:t>
            </w:r>
          </w:p>
        </w:tc>
        <w:tc>
          <w:tcPr>
            <w:tcW w:w="1072" w:type="dxa"/>
            <w:vMerge w:val="restart"/>
            <w:noWrap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240bp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2" w:type="dxa"/>
            <w:vMerge w:val="continue"/>
            <w:tcBorders>
              <w:right w:val="nil"/>
            </w:tcBorders>
            <w:noWrap/>
            <w:vAlign w:val="top"/>
          </w:tcPr>
          <w:p>
            <w:pPr>
              <w:spacing w:line="276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65" w:type="dxa"/>
            <w:tcBorders>
              <w:left w:val="nil"/>
            </w:tcBorders>
            <w:noWrap/>
            <w:vAlign w:val="top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5‘- ATCGCCCCACTTGATTTTGG -3’</w:t>
            </w:r>
          </w:p>
        </w:tc>
        <w:tc>
          <w:tcPr>
            <w:tcW w:w="1072" w:type="dxa"/>
            <w:vMerge w:val="continue"/>
            <w:noWrap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012" w:type="dxa"/>
            <w:vMerge w:val="restart"/>
            <w:tcBorders>
              <w:right w:val="nil"/>
            </w:tcBorders>
            <w:noWrap/>
            <w:vAlign w:val="center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MCT1</w:t>
            </w:r>
          </w:p>
        </w:tc>
        <w:tc>
          <w:tcPr>
            <w:tcW w:w="5865" w:type="dxa"/>
            <w:tcBorders>
              <w:left w:val="nil"/>
            </w:tcBorders>
            <w:noWrap/>
            <w:vAlign w:val="top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5‘-ATGATTGTTGGTGGCTGCTTGT -3’    </w:t>
            </w:r>
          </w:p>
        </w:tc>
        <w:tc>
          <w:tcPr>
            <w:tcW w:w="1072" w:type="dxa"/>
            <w:vMerge w:val="restart"/>
            <w:noWrap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165bp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2" w:type="dxa"/>
            <w:vMerge w:val="continue"/>
            <w:tcBorders>
              <w:right w:val="nil"/>
            </w:tcBorders>
            <w:noWrap/>
            <w:vAlign w:val="top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65" w:type="dxa"/>
            <w:tcBorders>
              <w:left w:val="nil"/>
            </w:tcBorders>
            <w:noWrap/>
            <w:vAlign w:val="top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5‘-TCGCCTCTTGTAGAAATACTTGC -3’</w:t>
            </w:r>
          </w:p>
        </w:tc>
        <w:tc>
          <w:tcPr>
            <w:tcW w:w="1072" w:type="dxa"/>
            <w:vMerge w:val="continue"/>
            <w:noWrap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012" w:type="dxa"/>
            <w:vMerge w:val="restart"/>
            <w:tcBorders>
              <w:right w:val="nil"/>
            </w:tcBorders>
            <w:noWrap/>
            <w:vAlign w:val="center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MCT4</w:t>
            </w:r>
          </w:p>
        </w:tc>
        <w:tc>
          <w:tcPr>
            <w:tcW w:w="5865" w:type="dxa"/>
            <w:tcBorders>
              <w:left w:val="nil"/>
            </w:tcBorders>
            <w:noWrap/>
            <w:vAlign w:val="top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5‘-GTAGCAGGTATCCTTGAGACGG-3’    </w:t>
            </w:r>
          </w:p>
        </w:tc>
        <w:tc>
          <w:tcPr>
            <w:tcW w:w="1072" w:type="dxa"/>
            <w:vMerge w:val="restart"/>
            <w:noWrap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154bp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2" w:type="dxa"/>
            <w:vMerge w:val="continue"/>
            <w:tcBorders>
              <w:right w:val="nil"/>
            </w:tcBorders>
            <w:noWrap/>
            <w:vAlign w:val="top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65" w:type="dxa"/>
            <w:tcBorders>
              <w:left w:val="nil"/>
              <w:bottom w:val="single" w:color="000000" w:sz="12" w:space="0"/>
            </w:tcBorders>
            <w:noWrap/>
            <w:vAlign w:val="top"/>
          </w:tcPr>
          <w:p>
            <w:pPr>
              <w:pStyle w:val="7"/>
              <w:spacing w:line="360" w:lineRule="auto"/>
              <w:ind w:firstLine="0" w:firstLineChars="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5‘- TAAGTAGTGGAAATGTGGTGGC-3’</w:t>
            </w:r>
          </w:p>
        </w:tc>
        <w:tc>
          <w:tcPr>
            <w:tcW w:w="1072" w:type="dxa"/>
            <w:vMerge w:val="continue"/>
            <w:noWrap/>
            <w:vAlign w:val="top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</w:tbl>
    <w:p>
      <w:pPr>
        <w:pStyle w:val="6"/>
        <w:jc w:val="center"/>
        <w:rPr>
          <w:rFonts w:ascii="Times New Roman" w:hAnsi="Times New Roman" w:cs="Times New Roman"/>
          <w:b/>
        </w:rPr>
      </w:pPr>
      <w:bookmarkStart w:id="0" w:name="_GoBack"/>
    </w:p>
    <w:bookmarkEnd w:id="0"/>
    <w:tbl>
      <w:tblPr>
        <w:tblStyle w:val="4"/>
        <w:tblpPr w:leftFromText="180" w:rightFromText="180" w:vertAnchor="page" w:horzAnchor="page" w:tblpX="1666" w:tblpY="1818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000000" w:sz="8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1323"/>
        <w:gridCol w:w="1270"/>
        <w:gridCol w:w="1120"/>
        <w:gridCol w:w="936"/>
        <w:gridCol w:w="1667"/>
      </w:tblGrid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lang w:bidi="ar"/>
              </w:rPr>
              <w:t>variable</w:t>
            </w:r>
          </w:p>
        </w:tc>
        <w:tc>
          <w:tcPr>
            <w:tcW w:w="776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lang w:bidi="ar"/>
              </w:rPr>
              <w:t>egression coefficients</w:t>
            </w:r>
          </w:p>
        </w:tc>
        <w:tc>
          <w:tcPr>
            <w:tcW w:w="745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lang w:bidi="ar"/>
              </w:rPr>
              <w:t>est statistics</w:t>
            </w:r>
          </w:p>
        </w:tc>
        <w:tc>
          <w:tcPr>
            <w:tcW w:w="65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/>
                <w:sz w:val="21"/>
                <w:szCs w:val="21"/>
                <w:lang w:bidi="ar"/>
              </w:rPr>
              <w:t>P</w:t>
            </w:r>
          </w:p>
        </w:tc>
        <w:tc>
          <w:tcPr>
            <w:tcW w:w="549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/>
                <w:sz w:val="21"/>
                <w:szCs w:val="21"/>
                <w:lang w:bidi="ar"/>
              </w:rPr>
              <w:t>HR</w:t>
            </w:r>
          </w:p>
        </w:tc>
        <w:tc>
          <w:tcPr>
            <w:tcW w:w="978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1"/>
                <w:szCs w:val="21"/>
                <w:lang w:bidi="ar"/>
              </w:rPr>
              <w:t>95%</w:t>
            </w:r>
            <w:r>
              <w:rPr>
                <w:rFonts w:hint="default" w:ascii="Times New Roman" w:hAnsi="Times New Roman" w:cs="Times New Roman"/>
                <w:b/>
                <w:i/>
                <w:color w:val="000000"/>
                <w:sz w:val="21"/>
                <w:szCs w:val="21"/>
                <w:lang w:bidi="ar"/>
              </w:rPr>
              <w:t>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294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gender</w:t>
            </w:r>
          </w:p>
        </w:tc>
        <w:tc>
          <w:tcPr>
            <w:tcW w:w="776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1.368</w:t>
            </w:r>
          </w:p>
        </w:tc>
        <w:tc>
          <w:tcPr>
            <w:tcW w:w="745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4.981</w:t>
            </w:r>
          </w:p>
        </w:tc>
        <w:tc>
          <w:tcPr>
            <w:tcW w:w="657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0.026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3.927</w:t>
            </w:r>
          </w:p>
        </w:tc>
        <w:tc>
          <w:tcPr>
            <w:tcW w:w="978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（1.181，13.054）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bidi="ar"/>
              </w:rPr>
              <w:t>（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bidi="ar"/>
              </w:rPr>
              <w:t>emale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bidi="ar"/>
              </w:rPr>
              <w:t xml:space="preserve">vs.male） 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IPI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score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-0.03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0.002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0.967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0.971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（＞0 vs.≤0）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PS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score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-13.392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0.944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（＞2 vs.≤2）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B symptoms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0.086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0.013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0.909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1.09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（No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vs.Yes）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Extra nodal sites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10.031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0.003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0.958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-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（＞2 vs.≤2）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Therapeutic effect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-1.742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5.28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0.022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0.175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bidi="ar"/>
              </w:rPr>
              <w:t>（0.04，0.774）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4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（PR+CR vs.PD+SD）</w:t>
            </w:r>
          </w:p>
        </w:tc>
        <w:tc>
          <w:tcPr>
            <w:tcW w:w="776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78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>
      <w:pPr>
        <w:pStyle w:val="6"/>
        <w:jc w:val="center"/>
        <w:rPr>
          <w:rFonts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 xml:space="preserve">Table </w:t>
      </w:r>
      <w:r>
        <w:rPr>
          <w:rFonts w:hint="default" w:ascii="Times New Roman" w:hAnsi="Times New Roman" w:cs="Times New Roman"/>
          <w:b/>
          <w:lang w:val="en-US" w:eastAsia="zh-CN"/>
        </w:rPr>
        <w:t>2</w:t>
      </w:r>
      <w:r>
        <w:rPr>
          <w:rFonts w:hint="default" w:ascii="Times New Roman" w:hAnsi="Times New Roman" w:cs="Times New Roman"/>
          <w:b/>
        </w:rPr>
        <w:t xml:space="preserve"> Effect of clinicopathological factors on prognosis of DLBCL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xMTE1NjNmNzA0NjRhMjdkODAxZGViYjZlMzM1MDEifQ=="/>
  </w:docVars>
  <w:rsids>
    <w:rsidRoot w:val="2B0524D7"/>
    <w:rsid w:val="2B05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列出段落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2024-05-16T10:34:00Z</dcterms:created>
  <dc:creator>Administrator</dc:creator>
  <cp:lastModifiedBy>Administrator</cp:lastModifiedBy>
  <dcterms:modified xsi:type="dcterms:W3CDTF">2024-05-16T10:37:45Z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A2DAC127ABD3497DBB924998752C21B5_11</vt:lpwstr>
  </property>
</Properties>
</file>