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ADF51C" w14:textId="2E67BB47" w:rsidR="0096603C" w:rsidRPr="00DC613C" w:rsidRDefault="0096603C" w:rsidP="009B1244">
      <w:pPr>
        <w:spacing w:line="360" w:lineRule="auto"/>
        <w:rPr>
          <w:rFonts w:asciiTheme="minorBidi" w:hAnsiTheme="minorBidi"/>
          <w:b/>
          <w:bCs/>
          <w:sz w:val="24"/>
          <w:szCs w:val="24"/>
        </w:rPr>
      </w:pPr>
      <w:r w:rsidRPr="00DC613C">
        <w:rPr>
          <w:rFonts w:asciiTheme="minorBidi" w:hAnsiTheme="minorBidi"/>
          <w:b/>
          <w:bCs/>
          <w:i/>
          <w:iCs/>
          <w:sz w:val="24"/>
          <w:szCs w:val="24"/>
        </w:rPr>
        <w:t xml:space="preserve">Pantoea </w:t>
      </w:r>
      <w:proofErr w:type="spellStart"/>
      <w:r w:rsidR="009B1244" w:rsidRPr="009B1244">
        <w:rPr>
          <w:rFonts w:asciiTheme="minorBidi" w:hAnsiTheme="minorBidi"/>
          <w:b/>
          <w:bCs/>
          <w:i/>
          <w:iCs/>
          <w:sz w:val="24"/>
          <w:szCs w:val="24"/>
        </w:rPr>
        <w:t>osteomyelitidis</w:t>
      </w:r>
      <w:proofErr w:type="spellEnd"/>
      <w:r w:rsidR="009B1244" w:rsidRPr="009B1244">
        <w:rPr>
          <w:rFonts w:asciiTheme="minorBidi" w:hAnsiTheme="minorBidi"/>
          <w:b/>
          <w:bCs/>
          <w:i/>
          <w:iCs/>
          <w:sz w:val="24"/>
          <w:szCs w:val="24"/>
        </w:rPr>
        <w:t xml:space="preserve"> </w:t>
      </w:r>
      <w:r w:rsidRPr="00DC613C">
        <w:rPr>
          <w:rFonts w:asciiTheme="minorBidi" w:hAnsiTheme="minorBidi"/>
          <w:b/>
          <w:bCs/>
          <w:i/>
          <w:iCs/>
          <w:sz w:val="24"/>
          <w:szCs w:val="24"/>
        </w:rPr>
        <w:t xml:space="preserve">sp. </w:t>
      </w:r>
      <w:proofErr w:type="spellStart"/>
      <w:r w:rsidRPr="00DC613C">
        <w:rPr>
          <w:rFonts w:asciiTheme="minorBidi" w:hAnsiTheme="minorBidi"/>
          <w:b/>
          <w:bCs/>
          <w:i/>
          <w:iCs/>
          <w:sz w:val="24"/>
          <w:szCs w:val="24"/>
        </w:rPr>
        <w:t>nov</w:t>
      </w:r>
      <w:r w:rsidRPr="00DC613C">
        <w:rPr>
          <w:rFonts w:asciiTheme="minorBidi" w:hAnsiTheme="minorBidi"/>
          <w:b/>
          <w:bCs/>
          <w:sz w:val="24"/>
          <w:szCs w:val="24"/>
        </w:rPr>
        <w:t>.</w:t>
      </w:r>
      <w:proofErr w:type="spellEnd"/>
      <w:r>
        <w:rPr>
          <w:rFonts w:asciiTheme="minorBidi" w:hAnsiTheme="minorBidi"/>
          <w:b/>
          <w:bCs/>
          <w:sz w:val="24"/>
          <w:szCs w:val="24"/>
        </w:rPr>
        <w:t>,</w:t>
      </w:r>
      <w:r w:rsidRPr="00DC613C">
        <w:rPr>
          <w:rFonts w:asciiTheme="minorBidi" w:hAnsiTheme="minorBidi"/>
          <w:b/>
          <w:bCs/>
          <w:sz w:val="24"/>
          <w:szCs w:val="24"/>
        </w:rPr>
        <w:t xml:space="preserve"> </w:t>
      </w:r>
      <w:r>
        <w:rPr>
          <w:rFonts w:asciiTheme="minorBidi" w:hAnsiTheme="minorBidi"/>
          <w:b/>
          <w:bCs/>
          <w:sz w:val="24"/>
          <w:szCs w:val="24"/>
        </w:rPr>
        <w:t>a</w:t>
      </w:r>
      <w:r w:rsidRPr="00DC613C">
        <w:rPr>
          <w:rFonts w:asciiTheme="minorBidi" w:hAnsiTheme="minorBidi"/>
          <w:b/>
          <w:bCs/>
          <w:sz w:val="24"/>
          <w:szCs w:val="24"/>
        </w:rPr>
        <w:t xml:space="preserve"> </w:t>
      </w:r>
      <w:r>
        <w:rPr>
          <w:rFonts w:asciiTheme="minorBidi" w:hAnsiTheme="minorBidi"/>
          <w:b/>
          <w:bCs/>
          <w:sz w:val="24"/>
          <w:szCs w:val="24"/>
        </w:rPr>
        <w:t>n</w:t>
      </w:r>
      <w:r w:rsidRPr="00DC613C">
        <w:rPr>
          <w:rFonts w:asciiTheme="minorBidi" w:hAnsiTheme="minorBidi"/>
          <w:b/>
          <w:bCs/>
          <w:sz w:val="24"/>
          <w:szCs w:val="24"/>
        </w:rPr>
        <w:t xml:space="preserve">ovel </w:t>
      </w:r>
      <w:r>
        <w:rPr>
          <w:rFonts w:asciiTheme="minorBidi" w:hAnsiTheme="minorBidi"/>
          <w:b/>
          <w:bCs/>
          <w:sz w:val="24"/>
          <w:szCs w:val="24"/>
        </w:rPr>
        <w:t>h</w:t>
      </w:r>
      <w:r w:rsidRPr="00DC613C">
        <w:rPr>
          <w:rFonts w:asciiTheme="minorBidi" w:hAnsiTheme="minorBidi"/>
          <w:b/>
          <w:bCs/>
          <w:sz w:val="24"/>
          <w:szCs w:val="24"/>
        </w:rPr>
        <w:t xml:space="preserve">uman </w:t>
      </w:r>
      <w:r>
        <w:rPr>
          <w:rFonts w:asciiTheme="minorBidi" w:hAnsiTheme="minorBidi"/>
          <w:b/>
          <w:bCs/>
          <w:sz w:val="24"/>
          <w:szCs w:val="24"/>
        </w:rPr>
        <w:t>opportunistic p</w:t>
      </w:r>
      <w:r w:rsidRPr="00DC613C">
        <w:rPr>
          <w:rFonts w:asciiTheme="minorBidi" w:hAnsiTheme="minorBidi"/>
          <w:b/>
          <w:bCs/>
          <w:sz w:val="24"/>
          <w:szCs w:val="24"/>
        </w:rPr>
        <w:t xml:space="preserve">athogen </w:t>
      </w:r>
      <w:r>
        <w:rPr>
          <w:rFonts w:asciiTheme="minorBidi" w:hAnsiTheme="minorBidi"/>
          <w:b/>
          <w:bCs/>
          <w:sz w:val="24"/>
          <w:szCs w:val="24"/>
        </w:rPr>
        <w:t>isolated from</w:t>
      </w:r>
      <w:r w:rsidRPr="00DC613C">
        <w:rPr>
          <w:rFonts w:asciiTheme="minorBidi" w:hAnsiTheme="minorBidi"/>
          <w:b/>
          <w:bCs/>
          <w:sz w:val="24"/>
          <w:szCs w:val="24"/>
        </w:rPr>
        <w:t xml:space="preserve"> </w:t>
      </w:r>
      <w:r>
        <w:rPr>
          <w:rFonts w:asciiTheme="minorBidi" w:hAnsiTheme="minorBidi"/>
          <w:b/>
          <w:bCs/>
          <w:sz w:val="24"/>
          <w:szCs w:val="24"/>
        </w:rPr>
        <w:t>a patient with c</w:t>
      </w:r>
      <w:r w:rsidRPr="00DC613C">
        <w:rPr>
          <w:rFonts w:asciiTheme="minorBidi" w:hAnsiTheme="minorBidi"/>
          <w:b/>
          <w:bCs/>
          <w:sz w:val="24"/>
          <w:szCs w:val="24"/>
        </w:rPr>
        <w:t xml:space="preserve">hronic </w:t>
      </w:r>
      <w:r>
        <w:rPr>
          <w:rFonts w:asciiTheme="minorBidi" w:hAnsiTheme="minorBidi"/>
          <w:b/>
          <w:bCs/>
          <w:sz w:val="24"/>
          <w:szCs w:val="24"/>
        </w:rPr>
        <w:t>o</w:t>
      </w:r>
      <w:r w:rsidRPr="00DC613C">
        <w:rPr>
          <w:rFonts w:asciiTheme="minorBidi" w:hAnsiTheme="minorBidi"/>
          <w:b/>
          <w:bCs/>
          <w:sz w:val="24"/>
          <w:szCs w:val="24"/>
        </w:rPr>
        <w:t xml:space="preserve">steomyelitis: </w:t>
      </w:r>
      <w:r>
        <w:rPr>
          <w:rFonts w:asciiTheme="minorBidi" w:hAnsiTheme="minorBidi"/>
          <w:b/>
          <w:bCs/>
          <w:sz w:val="24"/>
          <w:szCs w:val="24"/>
        </w:rPr>
        <w:t>case report, genomic characterization and literature review</w:t>
      </w:r>
    </w:p>
    <w:p w14:paraId="06A0FFAD" w14:textId="77777777" w:rsidR="0096603C" w:rsidRPr="00445980" w:rsidRDefault="0096603C" w:rsidP="0096603C">
      <w:pPr>
        <w:spacing w:line="360" w:lineRule="auto"/>
        <w:rPr>
          <w:rFonts w:asciiTheme="minorBidi" w:hAnsiTheme="minorBidi"/>
          <w:sz w:val="24"/>
          <w:szCs w:val="24"/>
          <w:vertAlign w:val="superscript"/>
        </w:rPr>
      </w:pPr>
      <w:r w:rsidRPr="004D0FA6">
        <w:rPr>
          <w:rFonts w:asciiTheme="minorBidi" w:hAnsiTheme="minorBidi"/>
          <w:sz w:val="24"/>
          <w:szCs w:val="24"/>
        </w:rPr>
        <w:t>Danielle Keidar-Friedman</w:t>
      </w:r>
      <w:r w:rsidRPr="006F041E">
        <w:rPr>
          <w:rFonts w:asciiTheme="minorBidi" w:hAnsiTheme="minorBidi"/>
          <w:sz w:val="24"/>
          <w:szCs w:val="24"/>
          <w:vertAlign w:val="superscript"/>
        </w:rPr>
        <w:t>1, 2</w:t>
      </w:r>
      <w:r w:rsidRPr="004D0FA6">
        <w:rPr>
          <w:rFonts w:asciiTheme="minorBidi" w:hAnsiTheme="minorBidi"/>
          <w:sz w:val="24"/>
          <w:szCs w:val="24"/>
        </w:rPr>
        <w:t>, Daniel Leshin-Carmel</w:t>
      </w:r>
      <w:r w:rsidRPr="00BF44A3">
        <w:rPr>
          <w:rFonts w:asciiTheme="minorBidi" w:hAnsiTheme="minorBidi"/>
          <w:sz w:val="24"/>
          <w:szCs w:val="24"/>
          <w:vertAlign w:val="superscript"/>
        </w:rPr>
        <w:t>3</w:t>
      </w:r>
      <w:r w:rsidRPr="004D0FA6">
        <w:rPr>
          <w:rFonts w:asciiTheme="minorBidi" w:hAnsiTheme="minorBidi"/>
          <w:sz w:val="24"/>
          <w:szCs w:val="24"/>
        </w:rPr>
        <w:t>, Anka Tsur</w:t>
      </w:r>
      <w:r w:rsidRPr="006F041E">
        <w:rPr>
          <w:rFonts w:asciiTheme="minorBidi" w:hAnsiTheme="minorBidi"/>
          <w:sz w:val="24"/>
          <w:szCs w:val="24"/>
          <w:vertAlign w:val="superscript"/>
        </w:rPr>
        <w:t>2</w:t>
      </w:r>
      <w:r w:rsidRPr="004D0FA6">
        <w:rPr>
          <w:rFonts w:asciiTheme="minorBidi" w:hAnsiTheme="minorBidi"/>
          <w:sz w:val="24"/>
          <w:szCs w:val="24"/>
        </w:rPr>
        <w:t>, Muriel Amsalem</w:t>
      </w:r>
      <w:r w:rsidRPr="006F041E">
        <w:rPr>
          <w:rFonts w:asciiTheme="minorBidi" w:hAnsiTheme="minorBidi"/>
          <w:sz w:val="24"/>
          <w:szCs w:val="24"/>
          <w:vertAlign w:val="superscript"/>
        </w:rPr>
        <w:t>2</w:t>
      </w:r>
      <w:r w:rsidRPr="004D0FA6">
        <w:rPr>
          <w:rFonts w:asciiTheme="minorBidi" w:hAnsiTheme="minorBidi"/>
          <w:sz w:val="24"/>
          <w:szCs w:val="24"/>
        </w:rPr>
        <w:t>,</w:t>
      </w:r>
      <w:r>
        <w:rPr>
          <w:rFonts w:asciiTheme="minorBidi" w:hAnsiTheme="minorBidi"/>
          <w:sz w:val="24"/>
          <w:szCs w:val="24"/>
        </w:rPr>
        <w:t xml:space="preserve"> </w:t>
      </w:r>
      <w:r w:rsidRPr="00445980">
        <w:rPr>
          <w:rFonts w:asciiTheme="minorBidi" w:hAnsiTheme="minorBidi"/>
          <w:sz w:val="24"/>
          <w:szCs w:val="24"/>
        </w:rPr>
        <w:t>Daria Tolkach</w:t>
      </w:r>
      <w:r w:rsidRPr="00445980">
        <w:rPr>
          <w:rFonts w:asciiTheme="minorBidi" w:hAnsiTheme="minorBidi"/>
          <w:sz w:val="24"/>
          <w:szCs w:val="24"/>
          <w:vertAlign w:val="superscript"/>
        </w:rPr>
        <w:t>1, 2</w:t>
      </w:r>
      <w:r w:rsidRPr="00445980">
        <w:rPr>
          <w:rFonts w:asciiTheme="minorBidi" w:hAnsiTheme="minorBidi"/>
          <w:sz w:val="24"/>
          <w:szCs w:val="24"/>
        </w:rPr>
        <w:t>, Tal Brosh-Nissimov</w:t>
      </w:r>
      <w:r w:rsidRPr="00445980">
        <w:rPr>
          <w:rFonts w:asciiTheme="minorBidi" w:hAnsiTheme="minorBidi"/>
          <w:sz w:val="24"/>
          <w:szCs w:val="24"/>
          <w:vertAlign w:val="superscript"/>
        </w:rPr>
        <w:t>3,4</w:t>
      </w:r>
      <w:r w:rsidRPr="00445980">
        <w:rPr>
          <w:rFonts w:asciiTheme="minorBidi" w:hAnsiTheme="minorBidi"/>
          <w:sz w:val="24"/>
          <w:szCs w:val="24"/>
        </w:rPr>
        <w:t>, Nadav Sorek</w:t>
      </w:r>
      <w:r w:rsidRPr="00445980">
        <w:rPr>
          <w:rFonts w:asciiTheme="minorBidi" w:hAnsiTheme="minorBidi"/>
          <w:sz w:val="24"/>
          <w:szCs w:val="24"/>
          <w:vertAlign w:val="superscript"/>
        </w:rPr>
        <w:t>2</w:t>
      </w:r>
    </w:p>
    <w:p w14:paraId="697D54C8" w14:textId="77777777" w:rsidR="0096603C" w:rsidRPr="00445980" w:rsidRDefault="0096603C" w:rsidP="0096603C">
      <w:pPr>
        <w:pStyle w:val="ListParagraph"/>
        <w:numPr>
          <w:ilvl w:val="0"/>
          <w:numId w:val="1"/>
        </w:numPr>
        <w:spacing w:line="360" w:lineRule="auto"/>
        <w:rPr>
          <w:rFonts w:asciiTheme="minorBidi" w:hAnsiTheme="minorBidi"/>
        </w:rPr>
      </w:pPr>
      <w:bookmarkStart w:id="0" w:name="_Hlk171249044"/>
      <w:r w:rsidRPr="00445980">
        <w:rPr>
          <w:rFonts w:asciiTheme="minorBidi" w:hAnsiTheme="minorBidi"/>
        </w:rPr>
        <w:t xml:space="preserve">Emerging Infectious Diseases Laboratory, Samson </w:t>
      </w:r>
      <w:proofErr w:type="spellStart"/>
      <w:r w:rsidRPr="00445980">
        <w:rPr>
          <w:rFonts w:asciiTheme="minorBidi" w:hAnsiTheme="minorBidi"/>
        </w:rPr>
        <w:t>Assuta</w:t>
      </w:r>
      <w:proofErr w:type="spellEnd"/>
      <w:r w:rsidRPr="00445980">
        <w:rPr>
          <w:rFonts w:asciiTheme="minorBidi" w:hAnsiTheme="minorBidi"/>
        </w:rPr>
        <w:t xml:space="preserve"> Ashdod University Hospital, Ashdod, Israel</w:t>
      </w:r>
    </w:p>
    <w:bookmarkEnd w:id="0"/>
    <w:p w14:paraId="082A5AB2" w14:textId="77777777" w:rsidR="0096603C" w:rsidRPr="00445980" w:rsidRDefault="0096603C" w:rsidP="0096603C">
      <w:pPr>
        <w:pStyle w:val="ListParagraph"/>
        <w:numPr>
          <w:ilvl w:val="0"/>
          <w:numId w:val="1"/>
        </w:numPr>
        <w:spacing w:line="360" w:lineRule="auto"/>
        <w:rPr>
          <w:rFonts w:asciiTheme="minorBidi" w:hAnsiTheme="minorBidi"/>
        </w:rPr>
      </w:pPr>
      <w:r w:rsidRPr="00445980">
        <w:rPr>
          <w:rFonts w:asciiTheme="minorBidi" w:hAnsiTheme="minorBidi"/>
        </w:rPr>
        <w:t xml:space="preserve">Microbiology Laboratory, Samson </w:t>
      </w:r>
      <w:proofErr w:type="spellStart"/>
      <w:r w:rsidRPr="00445980">
        <w:rPr>
          <w:rFonts w:asciiTheme="minorBidi" w:hAnsiTheme="minorBidi"/>
        </w:rPr>
        <w:t>Assuta</w:t>
      </w:r>
      <w:proofErr w:type="spellEnd"/>
      <w:r w:rsidRPr="00445980">
        <w:rPr>
          <w:rFonts w:asciiTheme="minorBidi" w:hAnsiTheme="minorBidi"/>
        </w:rPr>
        <w:t xml:space="preserve"> Ashdod University Hospital, Ashdod, Israel</w:t>
      </w:r>
    </w:p>
    <w:p w14:paraId="5BE61091" w14:textId="77777777" w:rsidR="0096603C" w:rsidRPr="00445980" w:rsidRDefault="0096603C" w:rsidP="0096603C">
      <w:pPr>
        <w:pStyle w:val="ListParagraph"/>
        <w:numPr>
          <w:ilvl w:val="0"/>
          <w:numId w:val="1"/>
        </w:numPr>
        <w:spacing w:line="360" w:lineRule="auto"/>
        <w:rPr>
          <w:rFonts w:asciiTheme="minorBidi" w:hAnsiTheme="minorBidi"/>
        </w:rPr>
      </w:pPr>
      <w:r w:rsidRPr="00445980">
        <w:rPr>
          <w:rFonts w:asciiTheme="minorBidi" w:hAnsiTheme="minorBidi"/>
        </w:rPr>
        <w:t xml:space="preserve">Infectious Diseases Unit, Samson </w:t>
      </w:r>
      <w:proofErr w:type="spellStart"/>
      <w:r w:rsidRPr="00445980">
        <w:rPr>
          <w:rFonts w:asciiTheme="minorBidi" w:hAnsiTheme="minorBidi"/>
        </w:rPr>
        <w:t>Assuta</w:t>
      </w:r>
      <w:proofErr w:type="spellEnd"/>
      <w:r w:rsidRPr="00445980">
        <w:rPr>
          <w:rFonts w:asciiTheme="minorBidi" w:hAnsiTheme="minorBidi"/>
        </w:rPr>
        <w:t xml:space="preserve"> Ashdod University Hospital, Ashdod, Israel</w:t>
      </w:r>
    </w:p>
    <w:p w14:paraId="24166378" w14:textId="77777777" w:rsidR="0096603C" w:rsidRPr="00445980" w:rsidRDefault="0096603C" w:rsidP="0096603C">
      <w:pPr>
        <w:pStyle w:val="ListParagraph"/>
        <w:numPr>
          <w:ilvl w:val="0"/>
          <w:numId w:val="1"/>
        </w:numPr>
        <w:spacing w:line="360" w:lineRule="auto"/>
        <w:rPr>
          <w:rFonts w:asciiTheme="minorBidi" w:hAnsiTheme="minorBidi"/>
        </w:rPr>
      </w:pPr>
      <w:r w:rsidRPr="00445980">
        <w:rPr>
          <w:rFonts w:asciiTheme="minorBidi" w:hAnsiTheme="minorBidi"/>
        </w:rPr>
        <w:t>Faculty of Health Sciences, Ben Gurion University in the Negev, Beer Sheba, Israel</w:t>
      </w:r>
    </w:p>
    <w:p w14:paraId="09F2AF70" w14:textId="77777777" w:rsidR="0096603C" w:rsidRDefault="0096603C" w:rsidP="0096603C">
      <w:pPr>
        <w:spacing w:line="360" w:lineRule="auto"/>
        <w:rPr>
          <w:rStyle w:val="Hyperlink"/>
          <w:rFonts w:asciiTheme="minorBidi" w:hAnsiTheme="minorBidi"/>
          <w:sz w:val="24"/>
          <w:szCs w:val="24"/>
        </w:rPr>
      </w:pPr>
      <w:r>
        <w:rPr>
          <w:rFonts w:asciiTheme="minorBidi" w:hAnsiTheme="minorBidi"/>
          <w:b/>
          <w:bCs/>
          <w:sz w:val="24"/>
          <w:szCs w:val="24"/>
        </w:rPr>
        <w:t xml:space="preserve">Corresponding author: </w:t>
      </w:r>
      <w:r>
        <w:rPr>
          <w:rFonts w:asciiTheme="minorBidi" w:hAnsiTheme="minorBidi"/>
          <w:b/>
          <w:bCs/>
          <w:sz w:val="24"/>
          <w:szCs w:val="24"/>
        </w:rPr>
        <w:br/>
      </w:r>
      <w:r w:rsidRPr="004D0FA6">
        <w:rPr>
          <w:rFonts w:asciiTheme="minorBidi" w:hAnsiTheme="minorBidi"/>
          <w:sz w:val="24"/>
          <w:szCs w:val="24"/>
        </w:rPr>
        <w:t>Danielle Keidar-Friedman</w:t>
      </w:r>
      <w:r>
        <w:rPr>
          <w:rFonts w:asciiTheme="minorBidi" w:hAnsiTheme="minorBidi"/>
          <w:sz w:val="24"/>
          <w:szCs w:val="24"/>
        </w:rPr>
        <w:br/>
      </w:r>
      <w:hyperlink r:id="rId5" w:history="1">
        <w:r w:rsidRPr="00CB2E84">
          <w:rPr>
            <w:rStyle w:val="Hyperlink"/>
            <w:rFonts w:asciiTheme="minorBidi" w:hAnsiTheme="minorBidi"/>
            <w:sz w:val="24"/>
            <w:szCs w:val="24"/>
          </w:rPr>
          <w:t>danielleke@assuta.co.il</w:t>
        </w:r>
      </w:hyperlink>
    </w:p>
    <w:p w14:paraId="23420C83" w14:textId="77777777" w:rsidR="00562D05" w:rsidRPr="00FE2C8A" w:rsidRDefault="00562D05" w:rsidP="0096603C">
      <w:pPr>
        <w:spacing w:line="360" w:lineRule="auto"/>
        <w:rPr>
          <w:rFonts w:asciiTheme="minorBidi" w:hAnsiTheme="minorBidi"/>
          <w:sz w:val="24"/>
          <w:szCs w:val="24"/>
        </w:rPr>
      </w:pPr>
    </w:p>
    <w:p w14:paraId="3FE22027" w14:textId="6696E194" w:rsidR="000C63F1" w:rsidRPr="00DE7404" w:rsidRDefault="00E95F36" w:rsidP="00E95F36">
      <w:pPr>
        <w:rPr>
          <w:rFonts w:asciiTheme="minorBidi" w:hAnsiTheme="minorBidi"/>
          <w:b/>
          <w:bCs/>
          <w:sz w:val="28"/>
          <w:szCs w:val="28"/>
        </w:rPr>
      </w:pPr>
      <w:r w:rsidRPr="00DE7404">
        <w:rPr>
          <w:rFonts w:asciiTheme="minorBidi" w:hAnsiTheme="minorBidi"/>
          <w:b/>
          <w:bCs/>
          <w:sz w:val="28"/>
          <w:szCs w:val="28"/>
        </w:rPr>
        <w:t>Supplementary A. Methods.</w:t>
      </w:r>
    </w:p>
    <w:p w14:paraId="399C0F49" w14:textId="77777777" w:rsidR="00E95F36" w:rsidRDefault="00E95F36" w:rsidP="00E95F36">
      <w:pPr>
        <w:rPr>
          <w:rFonts w:asciiTheme="minorBidi" w:hAnsiTheme="minorBidi"/>
          <w:b/>
          <w:bCs/>
          <w:sz w:val="24"/>
          <w:szCs w:val="24"/>
        </w:rPr>
      </w:pPr>
    </w:p>
    <w:p w14:paraId="6875A25F" w14:textId="2EFCC117" w:rsidR="00B05606" w:rsidRPr="006F26C5" w:rsidRDefault="00B05606" w:rsidP="004A3F4E">
      <w:pPr>
        <w:spacing w:line="360" w:lineRule="auto"/>
        <w:rPr>
          <w:rFonts w:asciiTheme="minorBidi" w:hAnsiTheme="minorBidi"/>
          <w:sz w:val="24"/>
          <w:szCs w:val="24"/>
        </w:rPr>
      </w:pPr>
      <w:r w:rsidRPr="00FF76A2">
        <w:rPr>
          <w:rFonts w:asciiTheme="minorBidi" w:hAnsiTheme="minorBidi"/>
          <w:sz w:val="24"/>
          <w:szCs w:val="24"/>
          <w:u w:val="single"/>
        </w:rPr>
        <w:t>Phenotypic characterization</w:t>
      </w:r>
      <w:r>
        <w:rPr>
          <w:rFonts w:asciiTheme="minorBidi" w:hAnsiTheme="minorBidi"/>
          <w:sz w:val="24"/>
          <w:szCs w:val="24"/>
        </w:rPr>
        <w:br/>
        <w:t xml:space="preserve">Phenotypic tests were done using Hydrogen Peroxide 3% for catalase presence, </w:t>
      </w:r>
      <w:r w:rsidRPr="00C733BC">
        <w:rPr>
          <w:rFonts w:asciiTheme="minorBidi" w:hAnsiTheme="minorBidi"/>
          <w:sz w:val="24"/>
          <w:szCs w:val="24"/>
        </w:rPr>
        <w:t xml:space="preserve">The Oxoid </w:t>
      </w:r>
      <w:proofErr w:type="spellStart"/>
      <w:r w:rsidRPr="00C733BC">
        <w:rPr>
          <w:rFonts w:asciiTheme="minorBidi" w:hAnsiTheme="minorBidi"/>
          <w:sz w:val="24"/>
          <w:szCs w:val="24"/>
        </w:rPr>
        <w:t>DrySpot</w:t>
      </w:r>
      <w:proofErr w:type="spellEnd"/>
      <w:r w:rsidRPr="00C733BC">
        <w:rPr>
          <w:rFonts w:asciiTheme="minorBidi" w:hAnsiTheme="minorBidi"/>
          <w:sz w:val="24"/>
          <w:szCs w:val="24"/>
        </w:rPr>
        <w:t xml:space="preserve">™ </w:t>
      </w:r>
      <w:r>
        <w:rPr>
          <w:rFonts w:asciiTheme="minorBidi" w:hAnsiTheme="minorBidi"/>
          <w:sz w:val="24"/>
          <w:szCs w:val="24"/>
        </w:rPr>
        <w:t>(</w:t>
      </w:r>
      <w:proofErr w:type="spellStart"/>
      <w:r>
        <w:rPr>
          <w:rFonts w:asciiTheme="minorBidi" w:hAnsiTheme="minorBidi"/>
          <w:sz w:val="24"/>
          <w:szCs w:val="24"/>
        </w:rPr>
        <w:t>Thermofisher</w:t>
      </w:r>
      <w:proofErr w:type="spellEnd"/>
      <w:r>
        <w:rPr>
          <w:rFonts w:asciiTheme="minorBidi" w:hAnsiTheme="minorBidi"/>
          <w:sz w:val="24"/>
          <w:szCs w:val="24"/>
        </w:rPr>
        <w:t>, W</w:t>
      </w:r>
      <w:r w:rsidRPr="00A20AD2">
        <w:rPr>
          <w:rFonts w:asciiTheme="minorBidi" w:hAnsiTheme="minorBidi"/>
          <w:sz w:val="24"/>
          <w:szCs w:val="24"/>
        </w:rPr>
        <w:t xml:space="preserve">altham, Massachusetts, </w:t>
      </w:r>
      <w:r>
        <w:rPr>
          <w:rFonts w:asciiTheme="minorBidi" w:hAnsiTheme="minorBidi"/>
          <w:sz w:val="24"/>
          <w:szCs w:val="24"/>
        </w:rPr>
        <w:t xml:space="preserve">USA) for coagulase presence, </w:t>
      </w:r>
      <w:r w:rsidRPr="00C430F1">
        <w:rPr>
          <w:rFonts w:asciiTheme="minorBidi" w:hAnsiTheme="minorBidi"/>
          <w:sz w:val="24"/>
          <w:szCs w:val="24"/>
        </w:rPr>
        <w:t>oxidase strips</w:t>
      </w:r>
      <w:r>
        <w:rPr>
          <w:rFonts w:asciiTheme="minorBidi" w:hAnsiTheme="minorBidi"/>
          <w:sz w:val="24"/>
          <w:szCs w:val="24"/>
        </w:rPr>
        <w:t xml:space="preserve"> (</w:t>
      </w:r>
      <w:proofErr w:type="spellStart"/>
      <w:r w:rsidRPr="00C430F1">
        <w:rPr>
          <w:rFonts w:asciiTheme="minorBidi" w:hAnsiTheme="minorBidi"/>
          <w:sz w:val="24"/>
          <w:szCs w:val="24"/>
        </w:rPr>
        <w:t>Novamed</w:t>
      </w:r>
      <w:proofErr w:type="spellEnd"/>
      <w:r w:rsidRPr="00C430F1">
        <w:rPr>
          <w:rFonts w:asciiTheme="minorBidi" w:hAnsiTheme="minorBidi"/>
          <w:sz w:val="24"/>
          <w:szCs w:val="24"/>
        </w:rPr>
        <w:t>, Jerusalem, Israel)</w:t>
      </w:r>
      <w:r>
        <w:rPr>
          <w:rFonts w:asciiTheme="minorBidi" w:hAnsiTheme="minorBidi"/>
          <w:sz w:val="24"/>
          <w:szCs w:val="24"/>
        </w:rPr>
        <w:t xml:space="preserve"> for oxidase presence and BD-BBL </w:t>
      </w:r>
      <w:proofErr w:type="spellStart"/>
      <w:r>
        <w:rPr>
          <w:rFonts w:asciiTheme="minorBidi" w:hAnsiTheme="minorBidi"/>
          <w:sz w:val="24"/>
          <w:szCs w:val="24"/>
        </w:rPr>
        <w:t>DrySlide</w:t>
      </w:r>
      <w:proofErr w:type="spellEnd"/>
      <w:r>
        <w:rPr>
          <w:rFonts w:asciiTheme="minorBidi" w:hAnsiTheme="minorBidi"/>
          <w:sz w:val="24"/>
          <w:szCs w:val="24"/>
        </w:rPr>
        <w:t xml:space="preserve"> Indole (BD,</w:t>
      </w:r>
      <w:r w:rsidRPr="006F26C5">
        <w:t xml:space="preserve"> </w:t>
      </w:r>
      <w:r w:rsidRPr="006F26C5">
        <w:rPr>
          <w:rFonts w:asciiTheme="minorBidi" w:hAnsiTheme="minorBidi"/>
          <w:sz w:val="24"/>
          <w:szCs w:val="24"/>
        </w:rPr>
        <w:t>Franklin Lakes, New Jersey</w:t>
      </w:r>
      <w:r>
        <w:rPr>
          <w:rFonts w:asciiTheme="minorBidi" w:hAnsiTheme="minorBidi"/>
          <w:sz w:val="24"/>
          <w:szCs w:val="24"/>
        </w:rPr>
        <w:t xml:space="preserve">, </w:t>
      </w:r>
      <w:r w:rsidRPr="006F26C5">
        <w:rPr>
          <w:rFonts w:asciiTheme="minorBidi" w:hAnsiTheme="minorBidi"/>
          <w:sz w:val="24"/>
          <w:szCs w:val="24"/>
        </w:rPr>
        <w:t>U</w:t>
      </w:r>
      <w:r>
        <w:rPr>
          <w:rFonts w:asciiTheme="minorBidi" w:hAnsiTheme="minorBidi"/>
          <w:sz w:val="24"/>
          <w:szCs w:val="24"/>
        </w:rPr>
        <w:t>SA) for t</w:t>
      </w:r>
      <w:r w:rsidRPr="002138FC">
        <w:rPr>
          <w:rFonts w:asciiTheme="minorBidi" w:hAnsiTheme="minorBidi"/>
          <w:sz w:val="24"/>
          <w:szCs w:val="24"/>
        </w:rPr>
        <w:t>ryptophanase</w:t>
      </w:r>
      <w:r>
        <w:rPr>
          <w:rFonts w:asciiTheme="minorBidi" w:hAnsiTheme="minorBidi"/>
          <w:sz w:val="24"/>
          <w:szCs w:val="24"/>
        </w:rPr>
        <w:t xml:space="preserve"> presence. </w:t>
      </w:r>
    </w:p>
    <w:p w14:paraId="03E2F3CD" w14:textId="77777777" w:rsidR="00B05606" w:rsidRPr="00AB2E11" w:rsidRDefault="00B05606" w:rsidP="00FF76A2">
      <w:pPr>
        <w:spacing w:line="360" w:lineRule="auto"/>
        <w:rPr>
          <w:rFonts w:asciiTheme="minorBidi" w:hAnsiTheme="minorBidi"/>
          <w:sz w:val="24"/>
          <w:szCs w:val="24"/>
          <w:u w:val="single"/>
        </w:rPr>
      </w:pPr>
      <w:r w:rsidRPr="00AB2E11">
        <w:rPr>
          <w:rFonts w:asciiTheme="minorBidi" w:hAnsiTheme="minorBidi"/>
          <w:sz w:val="24"/>
          <w:szCs w:val="24"/>
          <w:u w:val="single"/>
        </w:rPr>
        <w:t>DNA extraction and 16s Sequencing</w:t>
      </w:r>
    </w:p>
    <w:p w14:paraId="7FB3F85B" w14:textId="77777777" w:rsidR="004A3F4E" w:rsidRPr="004A3F4E" w:rsidRDefault="004A3F4E" w:rsidP="004A3F4E">
      <w:pPr>
        <w:spacing w:line="360" w:lineRule="auto"/>
        <w:rPr>
          <w:rFonts w:asciiTheme="minorBidi" w:hAnsiTheme="minorBidi"/>
          <w:sz w:val="24"/>
          <w:szCs w:val="24"/>
        </w:rPr>
      </w:pPr>
      <w:r w:rsidRPr="004A3F4E">
        <w:rPr>
          <w:rFonts w:asciiTheme="minorBidi" w:hAnsiTheme="minorBidi"/>
          <w:sz w:val="24"/>
          <w:szCs w:val="24"/>
        </w:rPr>
        <w:t xml:space="preserve">DNA was extracted from the colonies following overnight incubation at 37°c with aerobic conditions, using the </w:t>
      </w:r>
      <w:proofErr w:type="spellStart"/>
      <w:r w:rsidRPr="004A3F4E">
        <w:rPr>
          <w:rFonts w:asciiTheme="minorBidi" w:hAnsiTheme="minorBidi"/>
          <w:sz w:val="24"/>
          <w:szCs w:val="24"/>
        </w:rPr>
        <w:t>QIAamp</w:t>
      </w:r>
      <w:proofErr w:type="spellEnd"/>
      <w:r w:rsidRPr="004A3F4E">
        <w:rPr>
          <w:rFonts w:asciiTheme="minorBidi" w:hAnsiTheme="minorBidi"/>
          <w:sz w:val="24"/>
          <w:szCs w:val="24"/>
        </w:rPr>
        <w:t xml:space="preserve"> DNA kit (Qiagen, Hilden, Germany) for genomic DNA extraction, based on manufacturer instructions for DNA extraction from plates. The purity of DNA was checked using the </w:t>
      </w:r>
      <w:proofErr w:type="spellStart"/>
      <w:r w:rsidRPr="004A3F4E">
        <w:rPr>
          <w:rFonts w:asciiTheme="minorBidi" w:hAnsiTheme="minorBidi"/>
          <w:sz w:val="24"/>
          <w:szCs w:val="24"/>
        </w:rPr>
        <w:t>DeNovix</w:t>
      </w:r>
      <w:proofErr w:type="spellEnd"/>
      <w:r w:rsidRPr="004A3F4E">
        <w:rPr>
          <w:rFonts w:asciiTheme="minorBidi" w:hAnsiTheme="minorBidi"/>
          <w:sz w:val="24"/>
          <w:szCs w:val="24"/>
        </w:rPr>
        <w:t xml:space="preserve"> DS-11 FX Spectrophotometer (</w:t>
      </w:r>
      <w:proofErr w:type="spellStart"/>
      <w:r w:rsidRPr="004A3F4E">
        <w:rPr>
          <w:rFonts w:asciiTheme="minorBidi" w:hAnsiTheme="minorBidi"/>
          <w:sz w:val="24"/>
          <w:szCs w:val="24"/>
        </w:rPr>
        <w:t>DeNovix</w:t>
      </w:r>
      <w:proofErr w:type="spellEnd"/>
      <w:r w:rsidRPr="004A3F4E">
        <w:rPr>
          <w:rFonts w:asciiTheme="minorBidi" w:hAnsiTheme="minorBidi"/>
          <w:sz w:val="24"/>
          <w:szCs w:val="24"/>
        </w:rPr>
        <w:t xml:space="preserve">, Wilmington, USA), and quality of DNA was tested using the Genomic DNA kit on </w:t>
      </w:r>
      <w:proofErr w:type="spellStart"/>
      <w:r w:rsidRPr="004A3F4E">
        <w:rPr>
          <w:rFonts w:asciiTheme="minorBidi" w:hAnsiTheme="minorBidi"/>
          <w:sz w:val="24"/>
          <w:szCs w:val="24"/>
        </w:rPr>
        <w:t>TapeStation</w:t>
      </w:r>
      <w:proofErr w:type="spellEnd"/>
      <w:r w:rsidRPr="004A3F4E">
        <w:rPr>
          <w:rFonts w:asciiTheme="minorBidi" w:hAnsiTheme="minorBidi"/>
          <w:sz w:val="24"/>
          <w:szCs w:val="24"/>
        </w:rPr>
        <w:t xml:space="preserve"> (Agilent, Santa Clara, California, USA).</w:t>
      </w:r>
    </w:p>
    <w:p w14:paraId="1C771BFB" w14:textId="20793A69" w:rsidR="00836945" w:rsidRDefault="004A3F4E" w:rsidP="00836945">
      <w:pPr>
        <w:spacing w:line="360" w:lineRule="auto"/>
        <w:rPr>
          <w:rFonts w:asciiTheme="minorBidi" w:hAnsiTheme="minorBidi"/>
          <w:sz w:val="24"/>
          <w:szCs w:val="24"/>
        </w:rPr>
      </w:pPr>
      <w:r w:rsidRPr="004A3F4E">
        <w:rPr>
          <w:rFonts w:asciiTheme="minorBidi" w:hAnsiTheme="minorBidi"/>
          <w:sz w:val="24"/>
          <w:szCs w:val="24"/>
        </w:rPr>
        <w:lastRenderedPageBreak/>
        <w:t xml:space="preserve">The 16s rRNA gene (primer F1: AGAGTTTGATCMTGGCTCAG, primer R1: ACTGCTGCSYCCCGTAGGAGTCT, F2: CCAGACTCCTACGGGAGGCAG, R2: CGTATTACCGCGGCTGCTG) was amplified using GoTaq® 1-Step RT-qPCR kit (Promega, Madison, Wisconsin, USA) for PCR with 36 cycles (95°c for 10 sec, 60°c for 30 sec and 72°c for 30 sec) and sequenced by Sanger sequencing at </w:t>
      </w:r>
      <w:proofErr w:type="spellStart"/>
      <w:r w:rsidRPr="004A3F4E">
        <w:rPr>
          <w:rFonts w:asciiTheme="minorBidi" w:hAnsiTheme="minorBidi"/>
          <w:sz w:val="24"/>
          <w:szCs w:val="24"/>
        </w:rPr>
        <w:t>Hylab</w:t>
      </w:r>
      <w:proofErr w:type="spellEnd"/>
      <w:r w:rsidRPr="004A3F4E">
        <w:rPr>
          <w:rFonts w:asciiTheme="minorBidi" w:hAnsiTheme="minorBidi"/>
          <w:sz w:val="24"/>
          <w:szCs w:val="24"/>
        </w:rPr>
        <w:t xml:space="preserve"> (Rehovot, Israel). The resulting sequence was assembled by CLC genomics software version 23.0.4 (Qiagen, Hilden, Germany) and BLASTN analysis was done using the GenBank database on the NCBI platform (https://blast.ncbi.nlm.nih.gov/Blast.cgi). </w:t>
      </w:r>
    </w:p>
    <w:p w14:paraId="5442BC82" w14:textId="225D7C95" w:rsidR="00B05606" w:rsidRPr="00AB2E11" w:rsidRDefault="00B05606" w:rsidP="004A3F4E">
      <w:pPr>
        <w:spacing w:line="360" w:lineRule="auto"/>
        <w:rPr>
          <w:rFonts w:asciiTheme="minorBidi" w:hAnsiTheme="minorBidi"/>
          <w:sz w:val="24"/>
          <w:szCs w:val="24"/>
          <w:u w:val="single"/>
        </w:rPr>
      </w:pPr>
      <w:r w:rsidRPr="00AB2E11">
        <w:rPr>
          <w:rFonts w:asciiTheme="minorBidi" w:hAnsiTheme="minorBidi"/>
          <w:sz w:val="24"/>
          <w:szCs w:val="24"/>
          <w:u w:val="single"/>
        </w:rPr>
        <w:t>Whole genome sequencing</w:t>
      </w:r>
    </w:p>
    <w:p w14:paraId="6B46C700" w14:textId="77777777" w:rsidR="00836945" w:rsidRDefault="00836945" w:rsidP="00FF76A2">
      <w:pPr>
        <w:spacing w:line="360" w:lineRule="auto"/>
        <w:rPr>
          <w:rFonts w:asciiTheme="minorBidi" w:hAnsiTheme="minorBidi"/>
          <w:sz w:val="24"/>
          <w:szCs w:val="24"/>
        </w:rPr>
      </w:pPr>
      <w:r w:rsidRPr="00836945">
        <w:rPr>
          <w:rFonts w:asciiTheme="minorBidi" w:hAnsiTheme="minorBidi"/>
          <w:sz w:val="24"/>
          <w:szCs w:val="24"/>
        </w:rPr>
        <w:t xml:space="preserve">Whole genome libraries were prepared using the Illumina DNA Prep kit (Illumina Inc., San Diego, California, USA) and IDT for Illumina DNA/RNA UD </w:t>
      </w:r>
      <w:proofErr w:type="spellStart"/>
      <w:r w:rsidRPr="00836945">
        <w:rPr>
          <w:rFonts w:asciiTheme="minorBidi" w:hAnsiTheme="minorBidi"/>
          <w:sz w:val="24"/>
          <w:szCs w:val="24"/>
        </w:rPr>
        <w:t>Tagmentation</w:t>
      </w:r>
      <w:proofErr w:type="spellEnd"/>
      <w:r w:rsidRPr="00836945">
        <w:rPr>
          <w:rFonts w:asciiTheme="minorBidi" w:hAnsiTheme="minorBidi"/>
          <w:sz w:val="24"/>
          <w:szCs w:val="24"/>
        </w:rPr>
        <w:t xml:space="preserve"> Indexes (IDT, Coralville, Iowa, USA), based on the Illumina protocol. Prepared libraries were quantified using a </w:t>
      </w:r>
      <w:proofErr w:type="spellStart"/>
      <w:r w:rsidRPr="00836945">
        <w:rPr>
          <w:rFonts w:asciiTheme="minorBidi" w:hAnsiTheme="minorBidi"/>
          <w:sz w:val="24"/>
          <w:szCs w:val="24"/>
        </w:rPr>
        <w:t>DeNovix</w:t>
      </w:r>
      <w:proofErr w:type="spellEnd"/>
      <w:r w:rsidRPr="00836945">
        <w:rPr>
          <w:rFonts w:asciiTheme="minorBidi" w:hAnsiTheme="minorBidi"/>
          <w:sz w:val="24"/>
          <w:szCs w:val="24"/>
        </w:rPr>
        <w:t xml:space="preserve"> DS-11 FX fluorometer with the dsDNA High Sensitivity kit (</w:t>
      </w:r>
      <w:proofErr w:type="spellStart"/>
      <w:r w:rsidRPr="00836945">
        <w:rPr>
          <w:rFonts w:asciiTheme="minorBidi" w:hAnsiTheme="minorBidi"/>
          <w:sz w:val="24"/>
          <w:szCs w:val="24"/>
        </w:rPr>
        <w:t>DeNovix</w:t>
      </w:r>
      <w:proofErr w:type="spellEnd"/>
      <w:r w:rsidRPr="00836945">
        <w:rPr>
          <w:rFonts w:asciiTheme="minorBidi" w:hAnsiTheme="minorBidi"/>
          <w:sz w:val="24"/>
          <w:szCs w:val="24"/>
        </w:rPr>
        <w:t xml:space="preserve">, Wilmington, USA) and quality was tested using a High Sensitivity DNA kit on </w:t>
      </w:r>
      <w:proofErr w:type="spellStart"/>
      <w:r w:rsidRPr="00836945">
        <w:rPr>
          <w:rFonts w:asciiTheme="minorBidi" w:hAnsiTheme="minorBidi"/>
          <w:sz w:val="24"/>
          <w:szCs w:val="24"/>
        </w:rPr>
        <w:t>TapeStation</w:t>
      </w:r>
      <w:proofErr w:type="spellEnd"/>
      <w:r w:rsidRPr="00836945">
        <w:rPr>
          <w:rFonts w:asciiTheme="minorBidi" w:hAnsiTheme="minorBidi"/>
          <w:sz w:val="24"/>
          <w:szCs w:val="24"/>
        </w:rPr>
        <w:t xml:space="preserve"> (Agilent, Santa Clara, California, USA). Genomic libraries were sequenced on the </w:t>
      </w:r>
      <w:proofErr w:type="spellStart"/>
      <w:r w:rsidRPr="00836945">
        <w:rPr>
          <w:rFonts w:asciiTheme="minorBidi" w:hAnsiTheme="minorBidi"/>
          <w:sz w:val="24"/>
          <w:szCs w:val="24"/>
        </w:rPr>
        <w:t>MiSeq</w:t>
      </w:r>
      <w:proofErr w:type="spellEnd"/>
      <w:r w:rsidRPr="00836945">
        <w:rPr>
          <w:rFonts w:asciiTheme="minorBidi" w:hAnsiTheme="minorBidi"/>
          <w:sz w:val="24"/>
          <w:szCs w:val="24"/>
        </w:rPr>
        <w:t xml:space="preserve"> Illumina platform using the </w:t>
      </w:r>
      <w:proofErr w:type="spellStart"/>
      <w:r w:rsidRPr="00836945">
        <w:rPr>
          <w:rFonts w:asciiTheme="minorBidi" w:hAnsiTheme="minorBidi"/>
          <w:sz w:val="24"/>
          <w:szCs w:val="24"/>
        </w:rPr>
        <w:t>MiSeq</w:t>
      </w:r>
      <w:proofErr w:type="spellEnd"/>
      <w:r w:rsidRPr="00836945">
        <w:rPr>
          <w:rFonts w:asciiTheme="minorBidi" w:hAnsiTheme="minorBidi"/>
          <w:sz w:val="24"/>
          <w:szCs w:val="24"/>
        </w:rPr>
        <w:t xml:space="preserve"> Reagent kit V3 600-cycle, 300 bp paired-end reads (Illumina, San Diego, California, USA). </w:t>
      </w:r>
      <w:proofErr w:type="spellStart"/>
      <w:r w:rsidRPr="00836945">
        <w:rPr>
          <w:rFonts w:asciiTheme="minorBidi" w:hAnsiTheme="minorBidi"/>
          <w:sz w:val="24"/>
          <w:szCs w:val="24"/>
        </w:rPr>
        <w:t>FastQC</w:t>
      </w:r>
      <w:proofErr w:type="spellEnd"/>
      <w:r w:rsidRPr="00836945">
        <w:rPr>
          <w:rFonts w:asciiTheme="minorBidi" w:hAnsiTheme="minorBidi"/>
          <w:sz w:val="24"/>
          <w:szCs w:val="24"/>
        </w:rPr>
        <w:t xml:space="preserve"> analysis, trimming by a minimum of Q30 (Phred score), and de novo assembly of trimmed reads were generated using CLC Genomics software version 23.0.4 (Qiagen, Hilden, Germany).</w:t>
      </w:r>
    </w:p>
    <w:p w14:paraId="5944BFED" w14:textId="657AB08C" w:rsidR="00436FD0" w:rsidRPr="00436FD0" w:rsidRDefault="00B05606" w:rsidP="00333340">
      <w:pPr>
        <w:spacing w:line="360" w:lineRule="auto"/>
        <w:rPr>
          <w:rFonts w:asciiTheme="minorBidi" w:hAnsiTheme="minorBidi"/>
          <w:sz w:val="24"/>
          <w:szCs w:val="24"/>
        </w:rPr>
      </w:pPr>
      <w:r w:rsidRPr="00AB2E11">
        <w:rPr>
          <w:rFonts w:asciiTheme="minorBidi" w:hAnsiTheme="minorBidi"/>
          <w:sz w:val="24"/>
          <w:szCs w:val="24"/>
          <w:u w:val="single"/>
        </w:rPr>
        <w:t>Taxonomic analysis</w:t>
      </w:r>
      <w:r>
        <w:rPr>
          <w:rFonts w:asciiTheme="minorBidi" w:hAnsiTheme="minorBidi"/>
          <w:sz w:val="24"/>
          <w:szCs w:val="24"/>
        </w:rPr>
        <w:br/>
      </w:r>
      <w:r w:rsidR="00436FD0" w:rsidRPr="00436FD0">
        <w:rPr>
          <w:rFonts w:asciiTheme="minorBidi" w:hAnsiTheme="minorBidi"/>
          <w:sz w:val="24"/>
          <w:szCs w:val="24"/>
        </w:rPr>
        <w:t xml:space="preserve">Initial taxonomy analysis was conducted using TYGS (Type strain genome server, </w:t>
      </w:r>
      <w:hyperlink r:id="rId6" w:history="1">
        <w:r w:rsidR="00A1718F" w:rsidRPr="00DA2AFB">
          <w:rPr>
            <w:rStyle w:val="Hyperlink"/>
            <w:rFonts w:asciiTheme="minorBidi" w:hAnsiTheme="minorBidi"/>
            <w:sz w:val="24"/>
            <w:szCs w:val="24"/>
          </w:rPr>
          <w:t>https://tygs.dsmz.de/</w:t>
        </w:r>
      </w:hyperlink>
      <w:r w:rsidR="00436FD0" w:rsidRPr="00436FD0">
        <w:rPr>
          <w:rFonts w:asciiTheme="minorBidi" w:hAnsiTheme="minorBidi"/>
          <w:sz w:val="24"/>
          <w:szCs w:val="24"/>
        </w:rPr>
        <w:t>)</w:t>
      </w:r>
      <w:r w:rsidR="00A1718F">
        <w:rPr>
          <w:rFonts w:asciiTheme="minorBidi" w:hAnsiTheme="minorBidi"/>
          <w:sz w:val="24"/>
          <w:szCs w:val="24"/>
        </w:rPr>
        <w:t>.</w:t>
      </w:r>
      <w:r w:rsidR="001B747E">
        <w:rPr>
          <w:rFonts w:asciiTheme="minorBidi" w:hAnsiTheme="minorBidi"/>
          <w:sz w:val="24"/>
          <w:szCs w:val="24"/>
        </w:rPr>
        <w:t xml:space="preserve"> </w:t>
      </w:r>
      <w:r w:rsidR="00436FD0" w:rsidRPr="00436FD0">
        <w:rPr>
          <w:rFonts w:asciiTheme="minorBidi" w:hAnsiTheme="minorBidi"/>
          <w:sz w:val="24"/>
          <w:szCs w:val="24"/>
        </w:rPr>
        <w:t>TYGS performs Digital DNA-DNA Hybridization (</w:t>
      </w:r>
      <w:proofErr w:type="spellStart"/>
      <w:r w:rsidR="00436FD0" w:rsidRPr="00436FD0">
        <w:rPr>
          <w:rFonts w:asciiTheme="minorBidi" w:hAnsiTheme="minorBidi"/>
          <w:sz w:val="24"/>
          <w:szCs w:val="24"/>
        </w:rPr>
        <w:t>dDDH</w:t>
      </w:r>
      <w:proofErr w:type="spellEnd"/>
      <w:r w:rsidR="00436FD0" w:rsidRPr="00436FD0">
        <w:rPr>
          <w:rFonts w:asciiTheme="minorBidi" w:hAnsiTheme="minorBidi"/>
          <w:sz w:val="24"/>
          <w:szCs w:val="24"/>
        </w:rPr>
        <w:t xml:space="preserve">) analysis to estimate overall genomic similarity </w:t>
      </w:r>
      <w:r w:rsidR="001B747E">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{"citationID":"OgCYAQTH","properties":{"formattedCitation":"[1]","plainCitation":"[1]","noteIndex":0},"citationItems":[{"id":42,"uris":["http://zotero.org/users/14340923/items/RMST8EHC"],"itemData":{"id":42,"type":"article-journal","abstract":"Microbial taxonomy is increasingly influenced by genome-based computational methods. Yet such analyses can be complex and require expert knowledge. Here we introduce TYGS, the Type (Strain) Genome Server, a user-friendly high-throughput web server for genome-based prokaryote taxonomy, connected to a large, continuously growing database of genomic, taxonomic and nomenclatural information. It infers genome-scale phylogenies and state-of-the-art estimates for species and subspecies boundaries from user-defined and automatically determined closest type genome sequences. TYGS also provides comprehensive access to nomenclature, synonymy and associated taxonomic literature. Clinically important examples demonstrate how TYGS can yield new insights into microbial classification, such as evidence for a species-level separation of previously proposed subspecies of Salmonella enterica. TYGS is an integrated approach for the classification of microbes that unlocks novel scientific approaches to microbiologists worldwide and is particularly helpful for the rapidly expanding field of genome-based taxonomic descriptions of new genera, species or subspecies.","container-title":"Nature Communications","DOI":"10.1038/s41467-019-10210-3","ISSN":"2041-1723","issue":"1","journalAbbreviation":"Nat Commun","language":"en","license":"2019 The Author(s)","note":"publisher: Nature Publishing Group","page":"2182","source":"www.nature.com","title":"TYGS is an automated high-throughput platform for state-of-the-art genome-based taxonomy","volume":"10","author":[{"family":"Meier-Kolthoff","given":"Jan P."},{"family":"Göker","given":"Markus"}],"issued":{"date-parts":[["2019",5,16]]}}}],"schema":"https://github.com/citation-style-language/schema/raw/master/csl-citation.json"} </w:instrText>
      </w:r>
      <w:r w:rsidR="001B747E">
        <w:rPr>
          <w:rFonts w:asciiTheme="minorBidi" w:hAnsiTheme="minorBidi"/>
          <w:sz w:val="24"/>
          <w:szCs w:val="24"/>
        </w:rPr>
        <w:fldChar w:fldCharType="separate"/>
      </w:r>
      <w:r w:rsidR="00333340" w:rsidRPr="00333340">
        <w:rPr>
          <w:rFonts w:ascii="Arial" w:hAnsi="Arial" w:cs="Arial"/>
          <w:sz w:val="24"/>
        </w:rPr>
        <w:t>[1]</w:t>
      </w:r>
      <w:r w:rsidR="001B747E">
        <w:rPr>
          <w:rFonts w:asciiTheme="minorBidi" w:hAnsiTheme="minorBidi"/>
          <w:sz w:val="24"/>
          <w:szCs w:val="24"/>
        </w:rPr>
        <w:fldChar w:fldCharType="end"/>
      </w:r>
      <w:r w:rsidR="001B747E">
        <w:rPr>
          <w:rFonts w:asciiTheme="minorBidi" w:hAnsiTheme="minorBidi"/>
          <w:sz w:val="24"/>
          <w:szCs w:val="24"/>
        </w:rPr>
        <w:t xml:space="preserve">. </w:t>
      </w:r>
      <w:r w:rsidR="00436FD0" w:rsidRPr="00436FD0">
        <w:rPr>
          <w:rFonts w:asciiTheme="minorBidi" w:hAnsiTheme="minorBidi"/>
          <w:sz w:val="24"/>
          <w:szCs w:val="24"/>
        </w:rPr>
        <w:t xml:space="preserve">A second taxonomy analysis was conducted using GTDB-Tk Classify genomes 2.3.2 </w:t>
      </w:r>
      <w:r w:rsidR="00006953">
        <w:rPr>
          <w:rFonts w:asciiTheme="minorBidi" w:hAnsiTheme="minorBidi"/>
          <w:sz w:val="24"/>
          <w:szCs w:val="24"/>
        </w:rPr>
        <w:t>(</w:t>
      </w:r>
      <w:r w:rsidR="00436FD0" w:rsidRPr="00436FD0">
        <w:rPr>
          <w:rFonts w:asciiTheme="minorBidi" w:hAnsiTheme="minorBidi"/>
          <w:sz w:val="24"/>
          <w:szCs w:val="24"/>
        </w:rPr>
        <w:t xml:space="preserve">Genome Taxonomy Database </w:t>
      </w:r>
      <w:hyperlink r:id="rId7" w:history="1">
        <w:r w:rsidR="00006953" w:rsidRPr="00DA2AFB">
          <w:rPr>
            <w:rStyle w:val="Hyperlink"/>
            <w:rFonts w:asciiTheme="minorBidi" w:hAnsiTheme="minorBidi"/>
            <w:sz w:val="24"/>
            <w:szCs w:val="24"/>
          </w:rPr>
          <w:t>https://gtdb.ecogenomic.org/</w:t>
        </w:r>
      </w:hyperlink>
      <w:r w:rsidR="00006953">
        <w:rPr>
          <w:rFonts w:asciiTheme="minorBidi" w:hAnsiTheme="minorBidi"/>
          <w:sz w:val="24"/>
          <w:szCs w:val="24"/>
        </w:rPr>
        <w:t xml:space="preserve"> </w:t>
      </w:r>
      <w:r w:rsidR="00006953">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{"citationID":"qik1AAEv","properties":{"formattedCitation":"[2]","plainCitation":"[2]","noteIndex":0},"citationItems":[{"id":45,"uris":["http://zotero.org/users/14340923/items/I6ZCP54Y"],"itemData":{"id":45,"type":"article-journal","abstract":"The Genome Taxonomy Database (GTDB; https://gtdb.ecogenomic.org) provides a phylogenetically consistent and rank normalized genome-based taxonomy for prokaryotic genomes sourced from the NCBI Assembly database. GTDB R06-RS202 spans 254 090 bacterial and 4316 archaeal genomes, a 270% increase since the introduction of the GTDB in November, 2017. These genomes are organized into 45 555 bacterial and 2339 archaeal species clusters which is a 200% increase since the integration of species clusters into the GTDB in June, 2019. Here, we explore prokaryotic diversity from the perspective of the GTDB and highlight the importance of metagenome-assembled genomes in expanding available genomic representation. We also discuss improvements to the GTDB website which allow tracking of taxonomic changes, easy assessment of genome assembly quality, and identification of genomes assembled from type material or used as species representatives. Methodological updates and policy changes made since the inception of the GTDB are then described along with the procedure used to update species clusters in the GTDB. We conclude with a discussion on the use of average nucleotide identities as a pragmatic approach for delineating prokaryotic species.","container-title":"Nucleic Acids Research","DOI":"10.1093/nar/gkab776","ISSN":"0305-1048","issue":"D1","journalAbbreviation":"Nucleic Acids Research","page":"D785-D794","source":"Silverchair","title":"GTDB: an ongoing census of bacterial and archaeal diversity through a phylogenetically consistent, rank normalized and complete genome-based taxonomy","title-short":"GTDB","volume":"50","author":[{"family":"Parks","given":"Donovan H"},{"family":"Chuvochina","given":"Maria"},{"family":"Rinke","given":"Christian"},{"family":"Mussig","given":"Aaron J"},{"family":"Chaumeil","given":"Pierre-Alain"},{"family":"Hugenholtz","given":"Philip"}],"issued":{"date-parts":[["2022",1,7]]}}}],"schema":"https://github.com/citation-style-language/schema/raw/master/csl-citation.json"} </w:instrText>
      </w:r>
      <w:r w:rsidR="00006953">
        <w:rPr>
          <w:rFonts w:asciiTheme="minorBidi" w:hAnsiTheme="minorBidi"/>
          <w:sz w:val="24"/>
          <w:szCs w:val="24"/>
        </w:rPr>
        <w:fldChar w:fldCharType="separate"/>
      </w:r>
      <w:r w:rsidR="00333340" w:rsidRPr="00333340">
        <w:rPr>
          <w:rFonts w:ascii="Arial" w:hAnsi="Arial" w:cs="Arial"/>
          <w:sz w:val="24"/>
        </w:rPr>
        <w:t>[2]</w:t>
      </w:r>
      <w:r w:rsidR="00006953">
        <w:rPr>
          <w:rFonts w:asciiTheme="minorBidi" w:hAnsiTheme="minorBidi"/>
          <w:sz w:val="24"/>
          <w:szCs w:val="24"/>
        </w:rPr>
        <w:fldChar w:fldCharType="end"/>
      </w:r>
      <w:r w:rsidR="00436FD0" w:rsidRPr="00436FD0">
        <w:rPr>
          <w:rFonts w:asciiTheme="minorBidi" w:hAnsiTheme="minorBidi"/>
          <w:sz w:val="24"/>
          <w:szCs w:val="24"/>
        </w:rPr>
        <w:t xml:space="preserve">) on the Galaxy platform </w:t>
      </w:r>
      <w:r w:rsidR="00006953">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{"citationID":"71drDcA2","properties":{"formattedCitation":"[3]","plainCitation":"[3]","noteIndex":0},"citationItems":[{"id":271,"uris":["http://zotero.org/users/14340923/items/PFRUCYLL"],"itemData":{"id":271,"type":"article-journal","abstract":"Galaxy (homepage: https://galaxyproject.org, main public server: https://usegalaxy.org) is a web-based scientific analysis platform used by tens of thousands of scientists across the world to analyze large biomedical datasets such as those found in genomics, proteomics, metabolomics and imaging. Started in 2005, Galaxy continues to focus on three key challenges of data-driven biomedical science: making analyses accessible to all researchers, ensuring analyses are completely reproducible, and making it simple to communicate analyses so that they can be reused and extended. During the last two years, the Galaxy team and the open-source community around Galaxy have made substantial improvements to Galaxy's core framework, user interface, tools, and training materials. Framework and user interface improvements now enable Galaxy to be used for analyzing tens of thousands of datasets, and &amp;gt;5500 tools are now available from the Galaxy ToolShed. The Galaxy community has led an effort to create numerous high-quality tutorials focused on common types of genomic analyses. The Galaxy developer and user communities continue to grow and be integral to Galaxy's development. The number of Galaxy public servers, developers contributing to the Galaxy framework and its tools, and users of the main Galaxy server have all increased substantially.","container-title":"Nucleic Acids Research","DOI":"10.1093/nar/gky379","ISSN":"0305-1048","issue":"W1","journalAbbreviation":"Nucleic Acids Research","page":"W537-W544","source":"Silverchair","title":"The Galaxy platform for accessible, reproducible and collaborative biomedical analyses: 2018 update","title-short":"The Galaxy platform for accessible, reproducible and collaborative biomedical analyses","volume":"46","author":[{"family":"Afgan","given":"Enis"},{"family":"Baker","given":"Dannon"},{"family":"Batut","given":"Bérénice"},{"family":"van den Beek","given":"Marius"},{"family":"Bouvier","given":"Dave"},{"family":"Čech","given":"Martin"},{"family":"Chilton","given":"John"},{"family":"Clements","given":"Dave"},{"family":"Coraor","given":"Nate"},{"family":"Grüning","given":"Björn A"},{"family":"Guerler","given":"Aysam"},{"family":"Hillman-Jackson","given":"Jennifer"},{"family":"Hiltemann","given":"Saskia"},{"family":"Jalili","given":"Vahid"},{"family":"Rasche","given":"Helena"},{"family":"Soranzo","given":"Nicola"},{"family":"Goecks","given":"Jeremy"},{"family":"Taylor","given":"James"},{"family":"Nekrutenko","given":"Anton"},{"family":"Blankenberg","given":"Daniel"}],"issued":{"date-parts":[["2018",7,2]]}}}],"schema":"https://github.com/citation-style-language/schema/raw/master/csl-citation.json"} </w:instrText>
      </w:r>
      <w:r w:rsidR="00006953">
        <w:rPr>
          <w:rFonts w:asciiTheme="minorBidi" w:hAnsiTheme="minorBidi"/>
          <w:sz w:val="24"/>
          <w:szCs w:val="24"/>
        </w:rPr>
        <w:fldChar w:fldCharType="separate"/>
      </w:r>
      <w:r w:rsidR="00333340" w:rsidRPr="00333340">
        <w:rPr>
          <w:rFonts w:ascii="Arial" w:hAnsi="Arial" w:cs="Arial"/>
          <w:sz w:val="24"/>
        </w:rPr>
        <w:t>[3]</w:t>
      </w:r>
      <w:r w:rsidR="00006953">
        <w:rPr>
          <w:rFonts w:asciiTheme="minorBidi" w:hAnsiTheme="minorBidi"/>
          <w:sz w:val="24"/>
          <w:szCs w:val="24"/>
        </w:rPr>
        <w:fldChar w:fldCharType="end"/>
      </w:r>
      <w:r w:rsidR="00006953">
        <w:rPr>
          <w:rFonts w:asciiTheme="minorBidi" w:hAnsiTheme="minorBidi"/>
          <w:sz w:val="24"/>
          <w:szCs w:val="24"/>
        </w:rPr>
        <w:t xml:space="preserve">. </w:t>
      </w:r>
      <w:r w:rsidR="00436FD0" w:rsidRPr="00436FD0">
        <w:rPr>
          <w:rFonts w:asciiTheme="minorBidi" w:hAnsiTheme="minorBidi"/>
          <w:sz w:val="24"/>
          <w:szCs w:val="24"/>
        </w:rPr>
        <w:t xml:space="preserve">Pan-genome analysis was performed using known Pantoea species according to Crosby et al </w:t>
      </w:r>
      <w:r w:rsidR="00876296">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{"citationID":"AjjZcacJ","properties":{"formattedCitation":"[4]","plainCitation":"[4]","noteIndex":0},"citationItems":[{"id":19,"uris":["http://zotero.org/users/14340923/items/FFLVC2KF"],"itemData":{"id":19,"type":"article-journal","abstract":"&lt;p&gt;As the name of the genus &lt;italic&gt;Pantoea&lt;/italic&gt; (“of all sorts and sources”) suggests, this genus includes bacteria with a wide range of provenances, including plants, animals, soils, components of the water cycle, and humans. Some members of the genus are pathogenic to plants, and some are suspected to be opportunistic human pathogens; while others are used as microbial pesticides or show promise in biotechnological applications. During its taxonomic history, the genus and its species have seen many revisions. However, evolutionary and comparative genomics studies have started to provide a solid foundation for a more stable taxonomy. To move further toward this goal, we have built a 2,509-gene core genome tree of 437 public genome sequences representing the currently known diversity of the genus &lt;italic&gt;Pantoea&lt;/italic&gt;. Clades were evaluated for being evolutionarily and ecologically significant by determining bootstrap support, gene content differences, and recent recombination events. These results were then integrated with genome metadata, published literature, descriptions of named species with standing in nomenclature, and circumscriptions of yet-unnamed species clusters, 15 of which we assigned names under the nascent SeqCode. Finally, genome-based circumscriptions and descriptions of each species and each significant genetic lineage within species were uploaded to the LINbase Web server so that newly sequenced genomes of isolates belonging to any of these groups could be precisely and accurately identified.&lt;/p&gt;","container-title":"Frontiers in Microbiology","DOI":"10.3389/fmicb.2023.1254999","ISSN":"1664-302X","journalAbbreviation":"Front. Microbiol.","language":"English","note":"publisher: Frontiers","source":"Frontiers","title":"Genomic delineation and description of species and within-species lineages in the genus Pantoea","volume":"14","author":[{"family":"Crosby","given":"Katherine C."},{"family":"Rojas","given":"Mariah"},{"family":"Sharma","given":"Parul"},{"family":"Johnson","given":"Marcela A."},{"family":"Mazloom","given":"Reza"},{"family":"Kvitko","given":"Brian H."},{"family":"Smits","given":"Theo H. M."},{"family":"Venter","given":"Stephanus N."},{"family":"Coutinho","given":"Teresa A."},{"family":"Heath","given":"Lenwood S."},{"family":"Palmer","given":"Marike"},{"family":"Vinatzer","given":"Boris A."}],"issued":{"date-parts":[["2023",11,9]]}}}],"schema":"https://github.com/citation-style-language/schema/raw/master/csl-citation.json"} </w:instrText>
      </w:r>
      <w:r w:rsidR="00876296">
        <w:rPr>
          <w:rFonts w:asciiTheme="minorBidi" w:hAnsiTheme="minorBidi"/>
          <w:sz w:val="24"/>
          <w:szCs w:val="24"/>
        </w:rPr>
        <w:fldChar w:fldCharType="separate"/>
      </w:r>
      <w:r w:rsidR="00333340" w:rsidRPr="00333340">
        <w:rPr>
          <w:rFonts w:ascii="Arial" w:hAnsi="Arial" w:cs="Arial"/>
          <w:sz w:val="24"/>
        </w:rPr>
        <w:t>[4]</w:t>
      </w:r>
      <w:r w:rsidR="00876296">
        <w:rPr>
          <w:rFonts w:asciiTheme="minorBidi" w:hAnsiTheme="minorBidi"/>
          <w:sz w:val="24"/>
          <w:szCs w:val="24"/>
        </w:rPr>
        <w:fldChar w:fldCharType="end"/>
      </w:r>
      <w:r w:rsidR="00876296">
        <w:rPr>
          <w:rFonts w:asciiTheme="minorBidi" w:hAnsiTheme="minorBidi"/>
          <w:sz w:val="24"/>
          <w:szCs w:val="24"/>
        </w:rPr>
        <w:t xml:space="preserve"> </w:t>
      </w:r>
      <w:r w:rsidR="00436FD0" w:rsidRPr="00436FD0">
        <w:rPr>
          <w:rFonts w:asciiTheme="minorBidi" w:hAnsiTheme="minorBidi"/>
          <w:sz w:val="24"/>
          <w:szCs w:val="24"/>
        </w:rPr>
        <w:t>and additional recently identified Pantoea species. Genome drafts were retrieved from NCBI GenBank (</w:t>
      </w:r>
      <w:r w:rsidR="00436FD0" w:rsidRPr="00FB465F">
        <w:rPr>
          <w:rFonts w:asciiTheme="minorBidi" w:hAnsiTheme="minorBidi"/>
          <w:b/>
          <w:bCs/>
          <w:sz w:val="24"/>
          <w:szCs w:val="24"/>
        </w:rPr>
        <w:t>Supp</w:t>
      </w:r>
      <w:r w:rsidR="00FB465F">
        <w:rPr>
          <w:rFonts w:asciiTheme="minorBidi" w:hAnsiTheme="minorBidi"/>
          <w:b/>
          <w:bCs/>
          <w:sz w:val="24"/>
          <w:szCs w:val="24"/>
        </w:rPr>
        <w:t>.</w:t>
      </w:r>
      <w:r w:rsidR="00436FD0" w:rsidRPr="00FB465F">
        <w:rPr>
          <w:rFonts w:asciiTheme="minorBidi" w:hAnsiTheme="minorBidi"/>
          <w:b/>
          <w:bCs/>
          <w:sz w:val="24"/>
          <w:szCs w:val="24"/>
        </w:rPr>
        <w:t xml:space="preserve"> table 1</w:t>
      </w:r>
      <w:r w:rsidR="00436FD0" w:rsidRPr="00436FD0">
        <w:rPr>
          <w:rFonts w:asciiTheme="minorBidi" w:hAnsiTheme="minorBidi"/>
          <w:sz w:val="24"/>
          <w:szCs w:val="24"/>
        </w:rPr>
        <w:t>.). Genomes that were marked as contaminated or had too low gene count were removed from the analysis, leaving a total of 4</w:t>
      </w:r>
      <w:r w:rsidR="00B53368">
        <w:rPr>
          <w:rFonts w:asciiTheme="minorBidi" w:hAnsiTheme="minorBidi"/>
          <w:sz w:val="24"/>
          <w:szCs w:val="24"/>
        </w:rPr>
        <w:t>6</w:t>
      </w:r>
      <w:r w:rsidR="00436FD0" w:rsidRPr="00436FD0">
        <w:rPr>
          <w:rFonts w:asciiTheme="minorBidi" w:hAnsiTheme="minorBidi"/>
          <w:sz w:val="24"/>
          <w:szCs w:val="24"/>
        </w:rPr>
        <w:t xml:space="preserve"> </w:t>
      </w:r>
      <w:r w:rsidR="00B53368" w:rsidRPr="00B53368">
        <w:rPr>
          <w:rFonts w:asciiTheme="minorBidi" w:hAnsiTheme="minorBidi"/>
          <w:i/>
          <w:iCs/>
          <w:sz w:val="24"/>
          <w:szCs w:val="24"/>
        </w:rPr>
        <w:t>Pantoea</w:t>
      </w:r>
      <w:r w:rsidR="00B53368">
        <w:rPr>
          <w:rFonts w:asciiTheme="minorBidi" w:hAnsiTheme="minorBidi"/>
          <w:sz w:val="24"/>
          <w:szCs w:val="24"/>
        </w:rPr>
        <w:t xml:space="preserve"> </w:t>
      </w:r>
      <w:r w:rsidR="00436FD0" w:rsidRPr="00436FD0">
        <w:rPr>
          <w:rFonts w:asciiTheme="minorBidi" w:hAnsiTheme="minorBidi"/>
          <w:sz w:val="24"/>
          <w:szCs w:val="24"/>
        </w:rPr>
        <w:t xml:space="preserve">genomes. </w:t>
      </w:r>
      <w:r w:rsidR="00436FD0" w:rsidRPr="0082546F">
        <w:rPr>
          <w:rFonts w:asciiTheme="minorBidi" w:hAnsiTheme="minorBidi"/>
          <w:i/>
          <w:iCs/>
          <w:sz w:val="24"/>
          <w:szCs w:val="24"/>
        </w:rPr>
        <w:t xml:space="preserve">Mixta </w:t>
      </w:r>
      <w:proofErr w:type="spellStart"/>
      <w:r w:rsidR="00436FD0" w:rsidRPr="0082546F">
        <w:rPr>
          <w:rFonts w:asciiTheme="minorBidi" w:hAnsiTheme="minorBidi"/>
          <w:i/>
          <w:iCs/>
          <w:sz w:val="24"/>
          <w:szCs w:val="24"/>
        </w:rPr>
        <w:t>calida</w:t>
      </w:r>
      <w:proofErr w:type="spellEnd"/>
      <w:r w:rsidR="00436FD0" w:rsidRPr="00436FD0">
        <w:rPr>
          <w:rFonts w:asciiTheme="minorBidi" w:hAnsiTheme="minorBidi"/>
          <w:sz w:val="24"/>
          <w:szCs w:val="24"/>
        </w:rPr>
        <w:t xml:space="preserve"> was added as an outgroup. Core genome analysis was conducted using Roary </w:t>
      </w:r>
      <w:r w:rsidR="00436FD0" w:rsidRPr="00436FD0">
        <w:rPr>
          <w:rFonts w:asciiTheme="minorBidi" w:hAnsiTheme="minorBidi"/>
          <w:sz w:val="24"/>
          <w:szCs w:val="24"/>
        </w:rPr>
        <w:lastRenderedPageBreak/>
        <w:t xml:space="preserve">3.13.0 (Page et al., 2015) based on 80% minimum protein identity (BLASTP) and 90% value for core orthologues (percentage of isolates a gene must be in) and splitting of paralogs. Core gene alignment was trimmed by </w:t>
      </w:r>
      <w:proofErr w:type="spellStart"/>
      <w:r w:rsidR="00436FD0" w:rsidRPr="00436FD0">
        <w:rPr>
          <w:rFonts w:asciiTheme="minorBidi" w:hAnsiTheme="minorBidi"/>
          <w:sz w:val="24"/>
          <w:szCs w:val="24"/>
        </w:rPr>
        <w:t>trimAI</w:t>
      </w:r>
      <w:proofErr w:type="spellEnd"/>
      <w:r w:rsidR="00436FD0" w:rsidRPr="00436FD0">
        <w:rPr>
          <w:rFonts w:asciiTheme="minorBidi" w:hAnsiTheme="minorBidi"/>
          <w:sz w:val="24"/>
          <w:szCs w:val="24"/>
        </w:rPr>
        <w:t xml:space="preserve"> version 0.1.0 </w:t>
      </w:r>
      <w:r w:rsidR="0082546F">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{"citationID":"sGOIZXVb","properties":{"formattedCitation":"[5]","plainCitation":"[5]","noteIndex":0},"citationItems":[{"id":355,"uris":["http://zotero.org/users/14340923/items/WVIH6G2Y"],"itemData":{"id":355,"type":"article-journal","abstract":"Summary: Multiple sequence alignments are central to many areas of bioinformatics. It has been shown that the removal of poorly aligned regions from an alignment increases the quality of subsequent analyses. Such an alignment trimming phase is complicated in large-scale phylogenetic analyses that deal with thousands of alignments. Here, we present trimAl, a tool for automated alignment trimming, which is especially suited for large-scale phylogenetic analyses. trimAl can consider several parameters, alone or in multiple combinations, for selecting the most reliable positions in the alignment. These include the proportion of sequences with a gap, the level of amino acid similarity and, if several alignments for the same set of sequences are provided, the level of consistency across different alignments. Moreover, trimAl can automatically select the parameters to be used in each specific alignment so that the signal-to-noise ratio is optimized., Availability: trimAl has been written in C++, it is portable to all platforms. trimAl is freely available for download (http://trimal.cgenomics.org) and can be used online through the Phylemon web server (http://phylemon2.bioinfo.cipf.es/). Supplementary Material is available at http://trimal.cgenomics.org/publications., Contact: tgabaldon@crg.es","container-title":"Bioinformatics","DOI":"10.1093/bioinformatics/btp348","ISSN":"1367-4803","issue":"15","journalAbbreviation":"Bioinformatics","note":"PMID: 19505945\nPMCID: PMC2712344","page":"1972-1973","source":"PubMed Central","title":"trimAl: a tool for automated alignment trimming in large-scale phylogenetic analyses","title-short":"trimAl","volume":"25","author":[{"family":"Capella-Gutiérrez","given":"Salvador"},{"family":"Silla-Martínez","given":"José M."},{"family":"Gabaldón","given":"Toni"}],"issued":{"date-parts":[["2009",8,1]]}}}],"schema":"https://github.com/citation-style-language/schema/raw/master/csl-citation.json"} </w:instrText>
      </w:r>
      <w:r w:rsidR="0082546F">
        <w:rPr>
          <w:rFonts w:asciiTheme="minorBidi" w:hAnsiTheme="minorBidi"/>
          <w:sz w:val="24"/>
          <w:szCs w:val="24"/>
        </w:rPr>
        <w:fldChar w:fldCharType="separate"/>
      </w:r>
      <w:r w:rsidR="00333340" w:rsidRPr="00333340">
        <w:rPr>
          <w:rFonts w:ascii="Arial" w:hAnsi="Arial" w:cs="Arial"/>
          <w:sz w:val="24"/>
        </w:rPr>
        <w:t>[5]</w:t>
      </w:r>
      <w:r w:rsidR="0082546F">
        <w:rPr>
          <w:rFonts w:asciiTheme="minorBidi" w:hAnsiTheme="minorBidi"/>
          <w:sz w:val="24"/>
          <w:szCs w:val="24"/>
        </w:rPr>
        <w:fldChar w:fldCharType="end"/>
      </w:r>
      <w:r w:rsidR="0082546F">
        <w:rPr>
          <w:rFonts w:asciiTheme="minorBidi" w:hAnsiTheme="minorBidi"/>
          <w:sz w:val="24"/>
          <w:szCs w:val="24"/>
        </w:rPr>
        <w:t xml:space="preserve"> </w:t>
      </w:r>
      <w:r w:rsidR="00436FD0" w:rsidRPr="00436FD0">
        <w:rPr>
          <w:rFonts w:asciiTheme="minorBidi" w:hAnsiTheme="minorBidi"/>
          <w:sz w:val="24"/>
          <w:szCs w:val="24"/>
        </w:rPr>
        <w:t xml:space="preserve">using a gap threshold of 0.1, similarity threshold of 70% and minimum 60% </w:t>
      </w:r>
      <w:r w:rsidR="00771648">
        <w:rPr>
          <w:rFonts w:asciiTheme="minorBidi" w:hAnsiTheme="minorBidi"/>
          <w:sz w:val="24"/>
          <w:szCs w:val="24"/>
        </w:rPr>
        <w:t>conservation</w:t>
      </w:r>
      <w:r w:rsidR="00436FD0" w:rsidRPr="00436FD0">
        <w:rPr>
          <w:rFonts w:asciiTheme="minorBidi" w:hAnsiTheme="minorBidi"/>
          <w:sz w:val="24"/>
          <w:szCs w:val="24"/>
        </w:rPr>
        <w:t xml:space="preserve">. </w:t>
      </w:r>
      <w:r w:rsidR="0070262C">
        <w:rPr>
          <w:rFonts w:asciiTheme="minorBidi" w:hAnsiTheme="minorBidi"/>
          <w:sz w:val="24"/>
          <w:szCs w:val="24"/>
        </w:rPr>
        <w:t>The p</w:t>
      </w:r>
      <w:r w:rsidR="00436FD0" w:rsidRPr="00436FD0">
        <w:rPr>
          <w:rFonts w:asciiTheme="minorBidi" w:hAnsiTheme="minorBidi"/>
          <w:sz w:val="24"/>
          <w:szCs w:val="24"/>
        </w:rPr>
        <w:t xml:space="preserve">hylogenetic tree was generated using IQ-TREE version 1.5.5 </w:t>
      </w:r>
      <w:r w:rsidR="00B936F8">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{"citationID":"nPAkD50Q","properties":{"formattedCitation":"[6]","plainCitation":"[6]","noteIndex":0},"citationItems":[{"id":112,"uris":["http://zotero.org/users/14340923/items/DN2KBPDX"],"itemData":{"id":112,"type":"article-journal","abstract":"Large phylogenomics data sets require fast tree inference methods, especially for maximum-likelihood (ML) phylogenies. Fast programs exist, but due to inherent heuristics to find optimal trees, it is not clear whether the best tree is found. Thus, there is need for additional approaches that employ different search strategies to find ML trees and that are at the same time as fast as currently available ML programs. We show that a combination of hill-climbing approaches and a stochastic perturbation method can be time-efficiently implemented. If we allow the same CPU time as RAxML and PhyML, then our software IQ-TREE found higher likelihoods between 62.2% and 87.1% of the studied alignments, thus efficiently exploring the tree-space. If we use the IQ-TREE stopping rule, RAxML and PhyML are faster in 75.7% and 47.1% of the DNA alignments and 42.2% and 100% of the protein alignments, respectively. However, the range of obtaining higher likelihoods with IQ-TREE improves to 73.3–97.1%. IQ-TREE is freely available at http://www.cibiv.at/software/iqtree.","container-title":"Molecular Biology and Evolution","DOI":"10.1093/molbev/msu300","ISSN":"0737-4038","issue":"1","journalAbbreviation":"Molecular Biology and Evolution","page":"268-274","source":"Silverchair","title":"IQ-TREE: A Fast and Effective Stochastic Algorithm for Estimating Maximum-Likelihood Phylogenies","title-short":"IQ-TREE","volume":"32","author":[{"family":"Nguyen","given":"Lam-Tung"},{"family":"Schmidt","given":"Heiko A."},{"family":"Haeseler","given":"Arndt","non-dropping-particle":"von"},{"family":"Minh","given":"Bui Quang"}],"issued":{"date-parts":[["2015",1,1]]}}}],"schema":"https://github.com/citation-style-language/schema/raw/master/csl-citation.json"} </w:instrText>
      </w:r>
      <w:r w:rsidR="00B936F8">
        <w:rPr>
          <w:rFonts w:asciiTheme="minorBidi" w:hAnsiTheme="minorBidi"/>
          <w:sz w:val="24"/>
          <w:szCs w:val="24"/>
        </w:rPr>
        <w:fldChar w:fldCharType="separate"/>
      </w:r>
      <w:r w:rsidR="00333340" w:rsidRPr="00333340">
        <w:rPr>
          <w:rFonts w:ascii="Arial" w:hAnsi="Arial" w:cs="Arial"/>
          <w:sz w:val="24"/>
        </w:rPr>
        <w:t>[6]</w:t>
      </w:r>
      <w:r w:rsidR="00B936F8">
        <w:rPr>
          <w:rFonts w:asciiTheme="minorBidi" w:hAnsiTheme="minorBidi"/>
          <w:sz w:val="24"/>
          <w:szCs w:val="24"/>
        </w:rPr>
        <w:fldChar w:fldCharType="end"/>
      </w:r>
      <w:r w:rsidR="00436FD0" w:rsidRPr="00436FD0">
        <w:rPr>
          <w:rFonts w:asciiTheme="minorBidi" w:hAnsiTheme="minorBidi"/>
          <w:sz w:val="24"/>
          <w:szCs w:val="24"/>
        </w:rPr>
        <w:t xml:space="preserve"> with maximum likelihood and ultrafast bootstrapping</w:t>
      </w:r>
      <w:r w:rsidR="00E00D3E">
        <w:rPr>
          <w:rFonts w:asciiTheme="minorBidi" w:hAnsiTheme="minorBidi"/>
          <w:sz w:val="24"/>
          <w:szCs w:val="24"/>
        </w:rPr>
        <w:t xml:space="preserve"> </w:t>
      </w:r>
      <w:r w:rsidR="00B936F8">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{"citationID":"Jru5ZuF6","properties":{"formattedCitation":"[7]","plainCitation":"[7]","noteIndex":0},"citationItems":[{"id":445,"uris":["http://zotero.org/users/14340923/items/JZN8PQTQ"],"itemData":{"id":445,"type":"article-journal","abstract":"The standard bootstrap (SBS), despite being computationally intensive, is widely used in maximum likelihood phylogenetic analyses. We recently proposed the ultrafast bootstrap approximation (UFBoot) to reduce computing time while achieving more unbiased branch supports than SBS under mild model violations. UFBoot has been steadily adopted as an efficient alternative to SBS and other bootstrap approaches. Here, we present UFBoot2, which substantially accelerates UFBoot and reduces the risk of overestimating branch supports due to polytomies or severe model violations. Additionally, UFBoot2 provides suitable bootstrap resampling strategies for phylogenomic data. UFBoot2 is 778 times (median) faster than SBS and 8.4 times (median) faster than RAxML rapid bootstrap on tested data sets. UFBoot2 is implemented in the IQ-TREE software package version 1.6 and freely available at http://www.iqtree.org.","container-title":"Molecular Biology and Evolution","DOI":"10.1093/molbev/msx281","ISSN":"0737-4038","issue":"2","journalAbbreviation":"Molecular Biology and Evolution","page":"518-522","source":"Silverchair","title":"UFBoot2: Improving the Ultrafast Bootstrap Approximation","title-short":"UFBoot2","volume":"35","author":[{"family":"Hoang","given":"Diep Thi"},{"family":"Chernomor","given":"Olga"},{"family":"Haeseler","given":"Arndt","non-dropping-particle":"von"},{"family":"Minh","given":"Bui Quang"},{"family":"Vinh","given":"Le Sy"}],"issued":{"date-parts":[["2018",2,1]]}}}],"schema":"https://github.com/citation-style-language/schema/raw/master/csl-citation.json"} </w:instrText>
      </w:r>
      <w:r w:rsidR="00B936F8">
        <w:rPr>
          <w:rFonts w:asciiTheme="minorBidi" w:hAnsiTheme="minorBidi"/>
          <w:sz w:val="24"/>
          <w:szCs w:val="24"/>
        </w:rPr>
        <w:fldChar w:fldCharType="separate"/>
      </w:r>
      <w:r w:rsidR="00333340" w:rsidRPr="00333340">
        <w:rPr>
          <w:rFonts w:ascii="Arial" w:hAnsi="Arial" w:cs="Arial"/>
          <w:sz w:val="24"/>
        </w:rPr>
        <w:t>[7]</w:t>
      </w:r>
      <w:r w:rsidR="00B936F8">
        <w:rPr>
          <w:rFonts w:asciiTheme="minorBidi" w:hAnsiTheme="minorBidi"/>
          <w:sz w:val="24"/>
          <w:szCs w:val="24"/>
        </w:rPr>
        <w:fldChar w:fldCharType="end"/>
      </w:r>
      <w:r w:rsidR="00436FD0" w:rsidRPr="00436FD0">
        <w:rPr>
          <w:rFonts w:asciiTheme="minorBidi" w:hAnsiTheme="minorBidi"/>
          <w:sz w:val="24"/>
          <w:szCs w:val="24"/>
        </w:rPr>
        <w:t xml:space="preserve">. The best-fit model according to AIC was GTR+R5. The phylogenetic tree was edited using </w:t>
      </w:r>
      <w:proofErr w:type="spellStart"/>
      <w:r w:rsidR="00436FD0" w:rsidRPr="00436FD0">
        <w:rPr>
          <w:rFonts w:asciiTheme="minorBidi" w:hAnsiTheme="minorBidi"/>
          <w:sz w:val="24"/>
          <w:szCs w:val="24"/>
        </w:rPr>
        <w:t>iTOL</w:t>
      </w:r>
      <w:proofErr w:type="spellEnd"/>
      <w:r w:rsidR="00436FD0" w:rsidRPr="00436FD0">
        <w:rPr>
          <w:rFonts w:asciiTheme="minorBidi" w:hAnsiTheme="minorBidi"/>
          <w:sz w:val="24"/>
          <w:szCs w:val="24"/>
        </w:rPr>
        <w:t xml:space="preserve"> v6 (Interactive Tree of Life software, https://itol.embl.de/). </w:t>
      </w:r>
    </w:p>
    <w:p w14:paraId="3D83D65E" w14:textId="73252984" w:rsidR="00436FD0" w:rsidRPr="00436FD0" w:rsidRDefault="00436FD0" w:rsidP="00333340">
      <w:pPr>
        <w:spacing w:line="360" w:lineRule="auto"/>
        <w:rPr>
          <w:rFonts w:asciiTheme="minorBidi" w:hAnsiTheme="minorBidi"/>
          <w:sz w:val="24"/>
          <w:szCs w:val="24"/>
        </w:rPr>
      </w:pPr>
      <w:r w:rsidRPr="00436FD0">
        <w:rPr>
          <w:rFonts w:asciiTheme="minorBidi" w:hAnsiTheme="minorBidi"/>
          <w:sz w:val="24"/>
          <w:szCs w:val="24"/>
        </w:rPr>
        <w:t xml:space="preserve">Average nucleotide identity (ANI) values based on BLASTN analysis were obtained using </w:t>
      </w:r>
      <w:proofErr w:type="spellStart"/>
      <w:r w:rsidRPr="00436FD0">
        <w:rPr>
          <w:rFonts w:asciiTheme="minorBidi" w:hAnsiTheme="minorBidi"/>
          <w:sz w:val="24"/>
          <w:szCs w:val="24"/>
        </w:rPr>
        <w:t>JSpeciesWS</w:t>
      </w:r>
      <w:proofErr w:type="spellEnd"/>
      <w:r w:rsidRPr="00436FD0">
        <w:rPr>
          <w:rFonts w:asciiTheme="minorBidi" w:hAnsiTheme="minorBidi"/>
          <w:sz w:val="24"/>
          <w:szCs w:val="24"/>
        </w:rPr>
        <w:t xml:space="preserve"> (https://jspecies.ribohost.com/jspeciesws/#home) </w:t>
      </w:r>
      <w:r w:rsidR="00B43268">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{"citationID":"QoATvkc9","properties":{"formattedCitation":"[8]","plainCitation":"[8]","noteIndex":0},"citationItems":[{"id":455,"uris":["http://zotero.org/users/14340923/items/MG87JYVV"],"itemData":{"id":455,"type":"article-journal","abstract":"Summary: JSpecies Web Server (JSpeciesWS) is a user-friendly online service for in silico calculating the extent of identity between two genomes, a parameter routinely used in the process of polyphasic microbial species circumscription. The service measures the average nucleotide identity (ANI) based on BLAST+ (ANIb) and MUMmer (ANIm), as well as correlation indexes of tetra-nucleotide signatures (Tetra). In addition, it provides a Tetra Correlation Search function, which allows to rapidly compare selected genomes against a continuously updated reference database with currently about 32 000 published whole and draft genome sequences. For comparison, own genomes can be uploaded and references can be selected from the JSpeciesWS reference database. The service indicates whether two genomes share genomic identities above or below the species embracing thresholds, and serves as a fast way to allocate unknown genomes in the frame of the hitherto sequenced species.Availability and implementation: JSpeciesWS is available at http://jspecies.ribohost.com/jspeciesws.Supplementary information: Supplementary data are available at Bioinformatics online.Contact:  mrichter@ribocon.com","container-title":"Bioinformatics","DOI":"10.1093/bioinformatics/btv681","ISSN":"1367-4803","issue":"6","journalAbbreviation":"Bioinformatics","page":"929-931","source":"Silverchair","title":"JSpeciesWS: a web server for prokaryotic species circumscription based on pairwise genome comparison","title-short":"JSpeciesWS","volume":"32","author":[{"family":"Richter","given":"Michael"},{"family":"Rosselló-Móra","given":"Ramon"},{"family":"Oliver Glöckner","given":"Frank"},{"family":"Peplies","given":"Jörg"}],"issued":{"date-parts":[["2016",3,15]]}}}],"schema":"https://github.com/citation-style-language/schema/raw/master/csl-citation.json"} </w:instrText>
      </w:r>
      <w:r w:rsidR="00B43268">
        <w:rPr>
          <w:rFonts w:asciiTheme="minorBidi" w:hAnsiTheme="minorBidi"/>
          <w:sz w:val="24"/>
          <w:szCs w:val="24"/>
        </w:rPr>
        <w:fldChar w:fldCharType="separate"/>
      </w:r>
      <w:r w:rsidR="00333340" w:rsidRPr="00333340">
        <w:rPr>
          <w:rFonts w:ascii="Arial" w:hAnsi="Arial" w:cs="Arial"/>
          <w:sz w:val="24"/>
        </w:rPr>
        <w:t>[8]</w:t>
      </w:r>
      <w:r w:rsidR="00B43268">
        <w:rPr>
          <w:rFonts w:asciiTheme="minorBidi" w:hAnsiTheme="minorBidi"/>
          <w:sz w:val="24"/>
          <w:szCs w:val="24"/>
        </w:rPr>
        <w:fldChar w:fldCharType="end"/>
      </w:r>
      <w:r w:rsidR="00B43268">
        <w:rPr>
          <w:rFonts w:asciiTheme="minorBidi" w:hAnsiTheme="minorBidi"/>
          <w:sz w:val="24"/>
          <w:szCs w:val="24"/>
        </w:rPr>
        <w:t xml:space="preserve"> </w:t>
      </w:r>
      <w:r w:rsidRPr="00436FD0">
        <w:rPr>
          <w:rFonts w:asciiTheme="minorBidi" w:hAnsiTheme="minorBidi"/>
          <w:sz w:val="24"/>
          <w:szCs w:val="24"/>
        </w:rPr>
        <w:t xml:space="preserve">as an additional assessment of interspecies genomic similarity. </w:t>
      </w:r>
    </w:p>
    <w:p w14:paraId="05C3A3E0" w14:textId="22C4582F" w:rsidR="00436FD0" w:rsidRPr="00E068E4" w:rsidRDefault="00A52B8D" w:rsidP="00436FD0">
      <w:pPr>
        <w:spacing w:line="360" w:lineRule="auto"/>
        <w:rPr>
          <w:rFonts w:asciiTheme="minorBidi" w:hAnsiTheme="minorBidi"/>
          <w:sz w:val="24"/>
          <w:szCs w:val="24"/>
          <w:u w:val="single"/>
        </w:rPr>
      </w:pPr>
      <w:r w:rsidRPr="00E068E4">
        <w:rPr>
          <w:rFonts w:asciiTheme="minorBidi" w:hAnsiTheme="minorBidi"/>
          <w:sz w:val="24"/>
          <w:szCs w:val="24"/>
          <w:u w:val="single"/>
        </w:rPr>
        <w:t xml:space="preserve">Pathogenicity prediction, </w:t>
      </w:r>
      <w:r w:rsidR="00436FD0" w:rsidRPr="00E068E4">
        <w:rPr>
          <w:rFonts w:asciiTheme="minorBidi" w:hAnsiTheme="minorBidi"/>
          <w:sz w:val="24"/>
          <w:szCs w:val="24"/>
          <w:u w:val="single"/>
        </w:rPr>
        <w:t>Antibiotic resistance, and virulence factors prediction</w:t>
      </w:r>
    </w:p>
    <w:p w14:paraId="51305977" w14:textId="5E7F9C85" w:rsidR="001933AA" w:rsidRDefault="00436FD0" w:rsidP="00333340">
      <w:pPr>
        <w:spacing w:line="360" w:lineRule="auto"/>
        <w:rPr>
          <w:rFonts w:asciiTheme="minorBidi" w:hAnsiTheme="minorBidi"/>
          <w:sz w:val="24"/>
          <w:szCs w:val="24"/>
          <w:u w:val="single"/>
        </w:rPr>
      </w:pPr>
      <w:bookmarkStart w:id="1" w:name="_Hlk179789098"/>
      <w:r w:rsidRPr="00436FD0">
        <w:rPr>
          <w:rFonts w:asciiTheme="minorBidi" w:hAnsiTheme="minorBidi"/>
          <w:sz w:val="24"/>
          <w:szCs w:val="24"/>
        </w:rPr>
        <w:t xml:space="preserve">Gene prediction was carried out using </w:t>
      </w:r>
      <w:proofErr w:type="spellStart"/>
      <w:r w:rsidRPr="00436FD0">
        <w:rPr>
          <w:rFonts w:asciiTheme="minorBidi" w:hAnsiTheme="minorBidi"/>
          <w:sz w:val="24"/>
          <w:szCs w:val="24"/>
        </w:rPr>
        <w:t>Prokka</w:t>
      </w:r>
      <w:proofErr w:type="spellEnd"/>
      <w:r w:rsidRPr="00436FD0">
        <w:rPr>
          <w:rFonts w:asciiTheme="minorBidi" w:hAnsiTheme="minorBidi"/>
          <w:sz w:val="24"/>
          <w:szCs w:val="24"/>
        </w:rPr>
        <w:t xml:space="preserve"> version 1.14.6 </w:t>
      </w:r>
      <w:r w:rsidR="001A23BC">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{"citationID":"9CeenDCB","properties":{"formattedCitation":"[9]","plainCitation":"[9]","noteIndex":0},"citationItems":[{"id":223,"uris":["http://zotero.org/users/14340923/items/KMNQC3I7"],"itemData":{"id":223,"type":"article-journal","abstract":"Summary: The multiplex capability and high yield of current day DNA-sequencing instruments has made bacterial whole genome sequencing a routine affair. The subsequent de novo assembly of reads into contigs has been well addressed. The final step of annotating all relevant genomic features on those contigs can be achieved slowly using existing web- and email-based systems, but these are not applicable for sensitive data or integrating into computational pipelines. Here we introduce Prokka, a command line software tool to fully annotate a draft bacterial genome in about 10 min on a typical desktop computer. It produces standards-compliant output files for further analysis or viewing in genome browsers. Availability and implementation: Prokka is implemented in Perl and is freely available under an open source GPLv2 license from http://vicbioinformatics.com/ . Contact:  torsten.seemann@monash.edu","container-title":"Bioinformatics","DOI":"10.1093/bioinformatics/btu153","ISSN":"1367-4803","issue":"14","journalAbbreviation":"Bioinformatics","page":"2068-2069","source":"Silverchair","title":"Prokka: rapid prokaryotic genome annotation","title-short":"Prokka","volume":"30","author":[{"family":"Seemann","given":"Torsten"}],"issued":{"date-parts":[["2014",7,15]]}}}],"schema":"https://github.com/citation-style-language/schema/raw/master/csl-citation.json"} </w:instrText>
      </w:r>
      <w:r w:rsidR="001A23BC">
        <w:rPr>
          <w:rFonts w:asciiTheme="minorBidi" w:hAnsiTheme="minorBidi"/>
          <w:sz w:val="24"/>
          <w:szCs w:val="24"/>
        </w:rPr>
        <w:fldChar w:fldCharType="separate"/>
      </w:r>
      <w:r w:rsidR="00333340" w:rsidRPr="00333340">
        <w:rPr>
          <w:rFonts w:ascii="Arial" w:hAnsi="Arial" w:cs="Arial"/>
          <w:sz w:val="24"/>
        </w:rPr>
        <w:t>[9]</w:t>
      </w:r>
      <w:r w:rsidR="001A23BC">
        <w:rPr>
          <w:rFonts w:asciiTheme="minorBidi" w:hAnsiTheme="minorBidi"/>
          <w:sz w:val="24"/>
          <w:szCs w:val="24"/>
        </w:rPr>
        <w:fldChar w:fldCharType="end"/>
      </w:r>
      <w:r w:rsidRPr="00436FD0">
        <w:rPr>
          <w:rFonts w:asciiTheme="minorBidi" w:hAnsiTheme="minorBidi"/>
          <w:sz w:val="24"/>
          <w:szCs w:val="24"/>
        </w:rPr>
        <w:t xml:space="preserve">. </w:t>
      </w:r>
      <w:bookmarkEnd w:id="1"/>
      <w:r w:rsidR="00493978" w:rsidRPr="00493978">
        <w:rPr>
          <w:rFonts w:asciiTheme="minorBidi" w:hAnsiTheme="minorBidi"/>
          <w:sz w:val="24"/>
          <w:szCs w:val="24"/>
        </w:rPr>
        <w:t xml:space="preserve">An analysis of potential pathogenic proteins was conducted using </w:t>
      </w:r>
      <w:proofErr w:type="spellStart"/>
      <w:r w:rsidR="00493978" w:rsidRPr="00493978">
        <w:rPr>
          <w:rFonts w:asciiTheme="minorBidi" w:hAnsiTheme="minorBidi"/>
          <w:sz w:val="24"/>
          <w:szCs w:val="24"/>
        </w:rPr>
        <w:t>PathogenFinder</w:t>
      </w:r>
      <w:proofErr w:type="spellEnd"/>
      <w:r w:rsidR="00493978" w:rsidRPr="00493978">
        <w:rPr>
          <w:rFonts w:asciiTheme="minorBidi" w:hAnsiTheme="minorBidi"/>
          <w:sz w:val="24"/>
          <w:szCs w:val="24"/>
        </w:rPr>
        <w:t xml:space="preserve">. </w:t>
      </w:r>
      <w:proofErr w:type="spellStart"/>
      <w:r w:rsidR="00493978" w:rsidRPr="00493978">
        <w:rPr>
          <w:rFonts w:asciiTheme="minorBidi" w:hAnsiTheme="minorBidi"/>
          <w:sz w:val="24"/>
          <w:szCs w:val="24"/>
        </w:rPr>
        <w:t>PathogenFinder</w:t>
      </w:r>
      <w:proofErr w:type="spellEnd"/>
      <w:r w:rsidR="00493978" w:rsidRPr="00493978">
        <w:rPr>
          <w:rFonts w:asciiTheme="minorBidi" w:hAnsiTheme="minorBidi"/>
          <w:sz w:val="24"/>
          <w:szCs w:val="24"/>
        </w:rPr>
        <w:t xml:space="preserve"> calculates a score of potential pathogenicity according to the presence of known pathogenic proteins families versus non-pathogenic protein </w:t>
      </w:r>
      <w:r w:rsidR="00692EE2" w:rsidRPr="00493978">
        <w:rPr>
          <w:rFonts w:asciiTheme="minorBidi" w:hAnsiTheme="minorBidi"/>
          <w:sz w:val="24"/>
          <w:szCs w:val="24"/>
        </w:rPr>
        <w:t>families and</w:t>
      </w:r>
      <w:r w:rsidR="00885E37">
        <w:rPr>
          <w:rFonts w:asciiTheme="minorBidi" w:hAnsiTheme="minorBidi"/>
          <w:sz w:val="24"/>
          <w:szCs w:val="24"/>
        </w:rPr>
        <w:t xml:space="preserve"> </w:t>
      </w:r>
      <w:r w:rsidR="00493978" w:rsidRPr="00493978">
        <w:rPr>
          <w:rFonts w:asciiTheme="minorBidi" w:hAnsiTheme="minorBidi"/>
          <w:sz w:val="24"/>
          <w:szCs w:val="24"/>
        </w:rPr>
        <w:t xml:space="preserve">determines whether the bacteria is suspected to be a human pathogen or not (https://cge.food.dtu.dk/services/PathogenFinder/, </w:t>
      </w:r>
      <w:r w:rsidR="001A23BC">
        <w:rPr>
          <w:rFonts w:asciiTheme="minorBidi" w:hAnsiTheme="minorBidi"/>
          <w:sz w:val="24"/>
          <w:szCs w:val="24"/>
        </w:rPr>
        <w:fldChar w:fldCharType="begin"/>
      </w:r>
      <w:r w:rsidR="00333340">
        <w:rPr>
          <w:rFonts w:asciiTheme="minorBidi" w:hAnsiTheme="minorBidi"/>
          <w:sz w:val="24"/>
          <w:szCs w:val="24"/>
        </w:rPr>
        <w:instrText xml:space="preserve"> ADDIN ZOTERO_ITEM CSL_CITATION {"citationID":"oRHnCnJi","properties":{"formattedCitation":"[10]","plainCitation":"[10]","noteIndex":0},"citationItems":[{"id":23,"uris":["http://zotero.org/users/14340923/items/22TPU394"],"itemData":{"id":23,"type":"article-journal","abstract":"Although the majority of bacteria are harmless or even beneficial to their host, others are highly virulent and can cause serious diseases, and even death. Due to the constantly decreasing cost of high-throughput sequencing there are now many completely sequenced genomes available from both human pathogenic and innocuous strains. The data can be used to identify gene families that correlate with pathogenicity and to develop tools to predict the pathogenicity of newly sequenced strains, investigations that previously were mainly done by means of more expensive and time consuming experimental approaches. We describe PathogenFinder (http://cge.cbs.dtu.dk/services/PathogenFinder/), a web-server for the prediction of bacterial pathogenicity by analysing the input proteome, genome, or raw reads provided by the user. The method relies on groups of proteins, created without regard to their annotated function or known involvement in pathogenicity. The method has been built to work with all taxonomic groups of bacteria and using the entire training-set, achieved an accuracy of 88.6% on an independent test-set, by correctly classifying 398 out of 449 completely sequenced bacteria. The approach here proposed is not biased on sets of genes known to be associated with pathogenicity, thus the approach could aid the discovery of novel pathogenicity factors. Furthermore the pathogenicity prediction web-server could be used to isolate the potential pathogenic features of both known and unknown strains.","container-title":"PLoS ONE","DOI":"10.1371/journal.pone.0077302","ISSN":"1932-6203","issue":"10","journalAbbreviation":"PLoS One","note":"PMID: 24204795\nPMCID: PMC3810466","page":"e77302","source":"PubMed Central","title":"PathogenFinder - Distinguishing Friend from Foe Using Bacterial Whole Genome Sequence Data","volume":"8","author":[{"family":"Cosentino","given":"Salvatore"},{"family":"Voldby Larsen","given":"Mette"},{"family":"Møller Aarestrup","given":"Frank"},{"family":"Lund","given":"Ole"}],"issued":{"date-parts":[["2013",10,28]]}}}],"schema":"https://github.com/citation-style-language/schema/raw/master/csl-citation.json"} </w:instrText>
      </w:r>
      <w:r w:rsidR="001A23BC">
        <w:rPr>
          <w:rFonts w:asciiTheme="minorBidi" w:hAnsiTheme="minorBidi"/>
          <w:sz w:val="24"/>
          <w:szCs w:val="24"/>
        </w:rPr>
        <w:fldChar w:fldCharType="separate"/>
      </w:r>
      <w:r w:rsidR="00333340" w:rsidRPr="00333340">
        <w:rPr>
          <w:rFonts w:ascii="Arial" w:hAnsi="Arial" w:cs="Arial"/>
          <w:sz w:val="24"/>
        </w:rPr>
        <w:t>[10]</w:t>
      </w:r>
      <w:r w:rsidR="001A23BC">
        <w:rPr>
          <w:rFonts w:asciiTheme="minorBidi" w:hAnsiTheme="minorBidi"/>
          <w:sz w:val="24"/>
          <w:szCs w:val="24"/>
        </w:rPr>
        <w:fldChar w:fldCharType="end"/>
      </w:r>
      <w:r w:rsidR="001A23BC">
        <w:rPr>
          <w:rFonts w:asciiTheme="minorBidi" w:hAnsiTheme="minorBidi"/>
          <w:sz w:val="24"/>
          <w:szCs w:val="24"/>
        </w:rPr>
        <w:t xml:space="preserve"> </w:t>
      </w:r>
      <w:r w:rsidRPr="00436FD0">
        <w:rPr>
          <w:rFonts w:asciiTheme="minorBidi" w:hAnsiTheme="minorBidi"/>
          <w:sz w:val="24"/>
          <w:szCs w:val="24"/>
        </w:rPr>
        <w:t xml:space="preserve">Prediction of antibiotic resistance genes was done using </w:t>
      </w:r>
      <w:proofErr w:type="spellStart"/>
      <w:r w:rsidRPr="00436FD0">
        <w:rPr>
          <w:rFonts w:asciiTheme="minorBidi" w:hAnsiTheme="minorBidi"/>
          <w:sz w:val="24"/>
          <w:szCs w:val="24"/>
        </w:rPr>
        <w:t>ABRicate</w:t>
      </w:r>
      <w:proofErr w:type="spellEnd"/>
      <w:r w:rsidRPr="00436FD0">
        <w:rPr>
          <w:rFonts w:asciiTheme="minorBidi" w:hAnsiTheme="minorBidi"/>
          <w:sz w:val="24"/>
          <w:szCs w:val="24"/>
        </w:rPr>
        <w:t xml:space="preserve"> version 1.0.1 (Seemann T, </w:t>
      </w:r>
      <w:proofErr w:type="spellStart"/>
      <w:r w:rsidRPr="00436FD0">
        <w:rPr>
          <w:rFonts w:asciiTheme="minorBidi" w:hAnsiTheme="minorBidi"/>
          <w:sz w:val="24"/>
          <w:szCs w:val="24"/>
        </w:rPr>
        <w:t>Abricate</w:t>
      </w:r>
      <w:proofErr w:type="spellEnd"/>
      <w:r w:rsidRPr="00436FD0">
        <w:rPr>
          <w:rFonts w:asciiTheme="minorBidi" w:hAnsiTheme="minorBidi"/>
          <w:sz w:val="24"/>
          <w:szCs w:val="24"/>
        </w:rPr>
        <w:t xml:space="preserve">, </w:t>
      </w:r>
      <w:proofErr w:type="spellStart"/>
      <w:r w:rsidRPr="00436FD0">
        <w:rPr>
          <w:rFonts w:asciiTheme="minorBidi" w:hAnsiTheme="minorBidi"/>
          <w:sz w:val="24"/>
          <w:szCs w:val="24"/>
        </w:rPr>
        <w:t>Github</w:t>
      </w:r>
      <w:proofErr w:type="spellEnd"/>
      <w:r w:rsidRPr="00436FD0">
        <w:rPr>
          <w:rFonts w:asciiTheme="minorBidi" w:hAnsiTheme="minorBidi"/>
          <w:sz w:val="24"/>
          <w:szCs w:val="24"/>
        </w:rPr>
        <w:t xml:space="preserve"> </w:t>
      </w:r>
      <w:hyperlink r:id="rId8" w:history="1">
        <w:r w:rsidR="0067409B" w:rsidRPr="003A7B0B">
          <w:rPr>
            <w:rStyle w:val="Hyperlink"/>
            <w:rFonts w:asciiTheme="minorBidi" w:hAnsiTheme="minorBidi"/>
            <w:sz w:val="24"/>
            <w:szCs w:val="24"/>
          </w:rPr>
          <w:t>https://github.com/tseemann/abricate</w:t>
        </w:r>
      </w:hyperlink>
      <w:r w:rsidR="00817B69">
        <w:rPr>
          <w:rFonts w:asciiTheme="minorBidi" w:hAnsiTheme="minorBidi"/>
          <w:sz w:val="24"/>
          <w:szCs w:val="24"/>
        </w:rPr>
        <w:t xml:space="preserve"> </w:t>
      </w:r>
      <w:r w:rsidRPr="00436FD0">
        <w:rPr>
          <w:rFonts w:asciiTheme="minorBidi" w:hAnsiTheme="minorBidi"/>
          <w:sz w:val="24"/>
          <w:szCs w:val="24"/>
        </w:rPr>
        <w:t xml:space="preserve">https://github.com/tseemann/abricate) with NCBI </w:t>
      </w:r>
      <w:proofErr w:type="spellStart"/>
      <w:r w:rsidRPr="00436FD0">
        <w:rPr>
          <w:rFonts w:asciiTheme="minorBidi" w:hAnsiTheme="minorBidi"/>
          <w:sz w:val="24"/>
          <w:szCs w:val="24"/>
        </w:rPr>
        <w:t>AMRFinderPlus</w:t>
      </w:r>
      <w:proofErr w:type="spellEnd"/>
      <w:r w:rsidRPr="00436FD0">
        <w:rPr>
          <w:rFonts w:asciiTheme="minorBidi" w:hAnsiTheme="minorBidi"/>
          <w:sz w:val="24"/>
          <w:szCs w:val="24"/>
        </w:rPr>
        <w:t xml:space="preserve"> (</w:t>
      </w:r>
      <w:proofErr w:type="spellStart"/>
      <w:r w:rsidRPr="00436FD0">
        <w:rPr>
          <w:rFonts w:asciiTheme="minorBidi" w:hAnsiTheme="minorBidi"/>
          <w:sz w:val="24"/>
          <w:szCs w:val="24"/>
        </w:rPr>
        <w:t>Feldgarden</w:t>
      </w:r>
      <w:proofErr w:type="spellEnd"/>
      <w:r w:rsidRPr="00436FD0">
        <w:rPr>
          <w:rFonts w:asciiTheme="minorBidi" w:hAnsiTheme="minorBidi"/>
          <w:sz w:val="24"/>
          <w:szCs w:val="24"/>
        </w:rPr>
        <w:t xml:space="preserve"> et al., 2019), CARD (</w:t>
      </w:r>
      <w:r w:rsidR="00F108BB">
        <w:rPr>
          <w:rFonts w:asciiTheme="minorBidi" w:hAnsiTheme="minorBidi"/>
          <w:sz w:val="24"/>
          <w:szCs w:val="24"/>
        </w:rPr>
        <w:fldChar w:fldCharType="begin"/>
      </w:r>
      <w:r w:rsidR="008916E9">
        <w:rPr>
          <w:rFonts w:asciiTheme="minorBidi" w:hAnsiTheme="minorBidi"/>
          <w:sz w:val="24"/>
          <w:szCs w:val="24"/>
        </w:rPr>
        <w:instrText xml:space="preserve"> ADDIN ZOTERO_ITEM CSL_CITATION {"citationID":"hKqJbVS9","properties":{"formattedCitation":"[11]","plainCitation":"[11]","noteIndex":0},"citationItems":[{"id":343,"uris":["http://zotero.org/users/14340923/items/W3TXLZQT"],"itemData":{"id":343,"type":"article-journal","abstract":"The Comprehensive Antibiotic Resistance Database (CARD; http://arpcard.mcmaster.ca) is a manually curated resource containing high quality reference data on the molecular basis of antimicrobial resistance (AMR), with an emphasis on the genes, proteins and mutations involved in AMR. CARD is ontologically structured, model centric, and spans the breadth of AMR drug classes and resistance mechanisms, including intrinsic, mutation-driven and acquired resistance. It is built upon the Antibiotic Resistance Ontology (ARO), a custom built, interconnected and hierarchical controlled vocabulary allowing advanced data sharing and organization. Its design allows the development of novel genome analysis tools, such as the Resistance Gene Identifier (RGI) for resistome prediction from raw genome sequence. Recent improvements include extensive curation of additional reference sequences and mutations, development of a unique Model Ontology and accompanying AMR detection models to power sequence analysis, new visualization tools, and expansion of the RGI for detection of emergent AMR threats. CARD curation is updated monthly based on an interplay of manual literature curation, computational text mining, and genome analysis.","container-title":"Nucleic Acids Research","DOI":"10.1093/nar/gkw1004","ISSN":"1362-4962","issue":"D1","journalAbbreviation":"Nucleic Acids Res","language":"eng","note":"PMID: 27789705\nPMCID: PMC5210516","page":"D566-D573","source":"PubMed","title":"CARD 2017: expansion and model-centric curation of the comprehensive antibiotic resistance database","title-short":"CARD 2017","volume":"45","author":[{"family":"Jia","given":"Baofeng"},{"family":"Raphenya","given":"Amogelang R."},{"family":"Alcock","given":"Brian"},{"family":"Waglechner","given":"Nicholas"},{"family":"Guo","given":"Peiyao"},{"family":"Tsang","given":"Kara K."},{"family":"Lago","given":"Briony A."},{"family":"Dave","given":"Biren M."},{"family":"Pereira","given":"Sheldon"},{"family":"Sharma","given":"Arjun N."},{"family":"Doshi","given":"Sachin"},{"family":"Courtot","given":"Mélanie"},{"family":"Lo","given":"Raymond"},{"family":"Williams","given":"Laura E."},{"family":"Frye","given":"Jonathan G."},{"family":"Elsayegh","given":"Tariq"},{"family":"Sardar","given":"Daim"},{"family":"Westman","given":"Erin L."},{"family":"Pawlowski","given":"Andrew C."},{"family":"Johnson","given":"Timothy A."},{"family":"Brinkman","given":"Fiona S. L."},{"family":"Wright","given":"Gerard D."},{"family":"McArthur","given":"Andrew G."}],"issued":{"date-parts":[["2017",1,4]]}}}],"schema":"https://github.com/citation-style-language/schema/raw/master/csl-citation.json"} </w:instrText>
      </w:r>
      <w:r w:rsidR="00F108BB">
        <w:rPr>
          <w:rFonts w:asciiTheme="minorBidi" w:hAnsiTheme="minorBidi"/>
          <w:sz w:val="24"/>
          <w:szCs w:val="24"/>
        </w:rPr>
        <w:fldChar w:fldCharType="separate"/>
      </w:r>
      <w:r w:rsidR="00333340" w:rsidRPr="00333340">
        <w:rPr>
          <w:rFonts w:ascii="Arial" w:hAnsi="Arial" w:cs="Arial"/>
          <w:sz w:val="24"/>
        </w:rPr>
        <w:t>[11]</w:t>
      </w:r>
      <w:r w:rsidR="00F108BB">
        <w:rPr>
          <w:rFonts w:asciiTheme="minorBidi" w:hAnsiTheme="minorBidi"/>
          <w:sz w:val="24"/>
          <w:szCs w:val="24"/>
        </w:rPr>
        <w:fldChar w:fldCharType="end"/>
      </w:r>
      <w:r w:rsidR="00F108BB">
        <w:rPr>
          <w:rFonts w:asciiTheme="minorBidi" w:hAnsiTheme="minorBidi"/>
          <w:sz w:val="24"/>
          <w:szCs w:val="24"/>
        </w:rPr>
        <w:t xml:space="preserve"> </w:t>
      </w:r>
      <w:r w:rsidRPr="00436FD0">
        <w:rPr>
          <w:rFonts w:asciiTheme="minorBidi" w:hAnsiTheme="minorBidi"/>
          <w:sz w:val="24"/>
          <w:szCs w:val="24"/>
        </w:rPr>
        <w:t>The Comprehensive Antibiotic Resistance Database, https://card.mcmaster.ca/) and VFDB (</w:t>
      </w:r>
      <w:r w:rsidR="00F108BB">
        <w:rPr>
          <w:rFonts w:asciiTheme="minorBidi" w:hAnsiTheme="minorBidi"/>
          <w:sz w:val="24"/>
          <w:szCs w:val="24"/>
        </w:rPr>
        <w:fldChar w:fldCharType="begin"/>
      </w:r>
      <w:r w:rsidR="008916E9">
        <w:rPr>
          <w:rFonts w:asciiTheme="minorBidi" w:hAnsiTheme="minorBidi"/>
          <w:sz w:val="24"/>
          <w:szCs w:val="24"/>
        </w:rPr>
        <w:instrText xml:space="preserve"> ADDIN ZOTERO_ITEM CSL_CITATION {"citationID":"OgOUpGaE","properties":{"formattedCitation":"[12]","plainCitation":"[12]","noteIndex":0},"citationItems":[{"id":347,"uris":["http://zotero.org/users/14340923/items/AL5283KD"],"itemData":{"id":347,"type":"article-journal","abstract":"The virulence factor database (VFDB, http://www.mgc.ac.cn/VFs/) is dedicated to providing up-to-date knowledge of virulence factors (VFs) of various bacterial pathogens. Since its inception the VFDB has served as a comprehensive repository of bacterial VFs for over a decade. The exponential growth in the amount of biological data is challenging to the current database in regard to big data analysis. We recently improved two aspects of the infrastructural dataset of VFDB: (i) removed the redundancy introduced by previous releases and generated two hierarchical datasets--one core dataset of experimentally verified VFs only and another full dataset including all known and predicted VFs and (ii) refined the gene annotation of the core dataset with controlled vocabularies. Our efforts enhanced the data quality of the VFDB and promoted the usability of the database in the big data era for the bioinformatic mining of the explosively growing data regarding bacterial VFs.","container-title":"Nucleic Acids Research","DOI":"10.1093/nar/gkv1239","ISSN":"1362-4962","issue":"D1","journalAbbreviation":"Nucleic Acids Res","language":"eng","note":"PMID: 26578559\nPMCID: PMC4702877","page":"D694-697","source":"PubMed","title":"VFDB 2016: hierarchical and refined dataset for big data analysis--10 years on","title-short":"VFDB 2016","volume":"44","author":[{"family":"Chen","given":"Lihong"},{"family":"Zheng","given":"Dandan"},{"family":"Liu","given":"Bo"},{"family":"Yang","given":"Jian"},{"family":"Jin","given":"Qi"}],"issued":{"date-parts":[["2016",1,4]]}}}],"schema":"https://github.com/citation-style-language/schema/raw/master/csl-citation.json"} </w:instrText>
      </w:r>
      <w:r w:rsidR="00F108BB">
        <w:rPr>
          <w:rFonts w:asciiTheme="minorBidi" w:hAnsiTheme="minorBidi"/>
          <w:sz w:val="24"/>
          <w:szCs w:val="24"/>
        </w:rPr>
        <w:fldChar w:fldCharType="separate"/>
      </w:r>
      <w:r w:rsidR="00333340" w:rsidRPr="00333340">
        <w:rPr>
          <w:rFonts w:ascii="Arial" w:hAnsi="Arial" w:cs="Arial"/>
          <w:sz w:val="24"/>
        </w:rPr>
        <w:t>[12]</w:t>
      </w:r>
      <w:r w:rsidR="00F108BB">
        <w:rPr>
          <w:rFonts w:asciiTheme="minorBidi" w:hAnsiTheme="minorBidi"/>
          <w:sz w:val="24"/>
          <w:szCs w:val="24"/>
        </w:rPr>
        <w:fldChar w:fldCharType="end"/>
      </w:r>
      <w:r w:rsidRPr="00436FD0">
        <w:rPr>
          <w:rFonts w:asciiTheme="minorBidi" w:hAnsiTheme="minorBidi"/>
          <w:sz w:val="24"/>
          <w:szCs w:val="24"/>
        </w:rPr>
        <w:t xml:space="preserve"> Virulence Factor Database, http://www.mgc.ac.cn/VFs/) and </w:t>
      </w:r>
      <w:proofErr w:type="spellStart"/>
      <w:r w:rsidRPr="00436FD0">
        <w:rPr>
          <w:rFonts w:asciiTheme="minorBidi" w:hAnsiTheme="minorBidi"/>
          <w:sz w:val="24"/>
          <w:szCs w:val="24"/>
        </w:rPr>
        <w:t>Ecoli</w:t>
      </w:r>
      <w:proofErr w:type="spellEnd"/>
      <w:r w:rsidRPr="00436FD0">
        <w:rPr>
          <w:rFonts w:asciiTheme="minorBidi" w:hAnsiTheme="minorBidi"/>
          <w:sz w:val="24"/>
          <w:szCs w:val="24"/>
        </w:rPr>
        <w:t xml:space="preserve"> VF (https://github.com/phac-nml/ecoli_vf) databases, with a minimum identity threshold of 80% and minimum coverage of 80%.</w:t>
      </w:r>
    </w:p>
    <w:p w14:paraId="502A2739" w14:textId="69414C6C" w:rsidR="000B7A74" w:rsidRDefault="00B05606" w:rsidP="000B7A74">
      <w:pPr>
        <w:spacing w:line="240" w:lineRule="auto"/>
        <w:rPr>
          <w:rFonts w:asciiTheme="minorBidi" w:hAnsiTheme="minorBidi"/>
          <w:sz w:val="24"/>
          <w:szCs w:val="24"/>
        </w:rPr>
      </w:pPr>
      <w:r>
        <w:rPr>
          <w:rFonts w:asciiTheme="minorBidi" w:hAnsiTheme="minorBidi"/>
          <w:sz w:val="24"/>
          <w:szCs w:val="24"/>
        </w:rPr>
        <w:t xml:space="preserve"> </w:t>
      </w:r>
    </w:p>
    <w:p w14:paraId="53C25F82" w14:textId="77777777" w:rsidR="00DE7404" w:rsidRDefault="00DE7404" w:rsidP="000B7A74">
      <w:pPr>
        <w:spacing w:line="240" w:lineRule="auto"/>
        <w:rPr>
          <w:rFonts w:asciiTheme="minorBidi" w:hAnsiTheme="minorBidi"/>
          <w:sz w:val="24"/>
          <w:szCs w:val="24"/>
        </w:rPr>
      </w:pPr>
    </w:p>
    <w:p w14:paraId="6B1148F8" w14:textId="77777777" w:rsidR="00DE7404" w:rsidRDefault="00DE7404" w:rsidP="000B7A74">
      <w:pPr>
        <w:spacing w:line="240" w:lineRule="auto"/>
        <w:rPr>
          <w:rFonts w:asciiTheme="minorBidi" w:hAnsiTheme="minorBidi"/>
          <w:b/>
          <w:bCs/>
          <w:sz w:val="24"/>
          <w:szCs w:val="24"/>
        </w:rPr>
      </w:pPr>
    </w:p>
    <w:p w14:paraId="0BEE8B1C" w14:textId="11977F84" w:rsidR="00E114E2" w:rsidRDefault="00E114E2">
      <w:pPr>
        <w:rPr>
          <w:rFonts w:asciiTheme="minorBidi" w:hAnsiTheme="minorBidi"/>
          <w:sz w:val="24"/>
          <w:szCs w:val="24"/>
        </w:rPr>
      </w:pPr>
    </w:p>
    <w:p w14:paraId="1DBC8E7C" w14:textId="7665F985" w:rsidR="00C958DE" w:rsidRPr="00C958DE" w:rsidRDefault="00C958DE">
      <w:pPr>
        <w:rPr>
          <w:rFonts w:asciiTheme="minorBidi" w:hAnsiTheme="minorBidi"/>
          <w:b/>
          <w:bCs/>
          <w:sz w:val="24"/>
          <w:szCs w:val="24"/>
        </w:rPr>
      </w:pPr>
      <w:r w:rsidRPr="00C958DE">
        <w:rPr>
          <w:rFonts w:asciiTheme="minorBidi" w:hAnsiTheme="minorBidi"/>
          <w:b/>
          <w:bCs/>
          <w:sz w:val="24"/>
          <w:szCs w:val="24"/>
        </w:rPr>
        <w:lastRenderedPageBreak/>
        <w:t>References</w:t>
      </w:r>
    </w:p>
    <w:p w14:paraId="51F3F275" w14:textId="77777777" w:rsidR="00333340" w:rsidRPr="00333340" w:rsidRDefault="00C958DE" w:rsidP="00333340">
      <w:pPr>
        <w:pStyle w:val="Bibliography"/>
        <w:rPr>
          <w:rFonts w:ascii="Arial" w:hAnsi="Arial" w:cs="Arial"/>
          <w:sz w:val="24"/>
        </w:rPr>
      </w:pPr>
      <w:r>
        <w:rPr>
          <w:rFonts w:asciiTheme="minorBidi" w:hAnsiTheme="minorBidi"/>
          <w:sz w:val="24"/>
          <w:szCs w:val="24"/>
        </w:rPr>
        <w:fldChar w:fldCharType="begin"/>
      </w:r>
      <w:r w:rsidR="00333340">
        <w:rPr>
          <w:rFonts w:asciiTheme="minorBidi" w:hAnsiTheme="minorBidi"/>
          <w:sz w:val="24"/>
          <w:szCs w:val="24"/>
        </w:rPr>
        <w:instrText xml:space="preserve"> ADDIN ZOTERO_BIBL {"uncited":[],"omitted":[],"custom":[]} CSL_BIBLIOGRAPHY </w:instrText>
      </w:r>
      <w:r>
        <w:rPr>
          <w:rFonts w:asciiTheme="minorBidi" w:hAnsiTheme="minorBidi"/>
          <w:sz w:val="24"/>
          <w:szCs w:val="24"/>
        </w:rPr>
        <w:fldChar w:fldCharType="separate"/>
      </w:r>
      <w:r w:rsidR="00333340" w:rsidRPr="00333340">
        <w:rPr>
          <w:rFonts w:ascii="Arial" w:hAnsi="Arial" w:cs="Arial"/>
          <w:sz w:val="24"/>
        </w:rPr>
        <w:t>1. Meier-Kolthoff JP, Göker M. TYGS is an automated high-throughput platform for state-of-the-art genome-based taxonomy. Nat Commun. 2019;10:2182. doi:10.1038/s41467-019-10210-3</w:t>
      </w:r>
    </w:p>
    <w:p w14:paraId="16A94826" w14:textId="77777777" w:rsidR="00333340" w:rsidRPr="00333340" w:rsidRDefault="00333340" w:rsidP="00333340">
      <w:pPr>
        <w:pStyle w:val="Bibliography"/>
        <w:rPr>
          <w:rFonts w:ascii="Arial" w:hAnsi="Arial" w:cs="Arial"/>
          <w:sz w:val="24"/>
        </w:rPr>
      </w:pPr>
      <w:r w:rsidRPr="00333340">
        <w:rPr>
          <w:rFonts w:ascii="Arial" w:hAnsi="Arial" w:cs="Arial"/>
          <w:sz w:val="24"/>
        </w:rPr>
        <w:t>2. Parks DH, Chuvochina M, Rinke C, Mussig AJ, Chaumeil P-A, Hugenholtz P. GTDB: an ongoing census of bacterial and archaeal diversity through a phylogenetically consistent, rank normalized and complete genome-based taxonomy. Nucleic Acids Research. 2022;50:D785–94. doi:10.1093/nar/gkab776</w:t>
      </w:r>
    </w:p>
    <w:p w14:paraId="7741A4E1" w14:textId="77777777" w:rsidR="00333340" w:rsidRPr="00333340" w:rsidRDefault="00333340" w:rsidP="00333340">
      <w:pPr>
        <w:pStyle w:val="Bibliography"/>
        <w:rPr>
          <w:rFonts w:ascii="Arial" w:hAnsi="Arial" w:cs="Arial"/>
          <w:sz w:val="24"/>
        </w:rPr>
      </w:pPr>
      <w:r w:rsidRPr="00333340">
        <w:rPr>
          <w:rFonts w:ascii="Arial" w:hAnsi="Arial" w:cs="Arial"/>
          <w:sz w:val="24"/>
        </w:rPr>
        <w:t>3. Afgan E, Baker D, Batut B, van den Beek M, Bouvier D, Čech M, et al. The Galaxy platform for accessible, reproducible and collaborative biomedical analyses: 2018 update. Nucleic Acids Research. 2018;46:W537–44. doi:10.1093/nar/gky379</w:t>
      </w:r>
    </w:p>
    <w:p w14:paraId="2C5F4C18" w14:textId="77777777" w:rsidR="00333340" w:rsidRPr="00333340" w:rsidRDefault="00333340" w:rsidP="00333340">
      <w:pPr>
        <w:pStyle w:val="Bibliography"/>
        <w:rPr>
          <w:rFonts w:ascii="Arial" w:hAnsi="Arial" w:cs="Arial"/>
          <w:sz w:val="24"/>
        </w:rPr>
      </w:pPr>
      <w:r w:rsidRPr="00333340">
        <w:rPr>
          <w:rFonts w:ascii="Arial" w:hAnsi="Arial" w:cs="Arial"/>
          <w:sz w:val="24"/>
        </w:rPr>
        <w:t>4. Crosby KC, Rojas M, Sharma P, Johnson MA, Mazloom R, Kvitko BH, et al. Genomic delineation and description of species and within-species lineages in the genus Pantoea. Front Microbiol. 2023;14. doi:10.3389/fmicb.2023.1254999</w:t>
      </w:r>
    </w:p>
    <w:p w14:paraId="5EF6EE0A" w14:textId="77777777" w:rsidR="00333340" w:rsidRPr="00333340" w:rsidRDefault="00333340" w:rsidP="00333340">
      <w:pPr>
        <w:pStyle w:val="Bibliography"/>
        <w:rPr>
          <w:rFonts w:ascii="Arial" w:hAnsi="Arial" w:cs="Arial"/>
          <w:sz w:val="24"/>
        </w:rPr>
      </w:pPr>
      <w:r w:rsidRPr="00333340">
        <w:rPr>
          <w:rFonts w:ascii="Arial" w:hAnsi="Arial" w:cs="Arial"/>
          <w:sz w:val="24"/>
        </w:rPr>
        <w:t>5. Capella-Gutiérrez S, Silla-Martínez JM, Gabaldón T. trimAl: a tool for automated alignment trimming in large-scale phylogenetic analyses. Bioinformatics. 2009;25:1972–3. doi:10.1093/bioinformatics/btp348</w:t>
      </w:r>
    </w:p>
    <w:p w14:paraId="4216CDC0" w14:textId="77777777" w:rsidR="00333340" w:rsidRPr="00333340" w:rsidRDefault="00333340" w:rsidP="00333340">
      <w:pPr>
        <w:pStyle w:val="Bibliography"/>
        <w:rPr>
          <w:rFonts w:ascii="Arial" w:hAnsi="Arial" w:cs="Arial"/>
          <w:sz w:val="24"/>
        </w:rPr>
      </w:pPr>
      <w:r w:rsidRPr="00333340">
        <w:rPr>
          <w:rFonts w:ascii="Arial" w:hAnsi="Arial" w:cs="Arial"/>
          <w:sz w:val="24"/>
        </w:rPr>
        <w:t>6. Nguyen L-T, Schmidt HA, von Haeseler A, Minh BQ. IQ-TREE: A Fast and Effective Stochastic Algorithm for Estimating Maximum-Likelihood Phylogenies. Molecular Biology and Evolution. 2015;32:268–74. doi:10.1093/molbev/msu300</w:t>
      </w:r>
    </w:p>
    <w:p w14:paraId="7FE0099A" w14:textId="77777777" w:rsidR="00333340" w:rsidRPr="00333340" w:rsidRDefault="00333340" w:rsidP="00333340">
      <w:pPr>
        <w:pStyle w:val="Bibliography"/>
        <w:rPr>
          <w:rFonts w:ascii="Arial" w:hAnsi="Arial" w:cs="Arial"/>
          <w:sz w:val="24"/>
        </w:rPr>
      </w:pPr>
      <w:r w:rsidRPr="00333340">
        <w:rPr>
          <w:rFonts w:ascii="Arial" w:hAnsi="Arial" w:cs="Arial"/>
          <w:sz w:val="24"/>
        </w:rPr>
        <w:t>7. Hoang DT, Chernomor O, von Haeseler A, Minh BQ, Vinh LS. UFBoot2: Improving the Ultrafast Bootstrap Approximation. Molecular Biology and Evolution. 2018;35:518–22. doi:10.1093/molbev/msx281</w:t>
      </w:r>
    </w:p>
    <w:p w14:paraId="50DD4464" w14:textId="77777777" w:rsidR="00333340" w:rsidRPr="00333340" w:rsidRDefault="00333340" w:rsidP="00333340">
      <w:pPr>
        <w:pStyle w:val="Bibliography"/>
        <w:rPr>
          <w:rFonts w:ascii="Arial" w:hAnsi="Arial" w:cs="Arial"/>
          <w:sz w:val="24"/>
        </w:rPr>
      </w:pPr>
      <w:r w:rsidRPr="00333340">
        <w:rPr>
          <w:rFonts w:ascii="Arial" w:hAnsi="Arial" w:cs="Arial"/>
          <w:sz w:val="24"/>
        </w:rPr>
        <w:t>8. Richter M, Rosselló-Móra R, Oliver Glöckner F, Peplies J. JSpeciesWS: a web server for prokaryotic species circumscription based on pairwise genome comparison. Bioinformatics. 2016;32:929–31. doi:10.1093/bioinformatics/btv681</w:t>
      </w:r>
    </w:p>
    <w:p w14:paraId="53959C73" w14:textId="77777777" w:rsidR="00333340" w:rsidRPr="00333340" w:rsidRDefault="00333340" w:rsidP="00333340">
      <w:pPr>
        <w:pStyle w:val="Bibliography"/>
        <w:rPr>
          <w:rFonts w:ascii="Arial" w:hAnsi="Arial" w:cs="Arial"/>
          <w:sz w:val="24"/>
        </w:rPr>
      </w:pPr>
      <w:r w:rsidRPr="00333340">
        <w:rPr>
          <w:rFonts w:ascii="Arial" w:hAnsi="Arial" w:cs="Arial"/>
          <w:sz w:val="24"/>
        </w:rPr>
        <w:t>9. Seemann T. Prokka: rapid prokaryotic genome annotation. Bioinformatics. 2014;30:2068–9. doi:10.1093/bioinformatics/btu153</w:t>
      </w:r>
    </w:p>
    <w:p w14:paraId="2D9FC5BD" w14:textId="77777777" w:rsidR="00333340" w:rsidRPr="00333340" w:rsidRDefault="00333340" w:rsidP="00333340">
      <w:pPr>
        <w:pStyle w:val="Bibliography"/>
        <w:rPr>
          <w:rFonts w:ascii="Arial" w:hAnsi="Arial" w:cs="Arial"/>
          <w:sz w:val="24"/>
        </w:rPr>
      </w:pPr>
      <w:r w:rsidRPr="00333340">
        <w:rPr>
          <w:rFonts w:ascii="Arial" w:hAnsi="Arial" w:cs="Arial"/>
          <w:sz w:val="24"/>
        </w:rPr>
        <w:t>10. Cosentino S, Voldby Larsen M, Møller Aarestrup F, Lund O. PathogenFinder - Distinguishing Friend from Foe Using Bacterial Whole Genome Sequence Data. PLoS One. 2013;8:e77302. doi:10.1371/journal.pone.0077302</w:t>
      </w:r>
    </w:p>
    <w:p w14:paraId="6571B4F5" w14:textId="77777777" w:rsidR="00333340" w:rsidRPr="00333340" w:rsidRDefault="00333340" w:rsidP="00333340">
      <w:pPr>
        <w:pStyle w:val="Bibliography"/>
        <w:rPr>
          <w:rFonts w:ascii="Arial" w:hAnsi="Arial" w:cs="Arial"/>
          <w:sz w:val="24"/>
        </w:rPr>
      </w:pPr>
      <w:r w:rsidRPr="00333340">
        <w:rPr>
          <w:rFonts w:ascii="Arial" w:hAnsi="Arial" w:cs="Arial"/>
          <w:sz w:val="24"/>
        </w:rPr>
        <w:t>11. Jia B, Raphenya AR, Alcock B, Waglechner N, Guo P, Tsang KK, et al. CARD 2017: expansion and model-centric curation of the comprehensive antibiotic resistance database. Nucleic Acids Res. 2017;45:D566–73. doi:10.1093/nar/gkw1004</w:t>
      </w:r>
    </w:p>
    <w:p w14:paraId="5637F7EA" w14:textId="77777777" w:rsidR="00333340" w:rsidRPr="00333340" w:rsidRDefault="00333340" w:rsidP="00333340">
      <w:pPr>
        <w:pStyle w:val="Bibliography"/>
        <w:rPr>
          <w:rFonts w:ascii="Arial" w:hAnsi="Arial" w:cs="Arial"/>
          <w:sz w:val="24"/>
        </w:rPr>
      </w:pPr>
      <w:r w:rsidRPr="00333340">
        <w:rPr>
          <w:rFonts w:ascii="Arial" w:hAnsi="Arial" w:cs="Arial"/>
          <w:sz w:val="24"/>
        </w:rPr>
        <w:lastRenderedPageBreak/>
        <w:t>12. Chen L, Zheng D, Liu B, Yang J, Jin Q. VFDB 2016: hierarchical and refined dataset for big data analysis--10 years on. Nucleic Acids Res. 2016;44:D694-697. doi:10.1093/nar/gkv1239</w:t>
      </w:r>
    </w:p>
    <w:p w14:paraId="63B67765" w14:textId="65F637FC" w:rsidR="00C958DE" w:rsidRPr="0047463F" w:rsidRDefault="00C958DE">
      <w:pPr>
        <w:rPr>
          <w:rFonts w:asciiTheme="minorBidi" w:hAnsiTheme="minorBidi"/>
          <w:sz w:val="24"/>
          <w:szCs w:val="24"/>
        </w:rPr>
      </w:pPr>
      <w:r>
        <w:rPr>
          <w:rFonts w:asciiTheme="minorBidi" w:hAnsiTheme="minorBidi"/>
          <w:sz w:val="24"/>
          <w:szCs w:val="24"/>
        </w:rPr>
        <w:fldChar w:fldCharType="end"/>
      </w:r>
    </w:p>
    <w:sectPr w:rsidR="00C958DE" w:rsidRPr="004746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8DE22E9"/>
    <w:multiLevelType w:val="hybridMultilevel"/>
    <w:tmpl w:val="6218D0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4170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225"/>
    <w:rsid w:val="00006953"/>
    <w:rsid w:val="00013A06"/>
    <w:rsid w:val="00017A02"/>
    <w:rsid w:val="00080159"/>
    <w:rsid w:val="000923C4"/>
    <w:rsid w:val="000B74E4"/>
    <w:rsid w:val="000B7A74"/>
    <w:rsid w:val="000C0A61"/>
    <w:rsid w:val="000C63F1"/>
    <w:rsid w:val="000D157C"/>
    <w:rsid w:val="001933AA"/>
    <w:rsid w:val="001A23BC"/>
    <w:rsid w:val="001B747E"/>
    <w:rsid w:val="001F6291"/>
    <w:rsid w:val="00212731"/>
    <w:rsid w:val="00260BA4"/>
    <w:rsid w:val="00333340"/>
    <w:rsid w:val="00343A24"/>
    <w:rsid w:val="00374368"/>
    <w:rsid w:val="003B7417"/>
    <w:rsid w:val="00401B42"/>
    <w:rsid w:val="00436FD0"/>
    <w:rsid w:val="00471846"/>
    <w:rsid w:val="0047463F"/>
    <w:rsid w:val="00493978"/>
    <w:rsid w:val="004A3F4E"/>
    <w:rsid w:val="004C7A77"/>
    <w:rsid w:val="004E15F7"/>
    <w:rsid w:val="004E25B4"/>
    <w:rsid w:val="00537C57"/>
    <w:rsid w:val="00562D05"/>
    <w:rsid w:val="005F580C"/>
    <w:rsid w:val="00662553"/>
    <w:rsid w:val="00662928"/>
    <w:rsid w:val="0067409B"/>
    <w:rsid w:val="00686226"/>
    <w:rsid w:val="00690E49"/>
    <w:rsid w:val="00692EE2"/>
    <w:rsid w:val="00697933"/>
    <w:rsid w:val="006A50E8"/>
    <w:rsid w:val="006B26A3"/>
    <w:rsid w:val="0070262C"/>
    <w:rsid w:val="00703225"/>
    <w:rsid w:val="0076108B"/>
    <w:rsid w:val="00771648"/>
    <w:rsid w:val="007B49D1"/>
    <w:rsid w:val="007B55FF"/>
    <w:rsid w:val="007E6B8C"/>
    <w:rsid w:val="00805052"/>
    <w:rsid w:val="00810CC0"/>
    <w:rsid w:val="00817B69"/>
    <w:rsid w:val="0082546F"/>
    <w:rsid w:val="00836945"/>
    <w:rsid w:val="00864D17"/>
    <w:rsid w:val="00870019"/>
    <w:rsid w:val="00876296"/>
    <w:rsid w:val="00885562"/>
    <w:rsid w:val="00885E37"/>
    <w:rsid w:val="008916E9"/>
    <w:rsid w:val="008D6498"/>
    <w:rsid w:val="0096591A"/>
    <w:rsid w:val="0096603C"/>
    <w:rsid w:val="00980EE1"/>
    <w:rsid w:val="009B1244"/>
    <w:rsid w:val="00A1718F"/>
    <w:rsid w:val="00A41CD2"/>
    <w:rsid w:val="00A52B8D"/>
    <w:rsid w:val="00AB2E11"/>
    <w:rsid w:val="00AD02FD"/>
    <w:rsid w:val="00AD0F47"/>
    <w:rsid w:val="00AE4548"/>
    <w:rsid w:val="00B05606"/>
    <w:rsid w:val="00B16010"/>
    <w:rsid w:val="00B21351"/>
    <w:rsid w:val="00B37750"/>
    <w:rsid w:val="00B43268"/>
    <w:rsid w:val="00B53368"/>
    <w:rsid w:val="00B936F8"/>
    <w:rsid w:val="00C958DE"/>
    <w:rsid w:val="00DA6B34"/>
    <w:rsid w:val="00DE7404"/>
    <w:rsid w:val="00E00D3E"/>
    <w:rsid w:val="00E068E4"/>
    <w:rsid w:val="00E114E2"/>
    <w:rsid w:val="00E14255"/>
    <w:rsid w:val="00E4107B"/>
    <w:rsid w:val="00E8048D"/>
    <w:rsid w:val="00E84A6C"/>
    <w:rsid w:val="00E95F36"/>
    <w:rsid w:val="00F108BB"/>
    <w:rsid w:val="00FB465F"/>
    <w:rsid w:val="00FC5E55"/>
    <w:rsid w:val="00FF76A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D083F1"/>
  <w15:chartTrackingRefBased/>
  <w15:docId w15:val="{13E5BE1C-F3F0-42C8-9C4D-6380F772A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32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32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32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32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32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32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32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32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32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32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32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32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32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32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32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32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32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3225"/>
    <w:rPr>
      <w:rFonts w:eastAsiaTheme="majorEastAsia" w:cstheme="majorBidi"/>
      <w:color w:val="272727" w:themeColor="text1" w:themeTint="D8"/>
    </w:rPr>
  </w:style>
  <w:style w:type="paragraph" w:styleId="Title">
    <w:name w:val="Title"/>
    <w:basedOn w:val="Normal"/>
    <w:next w:val="Normal"/>
    <w:link w:val="TitleChar"/>
    <w:uiPriority w:val="10"/>
    <w:qFormat/>
    <w:rsid w:val="007032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32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32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32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3225"/>
    <w:pPr>
      <w:spacing w:before="160"/>
      <w:jc w:val="center"/>
    </w:pPr>
    <w:rPr>
      <w:i/>
      <w:iCs/>
      <w:color w:val="404040" w:themeColor="text1" w:themeTint="BF"/>
    </w:rPr>
  </w:style>
  <w:style w:type="character" w:customStyle="1" w:styleId="QuoteChar">
    <w:name w:val="Quote Char"/>
    <w:basedOn w:val="DefaultParagraphFont"/>
    <w:link w:val="Quote"/>
    <w:uiPriority w:val="29"/>
    <w:rsid w:val="00703225"/>
    <w:rPr>
      <w:i/>
      <w:iCs/>
      <w:color w:val="404040" w:themeColor="text1" w:themeTint="BF"/>
    </w:rPr>
  </w:style>
  <w:style w:type="paragraph" w:styleId="ListParagraph">
    <w:name w:val="List Paragraph"/>
    <w:basedOn w:val="Normal"/>
    <w:uiPriority w:val="34"/>
    <w:qFormat/>
    <w:rsid w:val="00703225"/>
    <w:pPr>
      <w:ind w:left="720"/>
      <w:contextualSpacing/>
    </w:pPr>
  </w:style>
  <w:style w:type="character" w:styleId="IntenseEmphasis">
    <w:name w:val="Intense Emphasis"/>
    <w:basedOn w:val="DefaultParagraphFont"/>
    <w:uiPriority w:val="21"/>
    <w:qFormat/>
    <w:rsid w:val="00703225"/>
    <w:rPr>
      <w:i/>
      <w:iCs/>
      <w:color w:val="0F4761" w:themeColor="accent1" w:themeShade="BF"/>
    </w:rPr>
  </w:style>
  <w:style w:type="paragraph" w:styleId="IntenseQuote">
    <w:name w:val="Intense Quote"/>
    <w:basedOn w:val="Normal"/>
    <w:next w:val="Normal"/>
    <w:link w:val="IntenseQuoteChar"/>
    <w:uiPriority w:val="30"/>
    <w:qFormat/>
    <w:rsid w:val="007032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3225"/>
    <w:rPr>
      <w:i/>
      <w:iCs/>
      <w:color w:val="0F4761" w:themeColor="accent1" w:themeShade="BF"/>
    </w:rPr>
  </w:style>
  <w:style w:type="character" w:styleId="IntenseReference">
    <w:name w:val="Intense Reference"/>
    <w:basedOn w:val="DefaultParagraphFont"/>
    <w:uiPriority w:val="32"/>
    <w:qFormat/>
    <w:rsid w:val="00703225"/>
    <w:rPr>
      <w:b/>
      <w:bCs/>
      <w:smallCaps/>
      <w:color w:val="0F4761" w:themeColor="accent1" w:themeShade="BF"/>
      <w:spacing w:val="5"/>
    </w:rPr>
  </w:style>
  <w:style w:type="table" w:styleId="TableGrid">
    <w:name w:val="Table Grid"/>
    <w:basedOn w:val="TableNormal"/>
    <w:uiPriority w:val="39"/>
    <w:rsid w:val="00B377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05606"/>
    <w:rPr>
      <w:color w:val="0000FF"/>
      <w:u w:val="single"/>
    </w:rPr>
  </w:style>
  <w:style w:type="character" w:styleId="UnresolvedMention">
    <w:name w:val="Unresolved Mention"/>
    <w:basedOn w:val="DefaultParagraphFont"/>
    <w:uiPriority w:val="99"/>
    <w:semiHidden/>
    <w:unhideWhenUsed/>
    <w:rsid w:val="0067409B"/>
    <w:rPr>
      <w:color w:val="605E5C"/>
      <w:shd w:val="clear" w:color="auto" w:fill="E1DFDD"/>
    </w:rPr>
  </w:style>
  <w:style w:type="paragraph" w:styleId="Bibliography">
    <w:name w:val="Bibliography"/>
    <w:basedOn w:val="Normal"/>
    <w:next w:val="Normal"/>
    <w:uiPriority w:val="37"/>
    <w:unhideWhenUsed/>
    <w:rsid w:val="00C958DE"/>
    <w:pPr>
      <w:spacing w:after="24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5709839">
      <w:bodyDiv w:val="1"/>
      <w:marLeft w:val="0"/>
      <w:marRight w:val="0"/>
      <w:marTop w:val="0"/>
      <w:marBottom w:val="0"/>
      <w:divBdr>
        <w:top w:val="none" w:sz="0" w:space="0" w:color="auto"/>
        <w:left w:val="none" w:sz="0" w:space="0" w:color="auto"/>
        <w:bottom w:val="none" w:sz="0" w:space="0" w:color="auto"/>
        <w:right w:val="none" w:sz="0" w:space="0" w:color="auto"/>
      </w:divBdr>
    </w:div>
    <w:div w:id="652834284">
      <w:bodyDiv w:val="1"/>
      <w:marLeft w:val="0"/>
      <w:marRight w:val="0"/>
      <w:marTop w:val="0"/>
      <w:marBottom w:val="0"/>
      <w:divBdr>
        <w:top w:val="none" w:sz="0" w:space="0" w:color="auto"/>
        <w:left w:val="none" w:sz="0" w:space="0" w:color="auto"/>
        <w:bottom w:val="none" w:sz="0" w:space="0" w:color="auto"/>
        <w:right w:val="none" w:sz="0" w:space="0" w:color="auto"/>
      </w:divBdr>
    </w:div>
    <w:div w:id="659893995">
      <w:bodyDiv w:val="1"/>
      <w:marLeft w:val="0"/>
      <w:marRight w:val="0"/>
      <w:marTop w:val="0"/>
      <w:marBottom w:val="0"/>
      <w:divBdr>
        <w:top w:val="none" w:sz="0" w:space="0" w:color="auto"/>
        <w:left w:val="none" w:sz="0" w:space="0" w:color="auto"/>
        <w:bottom w:val="none" w:sz="0" w:space="0" w:color="auto"/>
        <w:right w:val="none" w:sz="0" w:space="0" w:color="auto"/>
      </w:divBdr>
    </w:div>
    <w:div w:id="1311447643">
      <w:bodyDiv w:val="1"/>
      <w:marLeft w:val="0"/>
      <w:marRight w:val="0"/>
      <w:marTop w:val="0"/>
      <w:marBottom w:val="0"/>
      <w:divBdr>
        <w:top w:val="none" w:sz="0" w:space="0" w:color="auto"/>
        <w:left w:val="none" w:sz="0" w:space="0" w:color="auto"/>
        <w:bottom w:val="none" w:sz="0" w:space="0" w:color="auto"/>
        <w:right w:val="none" w:sz="0" w:space="0" w:color="auto"/>
      </w:divBdr>
    </w:div>
    <w:div w:id="1519613544">
      <w:bodyDiv w:val="1"/>
      <w:marLeft w:val="0"/>
      <w:marRight w:val="0"/>
      <w:marTop w:val="0"/>
      <w:marBottom w:val="0"/>
      <w:divBdr>
        <w:top w:val="none" w:sz="0" w:space="0" w:color="auto"/>
        <w:left w:val="none" w:sz="0" w:space="0" w:color="auto"/>
        <w:bottom w:val="none" w:sz="0" w:space="0" w:color="auto"/>
        <w:right w:val="none" w:sz="0" w:space="0" w:color="auto"/>
      </w:divBdr>
    </w:div>
    <w:div w:id="1585798053">
      <w:bodyDiv w:val="1"/>
      <w:marLeft w:val="0"/>
      <w:marRight w:val="0"/>
      <w:marTop w:val="0"/>
      <w:marBottom w:val="0"/>
      <w:divBdr>
        <w:top w:val="none" w:sz="0" w:space="0" w:color="auto"/>
        <w:left w:val="none" w:sz="0" w:space="0" w:color="auto"/>
        <w:bottom w:val="none" w:sz="0" w:space="0" w:color="auto"/>
        <w:right w:val="none" w:sz="0" w:space="0" w:color="auto"/>
      </w:divBdr>
    </w:div>
    <w:div w:id="212233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tseemann/abricate" TargetMode="External"/><Relationship Id="rId3" Type="http://schemas.openxmlformats.org/officeDocument/2006/relationships/settings" Target="settings.xml"/><Relationship Id="rId7" Type="http://schemas.openxmlformats.org/officeDocument/2006/relationships/hyperlink" Target="https://gtdb.ecogenomi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ygs.dsmz.de/" TargetMode="External"/><Relationship Id="rId5" Type="http://schemas.openxmlformats.org/officeDocument/2006/relationships/hyperlink" Target="mailto:danielleke@assuta.co.i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TotalTime>
  <Pages>5</Pages>
  <Words>5351</Words>
  <Characters>30505</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Ofir Friedman</dc:creator>
  <cp:keywords/>
  <dc:description/>
  <cp:lastModifiedBy>Ofir Friedman</cp:lastModifiedBy>
  <cp:revision>34</cp:revision>
  <cp:lastPrinted>2024-07-23T13:04:00Z</cp:lastPrinted>
  <dcterms:created xsi:type="dcterms:W3CDTF">2024-10-11T13:51:00Z</dcterms:created>
  <dcterms:modified xsi:type="dcterms:W3CDTF">2024-10-20T07:37:00Z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d3891af131061b4b8a9b32e378d13891dd46c5d75cbd50599a24621952200f9e</vt:lpwstr>
  </property>
  <property fmtid="{D5CDD505-2E9C-101B-9397-08002B2CF9AE}" pid="3" name="ZOTERO_PREF_1">
    <vt:lpwstr>&lt;data data-version="3" zotero-version="6.0.36"&gt;&lt;session id="FuI5IyVx"/&gt;&lt;style id="http://www.zotero.org/styles/springer-vancouver-brackets" locale="en-US" hasBibliography="1" bibliographyStyleHasBeenSet="1"/&gt;&lt;prefs&gt;&lt;pref name="fieldType" value="Field"/&gt;&lt;/</vt:lpwstr>
  </property>
  <property fmtid="{D5CDD505-2E9C-101B-9397-08002B2CF9AE}" pid="4" name="ZOTERO_PREF_2">
    <vt:lpwstr>prefs&gt;&lt;/data&gt;</vt:lpwstr>
  </property>
</Properties>
</file>