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F62D3" w14:textId="77777777" w:rsidR="00A31F13" w:rsidRPr="00D2329E" w:rsidRDefault="00A31F13" w:rsidP="00A31F13">
      <w:pPr>
        <w:spacing w:line="480" w:lineRule="auto"/>
        <w:rPr>
          <w:rFonts w:ascii="Times New Roman" w:eastAsia="SimSun" w:hAnsi="Times New Roman" w:cs="Times New Roman"/>
          <w:bCs/>
          <w:sz w:val="24"/>
        </w:rPr>
      </w:pPr>
      <w:r>
        <w:rPr>
          <w:rFonts w:ascii="Times New Roman" w:eastAsia="SimSun" w:hAnsi="Times New Roman" w:cs="Times New Roman"/>
          <w:bCs/>
          <w:noProof/>
          <w:sz w:val="24"/>
        </w:rPr>
        <w:drawing>
          <wp:inline distT="0" distB="0" distL="0" distR="0" wp14:anchorId="255AA3E9" wp14:editId="214EE442">
            <wp:extent cx="5274310" cy="27508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lpement Fig4 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F1604" w14:textId="77777777" w:rsidR="00A31F13" w:rsidRPr="002A710B" w:rsidRDefault="00A31F13" w:rsidP="00A31F13">
      <w:pPr>
        <w:spacing w:line="480" w:lineRule="auto"/>
        <w:rPr>
          <w:rFonts w:ascii="Times New Roman" w:eastAsia="SimSun" w:hAnsi="Times New Roman" w:cs="Times New Roman"/>
          <w:b/>
          <w:bCs/>
        </w:rPr>
      </w:pPr>
      <w:r w:rsidRPr="002A710B">
        <w:rPr>
          <w:rFonts w:ascii="Times New Roman" w:eastAsia="SimSun" w:hAnsi="Times New Roman" w:cs="Times New Roman"/>
          <w:b/>
          <w:bCs/>
        </w:rPr>
        <w:t xml:space="preserve">Supplement Fig 1. Expression of six disulfidptosis-associated ferroptosis genes at the mRNA level in EOC cell a </w:t>
      </w:r>
      <w:r w:rsidRPr="002A710B">
        <w:rPr>
          <w:rFonts w:ascii="Times New Roman" w:eastAsia="SimSun" w:hAnsi="Times New Roman" w:cs="Times New Roman"/>
          <w:bCs/>
        </w:rPr>
        <w:t xml:space="preserve">The expression of Coef in 6 genes. </w:t>
      </w:r>
      <w:r w:rsidRPr="002A710B">
        <w:rPr>
          <w:rFonts w:ascii="Times New Roman" w:eastAsia="SimSun" w:hAnsi="Times New Roman" w:cs="Times New Roman"/>
          <w:b/>
          <w:bCs/>
        </w:rPr>
        <w:t>b-g</w:t>
      </w:r>
      <w:r w:rsidRPr="002A710B">
        <w:rPr>
          <w:rFonts w:ascii="Times New Roman" w:eastAsia="SimSun" w:hAnsi="Times New Roman" w:cs="Times New Roman"/>
          <w:bCs/>
        </w:rPr>
        <w:t xml:space="preserve"> The expression of SLC1A5, BRPF1, RB1, BCAT2, ARF6, GTP2 at the mRNA level in EOC cell detected by qRT-PCR. *P&lt;0.05, ***P&lt;0.001, **** P&lt;0.0001 P&gt;0.05 is considered as no significance.</w:t>
      </w:r>
    </w:p>
    <w:p w14:paraId="07CC575F" w14:textId="77777777" w:rsidR="00A31F13" w:rsidRDefault="00A31F13" w:rsidP="00A31F13">
      <w:pPr>
        <w:spacing w:line="480" w:lineRule="auto"/>
        <w:ind w:firstLineChars="200" w:firstLine="480"/>
        <w:rPr>
          <w:rFonts w:ascii="Times New Roman" w:eastAsia="SimSun" w:hAnsi="Times New Roman" w:cs="Times New Roman"/>
          <w:bCs/>
          <w:sz w:val="24"/>
        </w:rPr>
      </w:pPr>
      <w:r w:rsidRPr="00D2329E">
        <w:rPr>
          <w:rFonts w:ascii="Times New Roman" w:eastAsia="SimSun" w:hAnsi="Times New Roman" w:cs="Times New Roman"/>
          <w:bCs/>
          <w:sz w:val="24"/>
        </w:rPr>
        <w:t>Further analysis of the prediction model in relation to clinicopathological characteristics revealed that high-risk patients had a worse prognosis for age (&gt; 65 years or ≤ 65 years), grading (G3-G4), and staging (III-IV), while no significant differences were observed for grading (G1) and staging (I-II) (Supplement Fig.2a-f).</w:t>
      </w:r>
    </w:p>
    <w:p w14:paraId="454088AA" w14:textId="77777777" w:rsidR="00A31F13" w:rsidRDefault="00A31F13" w:rsidP="00A31F13">
      <w:pPr>
        <w:spacing w:line="480" w:lineRule="auto"/>
        <w:rPr>
          <w:rFonts w:ascii="Times New Roman" w:eastAsia="SimSun" w:hAnsi="Times New Roman" w:cs="Times New Roman"/>
          <w:bCs/>
          <w:sz w:val="24"/>
        </w:rPr>
      </w:pPr>
      <w:r>
        <w:rPr>
          <w:rFonts w:ascii="Times New Roman" w:eastAsia="SimSun" w:hAnsi="Times New Roman" w:cs="Times New Roman" w:hint="eastAsia"/>
          <w:bCs/>
          <w:noProof/>
          <w:sz w:val="24"/>
        </w:rPr>
        <w:drawing>
          <wp:inline distT="0" distB="0" distL="0" distR="0" wp14:anchorId="6A977DCF" wp14:editId="50C25320">
            <wp:extent cx="5274310" cy="24580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 Fig1 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7C197" w14:textId="77777777" w:rsidR="00A31F13" w:rsidRPr="00AC253C" w:rsidRDefault="00A31F13" w:rsidP="00A31F13">
      <w:pPr>
        <w:spacing w:line="480" w:lineRule="auto"/>
        <w:rPr>
          <w:rFonts w:ascii="Times New Roman" w:eastAsia="SimSun" w:hAnsi="Times New Roman" w:cs="Times New Roman"/>
          <w:b/>
          <w:bCs/>
        </w:rPr>
      </w:pPr>
      <w:r w:rsidRPr="00AC253C">
        <w:rPr>
          <w:rFonts w:ascii="Times New Roman" w:eastAsia="SimSun" w:hAnsi="Times New Roman" w:cs="Times New Roman"/>
          <w:b/>
          <w:bCs/>
        </w:rPr>
        <w:lastRenderedPageBreak/>
        <w:t>Supplement Fig2. Relationship between high- and low- risk and patients' clinicopathological characteristics in prediction models</w:t>
      </w:r>
      <w:r w:rsidRPr="00AC253C">
        <w:rPr>
          <w:rFonts w:ascii="Times New Roman" w:eastAsia="SimSun" w:hAnsi="Times New Roman" w:cs="Times New Roman"/>
          <w:bCs/>
        </w:rPr>
        <w:t xml:space="preserve"> </w:t>
      </w:r>
      <w:r w:rsidRPr="00AC253C">
        <w:rPr>
          <w:rFonts w:ascii="Times New Roman" w:eastAsia="SimSun" w:hAnsi="Times New Roman" w:cs="Times New Roman"/>
          <w:b/>
          <w:bCs/>
        </w:rPr>
        <w:t xml:space="preserve">a </w:t>
      </w:r>
      <w:r w:rsidRPr="00AC253C">
        <w:rPr>
          <w:rFonts w:ascii="Times New Roman" w:eastAsia="SimSun" w:hAnsi="Times New Roman" w:cs="Times New Roman"/>
          <w:bCs/>
        </w:rPr>
        <w:t xml:space="preserve">When Age&lt;=65 years, assess the OS in high- and low- risk groups by Kaplan Meier analysis. </w:t>
      </w:r>
      <w:r w:rsidRPr="00AC253C">
        <w:rPr>
          <w:rFonts w:ascii="Times New Roman" w:eastAsia="SimSun" w:hAnsi="Times New Roman" w:cs="Times New Roman"/>
          <w:b/>
          <w:bCs/>
        </w:rPr>
        <w:t>b</w:t>
      </w:r>
      <w:r w:rsidRPr="00AC253C">
        <w:rPr>
          <w:rFonts w:ascii="Times New Roman" w:eastAsia="SimSun" w:hAnsi="Times New Roman" w:cs="Times New Roman"/>
          <w:bCs/>
        </w:rPr>
        <w:t xml:space="preserve"> When Age&gt; years, assess the OS in high- and low- risk groups by Kaplan Meier analysis.</w:t>
      </w:r>
      <w:r w:rsidRPr="00AC253C">
        <w:rPr>
          <w:rFonts w:ascii="Times New Roman" w:eastAsia="SimSun" w:hAnsi="Times New Roman" w:cs="Times New Roman"/>
          <w:b/>
          <w:bCs/>
        </w:rPr>
        <w:t xml:space="preserve"> c</w:t>
      </w:r>
      <w:r w:rsidRPr="00AC253C">
        <w:rPr>
          <w:rFonts w:ascii="Times New Roman" w:eastAsia="SimSun" w:hAnsi="Times New Roman" w:cs="Times New Roman"/>
          <w:bCs/>
        </w:rPr>
        <w:t xml:space="preserve"> When tumor grade is G1-2, assess the OS in high- and low- risk groups by Kaplan Meier analysis. </w:t>
      </w:r>
      <w:r w:rsidRPr="00AC253C">
        <w:rPr>
          <w:rFonts w:ascii="Times New Roman" w:eastAsia="SimSun" w:hAnsi="Times New Roman" w:cs="Times New Roman"/>
          <w:b/>
          <w:bCs/>
        </w:rPr>
        <w:t xml:space="preserve">d </w:t>
      </w:r>
      <w:r w:rsidRPr="00AC253C">
        <w:rPr>
          <w:rFonts w:ascii="Times New Roman" w:eastAsia="SimSun" w:hAnsi="Times New Roman" w:cs="Times New Roman"/>
          <w:bCs/>
        </w:rPr>
        <w:t xml:space="preserve">When tumor grade is G3-4, assess the OS in high- and low- risk groups by Kaplan Meier analysis. </w:t>
      </w:r>
      <w:r w:rsidRPr="00AC253C">
        <w:rPr>
          <w:rFonts w:ascii="Times New Roman" w:eastAsia="SimSun" w:hAnsi="Times New Roman" w:cs="Times New Roman"/>
          <w:b/>
          <w:bCs/>
        </w:rPr>
        <w:t xml:space="preserve">e </w:t>
      </w:r>
      <w:r w:rsidRPr="00AC253C">
        <w:rPr>
          <w:rFonts w:ascii="Times New Roman" w:eastAsia="SimSun" w:hAnsi="Times New Roman" w:cs="Times New Roman"/>
          <w:bCs/>
        </w:rPr>
        <w:t>When tumor stage is I-II, assess the OS in high- and low- risk groups by Kaplan Meier analysis.</w:t>
      </w:r>
      <w:r w:rsidRPr="00AC253C">
        <w:rPr>
          <w:rFonts w:ascii="Times New Roman" w:eastAsia="SimSun" w:hAnsi="Times New Roman" w:cs="Times New Roman"/>
          <w:b/>
          <w:bCs/>
        </w:rPr>
        <w:t xml:space="preserve"> f</w:t>
      </w:r>
      <w:r w:rsidRPr="00AC253C">
        <w:rPr>
          <w:rFonts w:ascii="Times New Roman" w:eastAsia="SimSun" w:hAnsi="Times New Roman" w:cs="Times New Roman"/>
          <w:bCs/>
        </w:rPr>
        <w:t xml:space="preserve"> When tumor stage is III-IV, assess the OS in high- and low- risk groups by Kaplan Meier analysis. *P&lt;0.05, **P&lt;0.01, P&gt;0.05 is considered as no significance.</w:t>
      </w:r>
    </w:p>
    <w:p w14:paraId="5E8674E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F13"/>
    <w:rsid w:val="003277B1"/>
    <w:rsid w:val="00331A6B"/>
    <w:rsid w:val="00755780"/>
    <w:rsid w:val="00857596"/>
    <w:rsid w:val="00A3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27AEA"/>
  <w15:chartTrackingRefBased/>
  <w15:docId w15:val="{23CB7A68-DDB8-44D8-AD4E-CB803C898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F13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F1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F1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F13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F13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F13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F13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F13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F13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F13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F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F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F1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1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F13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1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F13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1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F13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1F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F1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F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F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1218</Characters>
  <Application>Microsoft Office Word</Application>
  <DocSecurity>0</DocSecurity>
  <Lines>10</Lines>
  <Paragraphs>2</Paragraphs>
  <ScaleCrop>false</ScaleCrop>
  <Company>Springer Nature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2024-10-25T10:10:00Z</dcterms:created>
  <dcterms:modified xsi:type="dcterms:W3CDTF">2024-10-25T10:15:00Z</dcterms:modified>
</cp:coreProperties>
</file>