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2A1A" w14:textId="6500DDC5" w:rsidR="000409A9" w:rsidRPr="005650AA" w:rsidRDefault="000409A9" w:rsidP="00655D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50AA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5650AA">
        <w:rPr>
          <w:rFonts w:ascii="Times New Roman" w:hAnsi="Times New Roman" w:cs="Times New Roman"/>
          <w:b/>
          <w:bCs/>
          <w:sz w:val="28"/>
          <w:szCs w:val="28"/>
        </w:rPr>
        <w:t>upplemental Information</w:t>
      </w:r>
    </w:p>
    <w:p w14:paraId="72D30849" w14:textId="5731855E" w:rsidR="00F003FC" w:rsidRPr="00D73936" w:rsidRDefault="006B7E22" w:rsidP="00F003FC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0" w:name="_Hlk177052020"/>
      <w:bookmarkStart w:id="1" w:name="_Hlk177055029"/>
      <w:r w:rsidRPr="009C513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C5137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9C51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5137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bookmarkEnd w:id="0"/>
      <w:r w:rsidR="009C5137" w:rsidRPr="009C513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5137" w:rsidRPr="009C5137">
        <w:rPr>
          <w:rFonts w:ascii="Times New Roman" w:hAnsi="Times New Roman" w:cs="Times New Roman"/>
          <w:sz w:val="24"/>
          <w:szCs w:val="24"/>
        </w:rPr>
        <w:t>Delta area, Consensus matrix, CDF area of cluster result of TCGA-ESCC cohort</w:t>
      </w:r>
      <w:r w:rsidR="00F003FC">
        <w:rPr>
          <w:rFonts w:ascii="Times New Roman" w:hAnsi="Times New Roman" w:cs="Times New Roman" w:hint="eastAsia"/>
          <w:sz w:val="24"/>
          <w:szCs w:val="24"/>
        </w:rPr>
        <w:t>.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r w:rsidR="00F003FC">
        <w:rPr>
          <w:rFonts w:ascii="Times New Roman" w:eastAsia="等线" w:hAnsi="Times New Roman" w:cs="Times New Roman"/>
          <w:sz w:val="24"/>
          <w:szCs w:val="24"/>
        </w:rPr>
        <w:t xml:space="preserve">(A) </w:t>
      </w:r>
      <w:r w:rsidR="00F003FC" w:rsidRPr="00D73936">
        <w:rPr>
          <w:rFonts w:ascii="Times New Roman" w:eastAsia="等线" w:hAnsi="Times New Roman" w:cs="Times New Roman"/>
          <w:sz w:val="24"/>
          <w:szCs w:val="24"/>
        </w:rPr>
        <w:t xml:space="preserve">Delta area plot of samples. </w:t>
      </w:r>
      <w:r w:rsidR="00F003FC">
        <w:rPr>
          <w:rFonts w:ascii="Times New Roman" w:eastAsia="等线" w:hAnsi="Times New Roman" w:cs="Times New Roman"/>
          <w:sz w:val="24"/>
          <w:szCs w:val="24"/>
        </w:rPr>
        <w:t xml:space="preserve">(B) </w:t>
      </w:r>
      <w:r w:rsidR="00F003FC" w:rsidRPr="00D73936">
        <w:rPr>
          <w:rFonts w:ascii="Times New Roman" w:eastAsia="等线" w:hAnsi="Times New Roman" w:cs="Times New Roman"/>
          <w:sz w:val="24"/>
          <w:szCs w:val="24"/>
        </w:rPr>
        <w:t>Consensus matrix of samples in four clusters 1-4 (according to the number of samples in each cluster, cluster 1 was termed as Bc1, n = 28; cluster 2 termed as Bc4, n = 11; cluster 3 termed as Bc3, n = 18; cluster 4 termed as Bc2, n = 22). CDF area of cluster numbers 2 to 8 (choosing a curve with less fluctuation).</w:t>
      </w:r>
      <w:r w:rsidR="00F003FC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F003FC">
        <w:rPr>
          <w:rFonts w:ascii="Times New Roman" w:eastAsia="等线" w:hAnsi="Times New Roman" w:cs="Times New Roman"/>
          <w:sz w:val="24"/>
          <w:szCs w:val="24"/>
        </w:rPr>
        <w:t xml:space="preserve">(C) </w:t>
      </w:r>
      <w:r w:rsidR="00F003FC" w:rsidRPr="00D73936">
        <w:rPr>
          <w:rFonts w:ascii="Times New Roman" w:eastAsia="等线" w:hAnsi="Times New Roman" w:cs="Times New Roman" w:hint="eastAsia"/>
          <w:sz w:val="24"/>
          <w:szCs w:val="24"/>
        </w:rPr>
        <w:t>The</w:t>
      </w:r>
      <w:r w:rsidR="00F003FC" w:rsidRPr="00D73936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="00F003FC" w:rsidRPr="00D73936">
        <w:rPr>
          <w:rFonts w:ascii="Times New Roman" w:eastAsia="等线" w:hAnsi="Times New Roman" w:cs="Times New Roman"/>
          <w:sz w:val="24"/>
          <w:szCs w:val="24"/>
        </w:rPr>
        <w:t>ConsensusClusterPlus</w:t>
      </w:r>
      <w:proofErr w:type="spellEnd"/>
      <w:r w:rsidR="00F003FC" w:rsidRPr="00D73936">
        <w:rPr>
          <w:rFonts w:ascii="Times New Roman" w:eastAsia="等线" w:hAnsi="Times New Roman" w:cs="Times New Roman"/>
          <w:sz w:val="24"/>
          <w:szCs w:val="24"/>
        </w:rPr>
        <w:t xml:space="preserve"> package was utilized to distinguish MPIs</w:t>
      </w:r>
      <w:r w:rsidR="00F003FC">
        <w:rPr>
          <w:rFonts w:ascii="Times New Roman" w:eastAsia="等线" w:hAnsi="Times New Roman" w:cs="Times New Roman"/>
          <w:sz w:val="24"/>
          <w:szCs w:val="24"/>
        </w:rPr>
        <w:t>-</w:t>
      </w:r>
      <w:r w:rsidR="00F003FC" w:rsidRPr="00D73936">
        <w:rPr>
          <w:rFonts w:ascii="Times New Roman" w:eastAsia="等线" w:hAnsi="Times New Roman" w:cs="Times New Roman"/>
          <w:sz w:val="24"/>
          <w:szCs w:val="24"/>
        </w:rPr>
        <w:t>related subclusters of the TCGA ESCC cohort. It was iterated 1000 times for the optimization and stabilization of classification categories</w:t>
      </w:r>
      <w:r w:rsidR="00F003FC" w:rsidRPr="00D73936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="00F003FC" w:rsidRPr="00D7393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003FC" w:rsidRPr="00D73936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="00F003FC" w:rsidRPr="00D73936">
        <w:rPr>
          <w:rFonts w:ascii="Times New Roman" w:eastAsia="等线" w:hAnsi="Times New Roman" w:cs="Times New Roman"/>
          <w:sz w:val="24"/>
          <w:szCs w:val="24"/>
        </w:rPr>
        <w:t>fter considering the three cluster indexes comprehensively, ESCC patients were clustered in four subtypes (four clusters: distinct consensus matrix of the cluster with much white and little light blue; CDF curve with less fluctuation).</w:t>
      </w:r>
    </w:p>
    <w:p w14:paraId="14FAAB4E" w14:textId="24F1C072" w:rsidR="00655DCE" w:rsidRPr="00F003FC" w:rsidRDefault="00655DCE" w:rsidP="00655DCE">
      <w:pPr>
        <w:rPr>
          <w:rFonts w:ascii="Times New Roman" w:hAnsi="Times New Roman" w:cs="Times New Roman" w:hint="eastAsia"/>
          <w:sz w:val="20"/>
          <w:szCs w:val="21"/>
        </w:rPr>
      </w:pPr>
    </w:p>
    <w:bookmarkEnd w:id="1"/>
    <w:p w14:paraId="66C77A42" w14:textId="204046DE" w:rsidR="00D767EC" w:rsidRPr="00D55249" w:rsidRDefault="004955B1" w:rsidP="00655DCE">
      <w:pPr>
        <w:rPr>
          <w:rFonts w:ascii="Times New Roman" w:hAnsi="Times New Roman"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5E4255BA" wp14:editId="7741434E">
            <wp:extent cx="4942616" cy="3897086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559" cy="390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E47B2" w14:textId="26D12D8A" w:rsidR="006B7E22" w:rsidRDefault="006B7E22" w:rsidP="000409A9">
      <w:pPr>
        <w:rPr>
          <w:rFonts w:ascii="Times New Roman" w:hAnsi="Times New Roman" w:cs="Times New Roman" w:hint="eastAsia"/>
          <w:sz w:val="24"/>
          <w:szCs w:val="24"/>
        </w:rPr>
      </w:pPr>
    </w:p>
    <w:p w14:paraId="6423B6AC" w14:textId="77777777" w:rsidR="009C5137" w:rsidRDefault="009C513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CCD19D" w14:textId="352CE712" w:rsidR="006B7E22" w:rsidRPr="00D55249" w:rsidRDefault="006B7E22" w:rsidP="000409A9">
      <w:pPr>
        <w:rPr>
          <w:rFonts w:ascii="Times New Roman" w:hAnsi="Times New Roman" w:cs="Times New Roman" w:hint="eastAsia"/>
          <w:sz w:val="24"/>
          <w:szCs w:val="24"/>
        </w:rPr>
      </w:pPr>
      <w:r w:rsidRPr="006B7E2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513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5137" w:rsidRPr="00D55249">
        <w:rPr>
          <w:rFonts w:ascii="Times New Roman" w:hAnsi="Times New Roman" w:cs="Times New Roman"/>
          <w:sz w:val="24"/>
          <w:szCs w:val="24"/>
        </w:rPr>
        <w:t>B</w:t>
      </w:r>
      <w:r w:rsidR="009C5137">
        <w:rPr>
          <w:rFonts w:ascii="Times New Roman" w:hAnsi="Times New Roman" w:cs="Times New Roman" w:hint="eastAsia"/>
          <w:sz w:val="24"/>
          <w:szCs w:val="24"/>
        </w:rPr>
        <w:t>ox</w:t>
      </w:r>
      <w:r w:rsidR="009C5137" w:rsidRPr="00D55249">
        <w:rPr>
          <w:rFonts w:ascii="Times New Roman" w:hAnsi="Times New Roman" w:cs="Times New Roman"/>
          <w:sz w:val="24"/>
          <w:szCs w:val="24"/>
        </w:rPr>
        <w:t xml:space="preserve"> plot of the remaining significant </w:t>
      </w:r>
      <w:proofErr w:type="spellStart"/>
      <w:r w:rsidR="009C5137" w:rsidRPr="00D55249">
        <w:rPr>
          <w:rFonts w:ascii="Times New Roman" w:hAnsi="Times New Roman" w:cs="Times New Roman"/>
          <w:sz w:val="24"/>
          <w:szCs w:val="24"/>
        </w:rPr>
        <w:t>Mcs</w:t>
      </w:r>
      <w:proofErr w:type="spellEnd"/>
      <w:r w:rsidR="009C5137" w:rsidRPr="00D55249">
        <w:rPr>
          <w:rFonts w:ascii="Times New Roman" w:hAnsi="Times New Roman" w:cs="Times New Roman"/>
          <w:sz w:val="24"/>
          <w:szCs w:val="24"/>
        </w:rPr>
        <w:t xml:space="preserve"> proportions in four TCGA ESCC cohort</w:t>
      </w:r>
      <w:r w:rsidR="009C5137">
        <w:rPr>
          <w:rFonts w:ascii="Times New Roman" w:hAnsi="Times New Roman" w:cs="Times New Roman"/>
          <w:sz w:val="24"/>
          <w:szCs w:val="24"/>
        </w:rPr>
        <w:t xml:space="preserve"> bulk clusters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r w:rsidR="00F003FC">
        <w:rPr>
          <w:rFonts w:ascii="Times New Roman" w:hAnsi="Times New Roman" w:cs="Times New Roman"/>
          <w:sz w:val="24"/>
          <w:szCs w:val="24"/>
        </w:rPr>
        <w:t>(</w:t>
      </w:r>
      <w:r w:rsidR="00F003FC" w:rsidRPr="00D55249">
        <w:rPr>
          <w:rFonts w:ascii="Times New Roman" w:hAnsi="Times New Roman" w:cs="Times New Roman"/>
          <w:sz w:val="24"/>
          <w:szCs w:val="24"/>
        </w:rPr>
        <w:t>Dunn’s test, two-sided,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r w:rsidR="00F003FC" w:rsidRPr="00D55249">
        <w:rPr>
          <w:rFonts w:ascii="Times New Roman" w:hAnsi="Times New Roman" w:cs="Times New Roman"/>
          <w:sz w:val="24"/>
          <w:szCs w:val="24"/>
        </w:rPr>
        <w:t>unpaired</w:t>
      </w:r>
      <w:r w:rsidR="00F003FC">
        <w:rPr>
          <w:rFonts w:ascii="Times New Roman" w:hAnsi="Times New Roman" w:cs="Times New Roman"/>
          <w:sz w:val="24"/>
          <w:szCs w:val="24"/>
        </w:rPr>
        <w:t>)</w:t>
      </w:r>
      <w:r w:rsidR="00F003FC" w:rsidRPr="00D55249">
        <w:rPr>
          <w:rFonts w:ascii="Times New Roman" w:hAnsi="Times New Roman" w:cs="Times New Roman"/>
          <w:sz w:val="24"/>
          <w:szCs w:val="24"/>
        </w:rPr>
        <w:t>.</w:t>
      </w:r>
      <w:r w:rsidR="00F003FC" w:rsidRPr="00566C1D">
        <w:rPr>
          <w:rFonts w:ascii="Times New Roman" w:hAnsi="Times New Roman" w:cs="Times New Roman"/>
          <w:sz w:val="24"/>
          <w:szCs w:val="24"/>
        </w:rPr>
        <w:t xml:space="preserve"> In the boxplots, the central line represents </w:t>
      </w:r>
      <w:r w:rsidR="00F003FC">
        <w:rPr>
          <w:rFonts w:ascii="Times New Roman" w:hAnsi="Times New Roman" w:cs="Times New Roman"/>
          <w:sz w:val="24"/>
          <w:szCs w:val="24"/>
        </w:rPr>
        <w:t xml:space="preserve">the </w:t>
      </w:r>
      <w:r w:rsidR="00F003FC" w:rsidRPr="00566C1D">
        <w:rPr>
          <w:rFonts w:ascii="Times New Roman" w:hAnsi="Times New Roman" w:cs="Times New Roman"/>
          <w:sz w:val="24"/>
          <w:szCs w:val="24"/>
        </w:rPr>
        <w:t xml:space="preserve">median, the bounds of boxes represent the first and third quartiles, and the upper and lower whiskers extend to the highest or the smallest value within </w:t>
      </w:r>
      <w:r w:rsidR="00F003FC">
        <w:rPr>
          <w:rFonts w:ascii="Times New Roman" w:hAnsi="Times New Roman" w:cs="Times New Roman"/>
          <w:sz w:val="24"/>
          <w:szCs w:val="24"/>
        </w:rPr>
        <w:t xml:space="preserve">the </w:t>
      </w:r>
      <w:r w:rsidR="00F003FC" w:rsidRPr="00566C1D">
        <w:rPr>
          <w:rFonts w:ascii="Times New Roman" w:hAnsi="Times New Roman" w:cs="Times New Roman"/>
          <w:sz w:val="24"/>
          <w:szCs w:val="24"/>
        </w:rPr>
        <w:t>1.5 interquartile range.</w:t>
      </w:r>
    </w:p>
    <w:p w14:paraId="7F9ED5E7" w14:textId="7272CDF4" w:rsidR="009C5137" w:rsidRPr="00F003FC" w:rsidRDefault="004848BA" w:rsidP="00F003FC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A8225B" wp14:editId="6A7A8F4C">
            <wp:extent cx="4655135" cy="3268630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448" cy="327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F9338" w14:textId="77777777" w:rsidR="00F003FC" w:rsidRDefault="00F003F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8845AD" w14:textId="77EE4C8E" w:rsidR="004848BA" w:rsidRPr="00D55249" w:rsidRDefault="009C5137" w:rsidP="00371138">
      <w:pPr>
        <w:rPr>
          <w:rFonts w:ascii="Times New Roman" w:hAnsi="Times New Roman" w:cs="Times New Roman" w:hint="eastAsia"/>
          <w:sz w:val="24"/>
          <w:szCs w:val="24"/>
        </w:rPr>
      </w:pPr>
      <w:r w:rsidRPr="006B7E2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3: </w:t>
      </w:r>
      <w:r w:rsidRPr="00D5524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ox</w:t>
      </w:r>
      <w:r w:rsidRPr="00D55249">
        <w:rPr>
          <w:rFonts w:ascii="Times New Roman" w:hAnsi="Times New Roman" w:cs="Times New Roman"/>
          <w:sz w:val="24"/>
          <w:szCs w:val="24"/>
        </w:rPr>
        <w:t xml:space="preserve"> plot of the remaining significant </w:t>
      </w:r>
      <w:proofErr w:type="spellStart"/>
      <w:r w:rsidRPr="00D55249">
        <w:rPr>
          <w:rFonts w:ascii="Times New Roman" w:hAnsi="Times New Roman" w:cs="Times New Roman"/>
          <w:sz w:val="24"/>
          <w:szCs w:val="24"/>
        </w:rPr>
        <w:t>Mcs</w:t>
      </w:r>
      <w:proofErr w:type="spellEnd"/>
      <w:r w:rsidRPr="00D55249">
        <w:rPr>
          <w:rFonts w:ascii="Times New Roman" w:hAnsi="Times New Roman" w:cs="Times New Roman"/>
          <w:sz w:val="24"/>
          <w:szCs w:val="24"/>
        </w:rPr>
        <w:t xml:space="preserve"> proportions in four GEO ESCC cohort </w:t>
      </w:r>
      <w:r>
        <w:rPr>
          <w:rFonts w:ascii="Times New Roman" w:hAnsi="Times New Roman" w:cs="Times New Roman"/>
          <w:sz w:val="24"/>
          <w:szCs w:val="24"/>
        </w:rPr>
        <w:t>bulk clusters</w:t>
      </w:r>
      <w:r w:rsidR="00F003FC">
        <w:rPr>
          <w:rFonts w:ascii="Times New Roman" w:hAnsi="Times New Roman" w:cs="Times New Roman"/>
          <w:sz w:val="24"/>
          <w:szCs w:val="24"/>
        </w:rPr>
        <w:t xml:space="preserve"> (</w:t>
      </w:r>
      <w:r w:rsidR="00F003FC" w:rsidRPr="00D55249">
        <w:rPr>
          <w:rFonts w:ascii="Times New Roman" w:hAnsi="Times New Roman" w:cs="Times New Roman"/>
          <w:sz w:val="24"/>
          <w:szCs w:val="24"/>
        </w:rPr>
        <w:t>Dunn’s test, two-sided,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r w:rsidR="00F003FC" w:rsidRPr="00D55249">
        <w:rPr>
          <w:rFonts w:ascii="Times New Roman" w:hAnsi="Times New Roman" w:cs="Times New Roman"/>
          <w:sz w:val="24"/>
          <w:szCs w:val="24"/>
        </w:rPr>
        <w:t>unpaired</w:t>
      </w:r>
      <w:r w:rsidR="00F003FC">
        <w:rPr>
          <w:rFonts w:ascii="Times New Roman" w:hAnsi="Times New Roman" w:cs="Times New Roman"/>
          <w:sz w:val="24"/>
          <w:szCs w:val="24"/>
        </w:rPr>
        <w:t>)</w:t>
      </w:r>
      <w:r w:rsidR="00F003FC" w:rsidRPr="00D55249">
        <w:rPr>
          <w:rFonts w:ascii="Times New Roman" w:hAnsi="Times New Roman" w:cs="Times New Roman"/>
          <w:sz w:val="24"/>
          <w:szCs w:val="24"/>
        </w:rPr>
        <w:t>.</w:t>
      </w:r>
      <w:r w:rsidR="00F003FC" w:rsidRPr="00566C1D">
        <w:rPr>
          <w:rFonts w:ascii="Times New Roman" w:hAnsi="Times New Roman" w:cs="Times New Roman"/>
          <w:sz w:val="24"/>
          <w:szCs w:val="24"/>
        </w:rPr>
        <w:t xml:space="preserve"> In the boxplots, the central line represents </w:t>
      </w:r>
      <w:r w:rsidR="00F003FC">
        <w:rPr>
          <w:rFonts w:ascii="Times New Roman" w:hAnsi="Times New Roman" w:cs="Times New Roman" w:hint="eastAsia"/>
          <w:sz w:val="24"/>
          <w:szCs w:val="24"/>
        </w:rPr>
        <w:t>th</w:t>
      </w:r>
      <w:r w:rsidR="00F003FC">
        <w:rPr>
          <w:rFonts w:ascii="Times New Roman" w:hAnsi="Times New Roman" w:cs="Times New Roman"/>
          <w:sz w:val="24"/>
          <w:szCs w:val="24"/>
        </w:rPr>
        <w:t xml:space="preserve">e </w:t>
      </w:r>
      <w:r w:rsidR="00F003FC" w:rsidRPr="00566C1D">
        <w:rPr>
          <w:rFonts w:ascii="Times New Roman" w:hAnsi="Times New Roman" w:cs="Times New Roman"/>
          <w:sz w:val="24"/>
          <w:szCs w:val="24"/>
        </w:rPr>
        <w:t>median, the bounds of boxes represent the first and third quartiles, and the upper and lower whiskers extend to the highest or the smallest value within</w:t>
      </w:r>
      <w:r w:rsidR="00F003FC">
        <w:rPr>
          <w:rFonts w:ascii="Times New Roman" w:hAnsi="Times New Roman" w:cs="Times New Roman"/>
          <w:sz w:val="24"/>
          <w:szCs w:val="24"/>
        </w:rPr>
        <w:t xml:space="preserve"> the</w:t>
      </w:r>
      <w:r w:rsidR="00F003FC" w:rsidRPr="00566C1D">
        <w:rPr>
          <w:rFonts w:ascii="Times New Roman" w:hAnsi="Times New Roman" w:cs="Times New Roman"/>
          <w:sz w:val="24"/>
          <w:szCs w:val="24"/>
        </w:rPr>
        <w:t xml:space="preserve"> 1.5 interquartile range.</w:t>
      </w:r>
    </w:p>
    <w:p w14:paraId="376E3CD7" w14:textId="3E92E4AB" w:rsidR="00371138" w:rsidRPr="00D55249" w:rsidRDefault="004848BA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0" distR="0" wp14:anchorId="3232D7F2" wp14:editId="415A4196">
            <wp:extent cx="5272405" cy="3709035"/>
            <wp:effectExtent l="0" t="0" r="444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AB990" w14:textId="77777777" w:rsidR="009C5137" w:rsidRDefault="009C513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55F5A6" w14:textId="6125BFA0" w:rsidR="00371138" w:rsidRPr="00D55249" w:rsidRDefault="009C5137" w:rsidP="00F003FC">
      <w:pPr>
        <w:widowControl/>
        <w:rPr>
          <w:rFonts w:ascii="Times New Roman" w:hAnsi="Times New Roman" w:cs="Times New Roman"/>
          <w:sz w:val="24"/>
          <w:szCs w:val="24"/>
        </w:rPr>
      </w:pPr>
      <w:r w:rsidRPr="006B7E2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4: </w:t>
      </w:r>
      <w:r>
        <w:rPr>
          <w:rFonts w:ascii="Times New Roman" w:hAnsi="Times New Roman" w:cs="Times New Roman"/>
          <w:sz w:val="24"/>
          <w:szCs w:val="24"/>
        </w:rPr>
        <w:t xml:space="preserve">The GSEA </w:t>
      </w:r>
      <w:r w:rsidRPr="00D55249">
        <w:rPr>
          <w:rFonts w:ascii="Times New Roman" w:hAnsi="Times New Roman" w:cs="Times New Roman"/>
          <w:sz w:val="24"/>
          <w:szCs w:val="24"/>
        </w:rPr>
        <w:t xml:space="preserve">enrichment result </w:t>
      </w:r>
      <w:r>
        <w:rPr>
          <w:rFonts w:ascii="Times New Roman" w:hAnsi="Times New Roman" w:cs="Times New Roman"/>
          <w:sz w:val="24"/>
          <w:szCs w:val="24"/>
        </w:rPr>
        <w:t xml:space="preserve">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database of the TCGA cohort’s </w:t>
      </w:r>
      <w:r w:rsidRPr="00D55249">
        <w:rPr>
          <w:rFonts w:ascii="Times New Roman" w:hAnsi="Times New Roman" w:cs="Times New Roman"/>
          <w:sz w:val="24"/>
          <w:szCs w:val="24"/>
        </w:rPr>
        <w:t>four subtypes</w:t>
      </w:r>
      <w:r>
        <w:rPr>
          <w:rFonts w:ascii="Times New Roman" w:hAnsi="Times New Roman" w:cs="Times New Roman"/>
          <w:sz w:val="24"/>
          <w:szCs w:val="24"/>
        </w:rPr>
        <w:t xml:space="preserve"> (Bc1-4).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r w:rsidR="00F003FC">
        <w:rPr>
          <w:rFonts w:ascii="Times New Roman" w:hAnsi="Times New Roman" w:cs="Times New Roman"/>
          <w:sz w:val="24"/>
          <w:szCs w:val="24"/>
        </w:rPr>
        <w:t xml:space="preserve">Pathways related to cell detoxification only downregulated in Bc4. The </w:t>
      </w:r>
      <w:proofErr w:type="spellStart"/>
      <w:proofErr w:type="gramStart"/>
      <w:r w:rsidR="00F003FC" w:rsidRPr="00F32ED1">
        <w:rPr>
          <w:rFonts w:ascii="Times New Roman" w:hAnsi="Times New Roman" w:cs="Times New Roman"/>
          <w:sz w:val="24"/>
          <w:szCs w:val="24"/>
        </w:rPr>
        <w:t>p.adjust</w:t>
      </w:r>
      <w:proofErr w:type="spellEnd"/>
      <w:proofErr w:type="gramEnd"/>
      <w:r w:rsidR="00F003FC" w:rsidRPr="00F32ED1">
        <w:rPr>
          <w:rFonts w:ascii="Times New Roman" w:hAnsi="Times New Roman" w:cs="Times New Roman"/>
          <w:sz w:val="24"/>
          <w:szCs w:val="24"/>
        </w:rPr>
        <w:t xml:space="preserve"> </w:t>
      </w:r>
      <w:r w:rsidR="00F003FC">
        <w:rPr>
          <w:rFonts w:ascii="Times New Roman" w:hAnsi="Times New Roman" w:cs="Times New Roman"/>
          <w:sz w:val="24"/>
          <w:szCs w:val="24"/>
        </w:rPr>
        <w:t xml:space="preserve">is calculated using </w:t>
      </w:r>
      <w:r w:rsidR="00F003FC" w:rsidRPr="00175595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F003F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="00F003FC">
        <w:rPr>
          <w:rFonts w:ascii="Times New Roman" w:hAnsi="Times New Roman" w:cs="Times New Roman"/>
          <w:i/>
          <w:iCs/>
          <w:kern w:val="0"/>
          <w:sz w:val="24"/>
          <w:szCs w:val="24"/>
        </w:rPr>
        <w:t>gsePathway</w:t>
      </w:r>
      <w:proofErr w:type="spellEnd"/>
      <w:r w:rsidR="00F003FC">
        <w:rPr>
          <w:rFonts w:ascii="Times New Roman" w:hAnsi="Times New Roman" w:cs="Times New Roman"/>
          <w:kern w:val="0"/>
          <w:sz w:val="24"/>
          <w:szCs w:val="24"/>
        </w:rPr>
        <w:t xml:space="preserve"> function of </w:t>
      </w:r>
      <w:r w:rsidR="00F003FC" w:rsidRPr="007B3C94">
        <w:rPr>
          <w:rFonts w:ascii="Times New Roman" w:eastAsia="宋体" w:hAnsi="Times New Roman" w:cs="Times New Roman"/>
          <w:kern w:val="0"/>
          <w:sz w:val="24"/>
          <w:szCs w:val="24"/>
        </w:rPr>
        <w:t>the</w:t>
      </w:r>
      <w:r w:rsidR="00F003FC">
        <w:rPr>
          <w:rFonts w:ascii="宋体" w:eastAsia="宋体" w:hAnsi="宋体" w:cs="宋体" w:hint="eastAsia"/>
          <w:kern w:val="0"/>
          <w:sz w:val="24"/>
          <w:szCs w:val="24"/>
        </w:rPr>
        <w:t> </w:t>
      </w:r>
      <w:proofErr w:type="spellStart"/>
      <w:r w:rsidR="00F003FC" w:rsidRPr="00744563">
        <w:rPr>
          <w:rFonts w:ascii="Times New Roman" w:hAnsi="Times New Roman" w:cs="Times New Roman"/>
          <w:i/>
          <w:iCs/>
          <w:sz w:val="24"/>
          <w:szCs w:val="24"/>
        </w:rPr>
        <w:t>ReactomePA</w:t>
      </w:r>
      <w:proofErr w:type="spellEnd"/>
      <w:r w:rsidR="00F003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744563">
        <w:rPr>
          <w:rFonts w:ascii="Times New Roman" w:hAnsi="Times New Roman" w:cs="Times New Roman"/>
          <w:sz w:val="24"/>
          <w:szCs w:val="24"/>
        </w:rPr>
        <w:t>package</w:t>
      </w:r>
      <w:r w:rsidR="00F003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7445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3FC" w:rsidRPr="00744563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="00F003FC" w:rsidRPr="00744563">
        <w:rPr>
          <w:rFonts w:ascii="Times New Roman" w:hAnsi="Times New Roman" w:cs="Times New Roman"/>
          <w:sz w:val="24"/>
          <w:szCs w:val="24"/>
        </w:rPr>
        <w:t>-Hochberg method)</w:t>
      </w:r>
      <w:r w:rsidR="00F003FC" w:rsidRPr="00F32ED1">
        <w:rPr>
          <w:rFonts w:ascii="Times New Roman" w:hAnsi="Times New Roman" w:cs="Times New Roman"/>
          <w:sz w:val="24"/>
          <w:szCs w:val="24"/>
        </w:rPr>
        <w:t>.</w:t>
      </w:r>
    </w:p>
    <w:p w14:paraId="13E90510" w14:textId="03C235B9" w:rsidR="00F003FC" w:rsidRPr="00F003FC" w:rsidRDefault="00B43022" w:rsidP="00F003FC">
      <w:pPr>
        <w:rPr>
          <w:rFonts w:ascii="Times New Roman" w:hAnsi="Times New Roman" w:cs="Times New Roman" w:hint="eastAsia"/>
          <w:sz w:val="20"/>
          <w:szCs w:val="21"/>
        </w:rPr>
      </w:pPr>
      <w:r w:rsidRPr="00D55249"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0" distR="0" wp14:anchorId="493F9C4B" wp14:editId="29FED07E">
            <wp:extent cx="5688388" cy="2892598"/>
            <wp:effectExtent l="0" t="0" r="762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36" cy="290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62DD1" w14:textId="77777777" w:rsidR="00F003FC" w:rsidRDefault="00F003F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E79B33" w14:textId="35BC3F30" w:rsidR="009C5137" w:rsidRPr="009C5137" w:rsidRDefault="009C5137">
      <w:pPr>
        <w:rPr>
          <w:rFonts w:ascii="Times New Roman" w:hAnsi="Times New Roman" w:cs="Times New Roman" w:hint="eastAsia"/>
          <w:sz w:val="24"/>
          <w:szCs w:val="24"/>
        </w:rPr>
      </w:pPr>
      <w:r w:rsidRPr="009C513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S5: </w:t>
      </w:r>
      <w:r w:rsidRPr="009C5137">
        <w:rPr>
          <w:rFonts w:ascii="Times New Roman" w:hAnsi="Times New Roman" w:cs="Times New Roman"/>
          <w:sz w:val="24"/>
          <w:szCs w:val="24"/>
        </w:rPr>
        <w:t xml:space="preserve">The GSEA enrichment result using the </w:t>
      </w:r>
      <w:proofErr w:type="spellStart"/>
      <w:r w:rsidRPr="009C5137">
        <w:rPr>
          <w:rFonts w:ascii="Times New Roman" w:hAnsi="Times New Roman" w:cs="Times New Roman"/>
          <w:sz w:val="24"/>
          <w:szCs w:val="24"/>
        </w:rPr>
        <w:t>Reactome</w:t>
      </w:r>
      <w:proofErr w:type="spellEnd"/>
      <w:r w:rsidRPr="009C5137">
        <w:rPr>
          <w:rFonts w:ascii="Times New Roman" w:hAnsi="Times New Roman" w:cs="Times New Roman"/>
          <w:sz w:val="24"/>
          <w:szCs w:val="24"/>
        </w:rPr>
        <w:t xml:space="preserve"> database of the GEO cohort’s four subtypes (Bc1-4).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r w:rsidR="00F003FC">
        <w:rPr>
          <w:rFonts w:ascii="Times New Roman" w:hAnsi="Times New Roman" w:cs="Times New Roman"/>
          <w:sz w:val="24"/>
          <w:szCs w:val="24"/>
        </w:rPr>
        <w:t xml:space="preserve">Similar to the TCGA cohort, Pathways related to cell detoxification downregulated in Bc4 in the GEO cohort. </w:t>
      </w:r>
      <w:r w:rsidR="00F003FC" w:rsidRPr="00F32ED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proofErr w:type="gramStart"/>
      <w:r w:rsidR="00F003FC" w:rsidRPr="00F32ED1">
        <w:rPr>
          <w:rFonts w:ascii="Times New Roman" w:hAnsi="Times New Roman" w:cs="Times New Roman"/>
          <w:sz w:val="24"/>
          <w:szCs w:val="24"/>
        </w:rPr>
        <w:t>p.adjust</w:t>
      </w:r>
      <w:proofErr w:type="spellEnd"/>
      <w:proofErr w:type="gramEnd"/>
      <w:r w:rsidR="00F003FC" w:rsidRPr="00F32ED1">
        <w:rPr>
          <w:rFonts w:ascii="Times New Roman" w:hAnsi="Times New Roman" w:cs="Times New Roman"/>
          <w:sz w:val="24"/>
          <w:szCs w:val="24"/>
        </w:rPr>
        <w:t xml:space="preserve"> is calculated </w:t>
      </w:r>
      <w:r w:rsidR="00F003FC">
        <w:rPr>
          <w:rFonts w:ascii="Times New Roman" w:hAnsi="Times New Roman" w:cs="Times New Roman"/>
          <w:sz w:val="24"/>
          <w:szCs w:val="24"/>
        </w:rPr>
        <w:t xml:space="preserve">using </w:t>
      </w:r>
      <w:r w:rsidR="00F003FC" w:rsidRPr="00175595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F003F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="00F003FC">
        <w:rPr>
          <w:rFonts w:ascii="Times New Roman" w:hAnsi="Times New Roman" w:cs="Times New Roman"/>
          <w:i/>
          <w:iCs/>
          <w:kern w:val="0"/>
          <w:sz w:val="24"/>
          <w:szCs w:val="24"/>
        </w:rPr>
        <w:t>gsePathway</w:t>
      </w:r>
      <w:proofErr w:type="spellEnd"/>
      <w:r w:rsidR="00F003FC">
        <w:rPr>
          <w:rFonts w:ascii="Times New Roman" w:hAnsi="Times New Roman" w:cs="Times New Roman"/>
          <w:kern w:val="0"/>
          <w:sz w:val="24"/>
          <w:szCs w:val="24"/>
        </w:rPr>
        <w:t xml:space="preserve"> function of </w:t>
      </w:r>
      <w:r w:rsidR="00F003FC" w:rsidRPr="00175595">
        <w:rPr>
          <w:rFonts w:ascii="Times New Roman" w:eastAsia="宋体" w:hAnsi="Times New Roman" w:cs="Times New Roman"/>
          <w:kern w:val="0"/>
          <w:sz w:val="24"/>
          <w:szCs w:val="24"/>
        </w:rPr>
        <w:t>the </w:t>
      </w:r>
      <w:proofErr w:type="spellStart"/>
      <w:r w:rsidR="00F003FC" w:rsidRPr="00744563">
        <w:rPr>
          <w:rFonts w:ascii="Times New Roman" w:hAnsi="Times New Roman" w:cs="Times New Roman"/>
          <w:i/>
          <w:iCs/>
          <w:sz w:val="24"/>
          <w:szCs w:val="24"/>
        </w:rPr>
        <w:t>ReactomePA</w:t>
      </w:r>
      <w:proofErr w:type="spellEnd"/>
      <w:r w:rsidR="00F003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744563">
        <w:rPr>
          <w:rFonts w:ascii="Times New Roman" w:hAnsi="Times New Roman" w:cs="Times New Roman"/>
          <w:sz w:val="24"/>
          <w:szCs w:val="24"/>
        </w:rPr>
        <w:t>package</w:t>
      </w:r>
      <w:r w:rsidR="00F003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7445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3FC" w:rsidRPr="00744563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="00F003FC" w:rsidRPr="00744563">
        <w:rPr>
          <w:rFonts w:ascii="Times New Roman" w:hAnsi="Times New Roman" w:cs="Times New Roman"/>
          <w:sz w:val="24"/>
          <w:szCs w:val="24"/>
        </w:rPr>
        <w:t>-Hochberg method)</w:t>
      </w:r>
      <w:r w:rsidR="00F003FC">
        <w:rPr>
          <w:rFonts w:ascii="Times New Roman" w:hAnsi="Times New Roman" w:cs="Times New Roman" w:hint="eastAsia"/>
          <w:sz w:val="24"/>
          <w:szCs w:val="24"/>
        </w:rPr>
        <w:t>.</w:t>
      </w:r>
    </w:p>
    <w:p w14:paraId="1A45E5C2" w14:textId="1A27E70D" w:rsidR="009C5137" w:rsidRPr="00F003FC" w:rsidRDefault="00984646" w:rsidP="00F003FC">
      <w:pPr>
        <w:rPr>
          <w:rFonts w:ascii="Times New Roman" w:hAnsi="Times New Roman" w:cs="Times New Roman" w:hint="eastAsia"/>
          <w:sz w:val="20"/>
          <w:szCs w:val="21"/>
        </w:rPr>
      </w:pPr>
      <w:r w:rsidRPr="00D55249"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0" distR="0" wp14:anchorId="14AB7F9C" wp14:editId="4CB6BF73">
            <wp:extent cx="5394626" cy="2850776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85" cy="28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E2904" w14:textId="77777777" w:rsidR="00F003FC" w:rsidRDefault="00F003F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EC7764" w14:textId="33E61717" w:rsidR="00880D77" w:rsidRPr="00D55249" w:rsidRDefault="009C5137" w:rsidP="00F003FC">
      <w:pPr>
        <w:widowControl/>
        <w:rPr>
          <w:rFonts w:ascii="Times New Roman" w:hAnsi="Times New Roman" w:cs="Times New Roman"/>
          <w:sz w:val="20"/>
          <w:szCs w:val="21"/>
        </w:rPr>
      </w:pPr>
      <w:r w:rsidRPr="006B7E2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6: </w:t>
      </w:r>
      <w:r w:rsidRPr="00F32ED1">
        <w:rPr>
          <w:rFonts w:ascii="Times New Roman" w:hAnsi="Times New Roman" w:cs="Times New Roman"/>
          <w:sz w:val="24"/>
          <w:szCs w:val="24"/>
        </w:rPr>
        <w:t xml:space="preserve">The GSEA enrichment result using the </w:t>
      </w:r>
      <w:r>
        <w:rPr>
          <w:rFonts w:ascii="Times New Roman" w:hAnsi="Times New Roman" w:cs="Times New Roman"/>
          <w:sz w:val="24"/>
          <w:szCs w:val="24"/>
        </w:rPr>
        <w:t xml:space="preserve">hallmark set </w:t>
      </w:r>
      <w:r w:rsidRPr="00F32ED1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TCGA</w:t>
      </w:r>
      <w:r w:rsidRPr="00F32ED1">
        <w:rPr>
          <w:rFonts w:ascii="Times New Roman" w:hAnsi="Times New Roman" w:cs="Times New Roman"/>
          <w:sz w:val="24"/>
          <w:szCs w:val="24"/>
        </w:rPr>
        <w:t xml:space="preserve"> cohort’s four subtypes (Bc1-4).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003FC">
        <w:rPr>
          <w:rFonts w:ascii="Times New Roman" w:hAnsi="Times New Roman" w:cs="Times New Roman" w:hint="eastAsia"/>
          <w:sz w:val="24"/>
          <w:szCs w:val="24"/>
        </w:rPr>
        <w:t>p</w:t>
      </w:r>
      <w:r w:rsidR="00F003FC">
        <w:rPr>
          <w:rFonts w:ascii="Times New Roman" w:hAnsi="Times New Roman" w:cs="Times New Roman"/>
          <w:sz w:val="24"/>
          <w:szCs w:val="24"/>
        </w:rPr>
        <w:t>.adjust</w:t>
      </w:r>
      <w:proofErr w:type="spellEnd"/>
      <w:proofErr w:type="gramEnd"/>
      <w:r w:rsidR="00F003FC">
        <w:rPr>
          <w:rFonts w:ascii="Times New Roman" w:hAnsi="Times New Roman" w:cs="Times New Roman"/>
          <w:sz w:val="24"/>
          <w:szCs w:val="24"/>
        </w:rPr>
        <w:t xml:space="preserve"> is calculated using </w:t>
      </w:r>
      <w:r w:rsidR="00F003FC" w:rsidRPr="00175595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F003F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GSEA </w:t>
      </w:r>
      <w:r w:rsidR="00F003FC">
        <w:rPr>
          <w:rFonts w:ascii="Times New Roman" w:hAnsi="Times New Roman" w:cs="Times New Roman"/>
          <w:kern w:val="0"/>
          <w:sz w:val="24"/>
          <w:szCs w:val="24"/>
        </w:rPr>
        <w:t>function of</w:t>
      </w:r>
      <w:r w:rsidR="00F003F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003FC" w:rsidRPr="00175595">
        <w:rPr>
          <w:rFonts w:ascii="Times New Roman" w:eastAsia="宋体" w:hAnsi="Times New Roman" w:cs="Times New Roman"/>
          <w:kern w:val="0"/>
          <w:sz w:val="24"/>
          <w:szCs w:val="24"/>
        </w:rPr>
        <w:t>the</w:t>
      </w:r>
      <w:r w:rsidR="00F003FC">
        <w:rPr>
          <w:rFonts w:ascii="宋体" w:eastAsia="宋体" w:hAnsi="宋体" w:cs="宋体" w:hint="eastAsia"/>
          <w:kern w:val="0"/>
          <w:sz w:val="24"/>
          <w:szCs w:val="24"/>
        </w:rPr>
        <w:t> </w:t>
      </w:r>
      <w:proofErr w:type="spellStart"/>
      <w:r w:rsidR="00F003FC" w:rsidRPr="00C84918">
        <w:rPr>
          <w:rFonts w:ascii="Times New Roman" w:hAnsi="Times New Roman" w:cs="Times New Roman"/>
          <w:i/>
          <w:iCs/>
          <w:sz w:val="24"/>
          <w:szCs w:val="24"/>
        </w:rPr>
        <w:t>clusterProfiler</w:t>
      </w:r>
      <w:proofErr w:type="spellEnd"/>
      <w:r w:rsidR="00F003FC" w:rsidRPr="00C849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744563">
        <w:rPr>
          <w:rFonts w:ascii="Times New Roman" w:hAnsi="Times New Roman" w:cs="Times New Roman"/>
          <w:sz w:val="24"/>
          <w:szCs w:val="24"/>
        </w:rPr>
        <w:t>package</w:t>
      </w:r>
      <w:r w:rsidR="00F003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9B7D6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3FC" w:rsidRPr="009B7D6F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="00F003FC" w:rsidRPr="009B7D6F">
        <w:rPr>
          <w:rFonts w:ascii="Times New Roman" w:hAnsi="Times New Roman" w:cs="Times New Roman"/>
          <w:sz w:val="24"/>
          <w:szCs w:val="24"/>
        </w:rPr>
        <w:t>-Hochberg method)</w:t>
      </w:r>
      <w:r w:rsidR="00F003FC">
        <w:rPr>
          <w:rFonts w:ascii="Times New Roman" w:hAnsi="Times New Roman" w:cs="Times New Roman"/>
          <w:sz w:val="24"/>
          <w:szCs w:val="24"/>
        </w:rPr>
        <w:t>.</w:t>
      </w:r>
    </w:p>
    <w:p w14:paraId="2367FC67" w14:textId="3A3D1D14" w:rsidR="005650AA" w:rsidRPr="00880D77" w:rsidRDefault="00D85550">
      <w:pPr>
        <w:rPr>
          <w:rFonts w:ascii="Times New Roman" w:hAnsi="Times New Roman" w:cs="Times New Roman" w:hint="eastAsia"/>
          <w:sz w:val="20"/>
          <w:szCs w:val="21"/>
        </w:rPr>
      </w:pPr>
      <w:r w:rsidRPr="00D55249">
        <w:rPr>
          <w:noProof/>
          <w:sz w:val="20"/>
          <w:szCs w:val="21"/>
        </w:rPr>
        <w:drawing>
          <wp:inline distT="0" distB="0" distL="0" distR="0" wp14:anchorId="47028AA1" wp14:editId="52630949">
            <wp:extent cx="5233988" cy="2712146"/>
            <wp:effectExtent l="0" t="0" r="5080" b="0"/>
            <wp:docPr id="473898529" name="图形 473898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929" cy="271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AF753" w14:textId="77777777" w:rsidR="009C5137" w:rsidRDefault="009C513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831639" w14:textId="461DC332" w:rsidR="000409A9" w:rsidRPr="005650AA" w:rsidRDefault="009C5137">
      <w:pPr>
        <w:rPr>
          <w:sz w:val="20"/>
          <w:szCs w:val="21"/>
        </w:rPr>
      </w:pPr>
      <w:r w:rsidRPr="006B7E2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7: </w:t>
      </w:r>
      <w:r w:rsidRPr="00F32ED1">
        <w:rPr>
          <w:rFonts w:ascii="Times New Roman" w:hAnsi="Times New Roman" w:cs="Times New Roman"/>
          <w:sz w:val="24"/>
          <w:szCs w:val="24"/>
        </w:rPr>
        <w:t xml:space="preserve">The GSEA enrichment result using the </w:t>
      </w:r>
      <w:r>
        <w:rPr>
          <w:rFonts w:ascii="Times New Roman" w:hAnsi="Times New Roman" w:cs="Times New Roman"/>
          <w:sz w:val="24"/>
          <w:szCs w:val="24"/>
        </w:rPr>
        <w:t xml:space="preserve">hallmark set </w:t>
      </w:r>
      <w:r w:rsidRPr="00F32ED1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 xml:space="preserve">GEO </w:t>
      </w:r>
      <w:r w:rsidRPr="00F32ED1">
        <w:rPr>
          <w:rFonts w:ascii="Times New Roman" w:hAnsi="Times New Roman" w:cs="Times New Roman"/>
          <w:sz w:val="24"/>
          <w:szCs w:val="24"/>
        </w:rPr>
        <w:t>cohort’s four subtypes (Bc1-4).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003FC">
        <w:rPr>
          <w:rFonts w:ascii="Times New Roman" w:hAnsi="Times New Roman" w:cs="Times New Roman" w:hint="eastAsia"/>
          <w:sz w:val="24"/>
          <w:szCs w:val="24"/>
        </w:rPr>
        <w:t>p</w:t>
      </w:r>
      <w:r w:rsidR="00F003FC">
        <w:rPr>
          <w:rFonts w:ascii="Times New Roman" w:hAnsi="Times New Roman" w:cs="Times New Roman"/>
          <w:sz w:val="24"/>
          <w:szCs w:val="24"/>
        </w:rPr>
        <w:t>.adjust</w:t>
      </w:r>
      <w:proofErr w:type="spellEnd"/>
      <w:proofErr w:type="gramEnd"/>
      <w:r w:rsidR="00F003FC">
        <w:rPr>
          <w:rFonts w:ascii="Times New Roman" w:hAnsi="Times New Roman" w:cs="Times New Roman"/>
          <w:sz w:val="24"/>
          <w:szCs w:val="24"/>
        </w:rPr>
        <w:t xml:space="preserve"> is calculated using the </w:t>
      </w:r>
      <w:r w:rsidR="00F003FC" w:rsidRPr="00C84918">
        <w:rPr>
          <w:rFonts w:ascii="Times New Roman" w:hAnsi="Times New Roman" w:cs="Times New Roman"/>
          <w:i/>
          <w:iCs/>
          <w:sz w:val="24"/>
          <w:szCs w:val="24"/>
        </w:rPr>
        <w:t>GSEA</w:t>
      </w:r>
      <w:r w:rsidR="00F003FC">
        <w:rPr>
          <w:rFonts w:ascii="Times New Roman" w:hAnsi="Times New Roman" w:cs="Times New Roman"/>
          <w:sz w:val="24"/>
          <w:szCs w:val="24"/>
        </w:rPr>
        <w:t xml:space="preserve"> function of </w:t>
      </w:r>
      <w:r w:rsidR="00F003FC">
        <w:rPr>
          <w:rFonts w:ascii="Times New Roman" w:hAnsi="Times New Roman" w:cs="Times New Roman" w:hint="eastAsia"/>
          <w:sz w:val="24"/>
          <w:szCs w:val="24"/>
        </w:rPr>
        <w:t>the</w:t>
      </w:r>
      <w:r w:rsidR="00F0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3FC" w:rsidRPr="00C84918">
        <w:rPr>
          <w:rFonts w:ascii="Times New Roman" w:hAnsi="Times New Roman" w:cs="Times New Roman"/>
          <w:i/>
          <w:iCs/>
          <w:sz w:val="24"/>
          <w:szCs w:val="24"/>
        </w:rPr>
        <w:t>clusterProfiler</w:t>
      </w:r>
      <w:proofErr w:type="spellEnd"/>
      <w:r w:rsidR="00F003FC" w:rsidRPr="00C849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744563">
        <w:rPr>
          <w:rFonts w:ascii="Times New Roman" w:hAnsi="Times New Roman" w:cs="Times New Roman"/>
          <w:sz w:val="24"/>
          <w:szCs w:val="24"/>
        </w:rPr>
        <w:t>package</w:t>
      </w:r>
      <w:r w:rsidR="00F003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03FC" w:rsidRPr="009B7D6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3FC" w:rsidRPr="009B7D6F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="00F003FC" w:rsidRPr="009B7D6F">
        <w:rPr>
          <w:rFonts w:ascii="Times New Roman" w:hAnsi="Times New Roman" w:cs="Times New Roman"/>
          <w:sz w:val="24"/>
          <w:szCs w:val="24"/>
        </w:rPr>
        <w:t>-Hochberg method)</w:t>
      </w:r>
      <w:r w:rsidR="00F003FC">
        <w:rPr>
          <w:rFonts w:ascii="Times New Roman" w:hAnsi="Times New Roman" w:cs="Times New Roman"/>
          <w:sz w:val="24"/>
          <w:szCs w:val="24"/>
        </w:rPr>
        <w:t>.</w:t>
      </w:r>
    </w:p>
    <w:p w14:paraId="5880C7E4" w14:textId="7A776352" w:rsidR="000409A9" w:rsidRPr="009C5137" w:rsidRDefault="00670D26">
      <w:pPr>
        <w:rPr>
          <w:rFonts w:hint="eastAsia"/>
          <w:sz w:val="20"/>
          <w:szCs w:val="21"/>
        </w:rPr>
      </w:pPr>
      <w:r w:rsidRPr="00D55249">
        <w:rPr>
          <w:noProof/>
          <w:sz w:val="20"/>
          <w:szCs w:val="21"/>
        </w:rPr>
        <w:drawing>
          <wp:inline distT="0" distB="0" distL="0" distR="0" wp14:anchorId="48C20822" wp14:editId="61063615">
            <wp:extent cx="6003233" cy="3110753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31" cy="312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9A9" w:rsidRPr="009C5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BCDF" w14:textId="77777777" w:rsidR="00DC72AB" w:rsidRDefault="00DC72AB" w:rsidP="00655DCE">
      <w:r>
        <w:separator/>
      </w:r>
    </w:p>
  </w:endnote>
  <w:endnote w:type="continuationSeparator" w:id="0">
    <w:p w14:paraId="4AB693DA" w14:textId="77777777" w:rsidR="00DC72AB" w:rsidRDefault="00DC72AB" w:rsidP="0065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15BB2" w14:textId="77777777" w:rsidR="00DC72AB" w:rsidRDefault="00DC72AB" w:rsidP="00655DCE">
      <w:r>
        <w:separator/>
      </w:r>
    </w:p>
  </w:footnote>
  <w:footnote w:type="continuationSeparator" w:id="0">
    <w:p w14:paraId="4DCC932D" w14:textId="77777777" w:rsidR="00DC72AB" w:rsidRDefault="00DC72AB" w:rsidP="00655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885"/>
    <w:multiLevelType w:val="hybridMultilevel"/>
    <w:tmpl w:val="ECD675C4"/>
    <w:lvl w:ilvl="0" w:tplc="7E226CB6">
      <w:start w:val="1"/>
      <w:numFmt w:val="upp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E8"/>
    <w:rsid w:val="000409A9"/>
    <w:rsid w:val="00065976"/>
    <w:rsid w:val="000A25DA"/>
    <w:rsid w:val="00141221"/>
    <w:rsid w:val="00175595"/>
    <w:rsid w:val="001A4327"/>
    <w:rsid w:val="001D223B"/>
    <w:rsid w:val="001D7D1E"/>
    <w:rsid w:val="002419F0"/>
    <w:rsid w:val="0027541E"/>
    <w:rsid w:val="002D40F4"/>
    <w:rsid w:val="003067BC"/>
    <w:rsid w:val="00371138"/>
    <w:rsid w:val="00383ABF"/>
    <w:rsid w:val="003C5B10"/>
    <w:rsid w:val="003D71E2"/>
    <w:rsid w:val="004848BA"/>
    <w:rsid w:val="004955B1"/>
    <w:rsid w:val="004D1612"/>
    <w:rsid w:val="004F4491"/>
    <w:rsid w:val="00564FD4"/>
    <w:rsid w:val="005650AA"/>
    <w:rsid w:val="00566C1D"/>
    <w:rsid w:val="00572D64"/>
    <w:rsid w:val="006164AE"/>
    <w:rsid w:val="00655DCE"/>
    <w:rsid w:val="00670D26"/>
    <w:rsid w:val="00680F8A"/>
    <w:rsid w:val="006B7E22"/>
    <w:rsid w:val="006D63FD"/>
    <w:rsid w:val="00725E61"/>
    <w:rsid w:val="007B3C94"/>
    <w:rsid w:val="007F27EB"/>
    <w:rsid w:val="00830D11"/>
    <w:rsid w:val="00880D77"/>
    <w:rsid w:val="008845B2"/>
    <w:rsid w:val="008B3865"/>
    <w:rsid w:val="008C3A47"/>
    <w:rsid w:val="00937F1E"/>
    <w:rsid w:val="00950F51"/>
    <w:rsid w:val="00984646"/>
    <w:rsid w:val="009866D7"/>
    <w:rsid w:val="009C5137"/>
    <w:rsid w:val="00A4276D"/>
    <w:rsid w:val="00A51006"/>
    <w:rsid w:val="00A551E6"/>
    <w:rsid w:val="00A620FB"/>
    <w:rsid w:val="00A760E8"/>
    <w:rsid w:val="00B43022"/>
    <w:rsid w:val="00B649AE"/>
    <w:rsid w:val="00B8292F"/>
    <w:rsid w:val="00B856C2"/>
    <w:rsid w:val="00C61484"/>
    <w:rsid w:val="00D35A92"/>
    <w:rsid w:val="00D37B90"/>
    <w:rsid w:val="00D55249"/>
    <w:rsid w:val="00D767EC"/>
    <w:rsid w:val="00D85550"/>
    <w:rsid w:val="00D91995"/>
    <w:rsid w:val="00DA00C7"/>
    <w:rsid w:val="00DB1751"/>
    <w:rsid w:val="00DB793E"/>
    <w:rsid w:val="00DC72AB"/>
    <w:rsid w:val="00E44D1E"/>
    <w:rsid w:val="00E8130D"/>
    <w:rsid w:val="00EA12AF"/>
    <w:rsid w:val="00EF55FC"/>
    <w:rsid w:val="00EF7653"/>
    <w:rsid w:val="00F003FC"/>
    <w:rsid w:val="00F213D9"/>
    <w:rsid w:val="00F25D3B"/>
    <w:rsid w:val="00F32ED1"/>
    <w:rsid w:val="00F80BA9"/>
    <w:rsid w:val="00FA26E6"/>
    <w:rsid w:val="00FB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50AEBF"/>
  <w15:chartTrackingRefBased/>
  <w15:docId w15:val="{9A15FE89-7BF2-4FA7-A17B-3517670C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5D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5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5DCE"/>
    <w:rPr>
      <w:sz w:val="18"/>
      <w:szCs w:val="18"/>
    </w:rPr>
  </w:style>
  <w:style w:type="paragraph" w:styleId="a7">
    <w:name w:val="List Paragraph"/>
    <w:basedOn w:val="a"/>
    <w:uiPriority w:val="34"/>
    <w:qFormat/>
    <w:rsid w:val="000409A9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A4276D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A4276D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A4276D"/>
  </w:style>
  <w:style w:type="paragraph" w:styleId="ab">
    <w:name w:val="annotation subject"/>
    <w:basedOn w:val="a9"/>
    <w:next w:val="a9"/>
    <w:link w:val="ac"/>
    <w:uiPriority w:val="99"/>
    <w:semiHidden/>
    <w:unhideWhenUsed/>
    <w:rsid w:val="00A4276D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4276D"/>
    <w:rPr>
      <w:b/>
      <w:bCs/>
    </w:rPr>
  </w:style>
  <w:style w:type="paragraph" w:styleId="ad">
    <w:name w:val="Revision"/>
    <w:hidden/>
    <w:uiPriority w:val="99"/>
    <w:semiHidden/>
    <w:rsid w:val="00D85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sv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388</Words>
  <Characters>2322</Characters>
  <Application>Microsoft Office Word</Application>
  <DocSecurity>0</DocSecurity>
  <Lines>35</Lines>
  <Paragraphs>9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qianzhi</dc:creator>
  <cp:keywords/>
  <dc:description/>
  <cp:lastModifiedBy>qianzhi</cp:lastModifiedBy>
  <cp:revision>2</cp:revision>
  <dcterms:created xsi:type="dcterms:W3CDTF">2024-09-12T10:58:00Z</dcterms:created>
  <dcterms:modified xsi:type="dcterms:W3CDTF">2024-09-12T10:58:00Z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03d6d51b8c1f04c48303f3653fc6594156c1b57b49722b2a0f86ab2eab2547bd</vt:lpwstr>
  </property>
</Properties>
</file>