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34B5E3" w14:textId="77777777" w:rsidR="0033392C" w:rsidRPr="0033392C" w:rsidRDefault="0033392C" w:rsidP="0033392C">
      <w:pPr>
        <w:spacing w:after="0" w:line="480" w:lineRule="auto"/>
        <w:rPr>
          <w:b/>
          <w:bCs/>
          <w:sz w:val="28"/>
          <w:szCs w:val="28"/>
        </w:rPr>
      </w:pPr>
      <w:r w:rsidRPr="0033392C">
        <w:rPr>
          <w:b/>
          <w:bCs/>
          <w:sz w:val="28"/>
          <w:szCs w:val="28"/>
        </w:rPr>
        <w:t>Supplemental information</w:t>
      </w:r>
    </w:p>
    <w:p w14:paraId="7DE81298" w14:textId="03394801" w:rsidR="00976074" w:rsidRDefault="00976074" w:rsidP="0033392C">
      <w:pPr>
        <w:spacing w:after="0" w:line="480" w:lineRule="auto"/>
        <w:rPr>
          <w:b/>
          <w:lang w:val="en-US"/>
        </w:rPr>
      </w:pPr>
      <w:r w:rsidRPr="00CF3A85">
        <w:rPr>
          <w:b/>
          <w:noProof/>
          <w:color w:val="000000" w:themeColor="text1"/>
        </w:rPr>
        <w:drawing>
          <wp:inline distT="0" distB="0" distL="0" distR="0" wp14:anchorId="478C0F53" wp14:editId="241D3AA6">
            <wp:extent cx="5609230" cy="7716285"/>
            <wp:effectExtent l="0" t="0" r="0" b="0"/>
            <wp:docPr id="38568308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68308" name="Picture 1" descr="A screenshot of a graph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71341" cy="7801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1F2CD" w14:textId="08BB6460" w:rsidR="00BD5C1F" w:rsidRDefault="0033392C" w:rsidP="00BD5C1F">
      <w:pPr>
        <w:spacing w:after="0" w:line="480" w:lineRule="auto"/>
        <w:rPr>
          <w:bCs/>
          <w:lang w:val="en-US"/>
        </w:rPr>
      </w:pPr>
      <w:r w:rsidRPr="0033392C">
        <w:rPr>
          <w:b/>
          <w:lang w:val="en-US"/>
        </w:rPr>
        <w:lastRenderedPageBreak/>
        <w:t xml:space="preserve">Supplementary Figure S1: </w:t>
      </w:r>
      <w:r w:rsidRPr="0033392C">
        <w:rPr>
          <w:bCs/>
          <w:lang w:val="en-US"/>
        </w:rPr>
        <w:t xml:space="preserve">Correlation of replicates in shRNA (top) and CRISPR screens (bottom). </w:t>
      </w:r>
      <w:r w:rsidR="00BD5C1F">
        <w:rPr>
          <w:bCs/>
          <w:lang w:val="en-US"/>
        </w:rPr>
        <w:br w:type="page"/>
      </w:r>
    </w:p>
    <w:p w14:paraId="3EBA0851" w14:textId="12101E88" w:rsidR="00BD5C1F" w:rsidRPr="0033392C" w:rsidRDefault="00BD5C1F" w:rsidP="0033392C">
      <w:pPr>
        <w:spacing w:after="0" w:line="480" w:lineRule="auto"/>
        <w:rPr>
          <w:bCs/>
          <w:lang w:val="en-US"/>
        </w:rPr>
      </w:pPr>
      <w:r w:rsidRPr="000B7E0D">
        <w:rPr>
          <w:b/>
          <w:bCs/>
          <w:noProof/>
        </w:rPr>
        <w:lastRenderedPageBreak/>
        <w:drawing>
          <wp:inline distT="0" distB="0" distL="0" distR="0" wp14:anchorId="0F700DD8" wp14:editId="3C860F65">
            <wp:extent cx="5943600" cy="6278245"/>
            <wp:effectExtent l="0" t="0" r="0" b="8255"/>
            <wp:docPr id="1950001522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001522" name="Picture 1" descr="A screenshot of a graph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7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248AE" w14:textId="5225F0EE" w:rsidR="00BD5C1F" w:rsidRDefault="0033392C" w:rsidP="00BD5C1F">
      <w:pPr>
        <w:spacing w:after="0" w:line="480" w:lineRule="auto"/>
      </w:pPr>
      <w:r w:rsidRPr="0033392C">
        <w:rPr>
          <w:b/>
          <w:bCs/>
        </w:rPr>
        <w:t xml:space="preserve">Supplementary Figure S2: </w:t>
      </w:r>
      <w:r w:rsidRPr="0033392C">
        <w:t xml:space="preserve">Gene expression data of </w:t>
      </w:r>
      <w:r w:rsidRPr="0033392C">
        <w:rPr>
          <w:i/>
          <w:iCs/>
        </w:rPr>
        <w:t>ISL1</w:t>
      </w:r>
      <w:r w:rsidRPr="0033392C">
        <w:t xml:space="preserve"> (A) and </w:t>
      </w:r>
      <w:r w:rsidRPr="0033392C">
        <w:rPr>
          <w:i/>
          <w:iCs/>
        </w:rPr>
        <w:t>NEUROG2</w:t>
      </w:r>
      <w:r w:rsidRPr="0033392C">
        <w:t xml:space="preserve"> (B) in normal human tissues derived from </w:t>
      </w:r>
      <w:proofErr w:type="spellStart"/>
      <w:r w:rsidRPr="0033392C">
        <w:t>GTEx</w:t>
      </w:r>
      <w:proofErr w:type="spellEnd"/>
      <w:r w:rsidRPr="0033392C">
        <w:t xml:space="preserve"> portal.</w:t>
      </w:r>
      <w:r w:rsidR="00BD5C1F">
        <w:br w:type="page"/>
      </w:r>
    </w:p>
    <w:p w14:paraId="68F3FB3C" w14:textId="60F53CC9" w:rsidR="0033392C" w:rsidRPr="0033392C" w:rsidRDefault="00AF469E" w:rsidP="0033392C">
      <w:pPr>
        <w:spacing w:after="0" w:line="480" w:lineRule="auto"/>
      </w:pPr>
      <w:r w:rsidRPr="000B3DBD">
        <w:rPr>
          <w:b/>
          <w:noProof/>
          <w:color w:val="00B050"/>
        </w:rPr>
        <w:lastRenderedPageBreak/>
        <w:drawing>
          <wp:inline distT="0" distB="0" distL="0" distR="0" wp14:anchorId="3B29D7BE" wp14:editId="3DCAA12D">
            <wp:extent cx="5943600" cy="6700520"/>
            <wp:effectExtent l="0" t="0" r="0" b="5080"/>
            <wp:docPr id="437000864" name="Picture 1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000864" name="Picture 1" descr="A close-up of a tes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0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CF806" w14:textId="03CB15C8" w:rsidR="00AF469E" w:rsidRDefault="0033392C" w:rsidP="00AF469E">
      <w:pPr>
        <w:spacing w:after="0" w:line="480" w:lineRule="auto"/>
      </w:pPr>
      <w:r w:rsidRPr="0033392C">
        <w:rPr>
          <w:b/>
          <w:bCs/>
        </w:rPr>
        <w:t>Supplementary Figure S3:</w:t>
      </w:r>
      <w:r w:rsidRPr="0033392C">
        <w:t xml:space="preserve"> Original Western blots relating to Figure 1 (A), Figure 3 (B) and Figure 4 (C and D). </w:t>
      </w:r>
      <w:r w:rsidR="00AF469E">
        <w:br w:type="page"/>
      </w:r>
    </w:p>
    <w:p w14:paraId="16ED1E31" w14:textId="77777777" w:rsidR="0033392C" w:rsidRPr="0033392C" w:rsidRDefault="0033392C" w:rsidP="0033392C">
      <w:pPr>
        <w:spacing w:after="0" w:line="480" w:lineRule="auto"/>
      </w:pPr>
      <w:r w:rsidRPr="0033392C">
        <w:rPr>
          <w:b/>
          <w:bCs/>
        </w:rPr>
        <w:lastRenderedPageBreak/>
        <w:t xml:space="preserve">Supplementary Table S1: </w:t>
      </w:r>
      <w:r w:rsidRPr="0033392C">
        <w:t>qPCR Primers</w:t>
      </w:r>
    </w:p>
    <w:p w14:paraId="3A53CE10" w14:textId="70763F8D" w:rsidR="00334844" w:rsidRDefault="0033392C" w:rsidP="0033392C">
      <w:pPr>
        <w:spacing w:after="0" w:line="480" w:lineRule="auto"/>
      </w:pPr>
      <w:r w:rsidRPr="0033392C">
        <w:rPr>
          <w:b/>
          <w:bCs/>
        </w:rPr>
        <w:t>Supplementary Table S2:</w:t>
      </w:r>
      <w:r w:rsidRPr="0033392C">
        <w:t xml:space="preserve"> List of 553 genes that are SDL to NMYC identified from CRISPR/Cas9 screen</w:t>
      </w:r>
    </w:p>
    <w:sectPr w:rsidR="00334844" w:rsidSect="00DE1CF1"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74D091" w14:textId="77777777" w:rsidR="00327B84" w:rsidRDefault="00327B84" w:rsidP="00327B84">
      <w:pPr>
        <w:spacing w:after="0" w:line="240" w:lineRule="auto"/>
      </w:pPr>
      <w:r>
        <w:separator/>
      </w:r>
    </w:p>
  </w:endnote>
  <w:endnote w:type="continuationSeparator" w:id="0">
    <w:p w14:paraId="7520E26A" w14:textId="77777777" w:rsidR="00327B84" w:rsidRDefault="00327B84" w:rsidP="00327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01467836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0A55AAC" w14:textId="77777777" w:rsidR="00DE1CF1" w:rsidRDefault="00DE1CF1" w:rsidP="00E678C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2943960" w14:textId="77777777" w:rsidR="00DE1CF1" w:rsidRDefault="00DE1CF1">
    <w:pPr>
      <w:pStyle w:val="Footer"/>
    </w:pPr>
  </w:p>
  <w:p w14:paraId="0B69D6E5" w14:textId="77777777" w:rsidR="00DE1CF1" w:rsidRDefault="00DE1CF1"/>
  <w:p w14:paraId="7665B973" w14:textId="77777777" w:rsidR="00DE1CF1" w:rsidRDefault="00DE1CF1" w:rsidP="00FA6A1E"/>
  <w:p w14:paraId="378872B2" w14:textId="77777777" w:rsidR="00DE1CF1" w:rsidRDefault="00DE1CF1" w:rsidP="00FA6A1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Fonts w:ascii="Arial" w:hAnsi="Arial" w:cs="Arial"/>
        <w:sz w:val="22"/>
        <w:szCs w:val="22"/>
      </w:rPr>
      <w:id w:val="168293473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832F2FD" w14:textId="77777777" w:rsidR="00DE1CF1" w:rsidRPr="00893ED7" w:rsidRDefault="00DE1CF1" w:rsidP="00E678C6">
        <w:pPr>
          <w:pStyle w:val="Footer"/>
          <w:framePr w:wrap="none" w:vAnchor="text" w:hAnchor="margin" w:xAlign="center" w:y="1"/>
          <w:rPr>
            <w:rStyle w:val="PageNumber"/>
            <w:rFonts w:ascii="Arial" w:hAnsi="Arial" w:cs="Arial"/>
            <w:sz w:val="22"/>
            <w:szCs w:val="22"/>
          </w:rPr>
        </w:pPr>
        <w:r w:rsidRPr="00893ED7">
          <w:rPr>
            <w:rStyle w:val="PageNumber"/>
            <w:rFonts w:ascii="Arial" w:hAnsi="Arial" w:cs="Arial"/>
            <w:sz w:val="22"/>
            <w:szCs w:val="22"/>
          </w:rPr>
          <w:fldChar w:fldCharType="begin"/>
        </w:r>
        <w:r w:rsidRPr="00893ED7">
          <w:rPr>
            <w:rStyle w:val="PageNumber"/>
            <w:rFonts w:ascii="Arial" w:hAnsi="Arial" w:cs="Arial"/>
            <w:sz w:val="22"/>
            <w:szCs w:val="22"/>
          </w:rPr>
          <w:instrText xml:space="preserve"> PAGE </w:instrText>
        </w:r>
        <w:r w:rsidRPr="00893ED7">
          <w:rPr>
            <w:rStyle w:val="PageNumber"/>
            <w:rFonts w:ascii="Arial" w:hAnsi="Arial" w:cs="Arial"/>
            <w:sz w:val="22"/>
            <w:szCs w:val="22"/>
          </w:rPr>
          <w:fldChar w:fldCharType="separate"/>
        </w:r>
        <w:r w:rsidRPr="00893ED7">
          <w:rPr>
            <w:rStyle w:val="PageNumber"/>
            <w:rFonts w:ascii="Arial" w:hAnsi="Arial" w:cs="Arial"/>
            <w:noProof/>
            <w:sz w:val="22"/>
            <w:szCs w:val="22"/>
          </w:rPr>
          <w:t>17</w:t>
        </w:r>
        <w:r w:rsidRPr="00893ED7">
          <w:rPr>
            <w:rStyle w:val="PageNumber"/>
            <w:rFonts w:ascii="Arial" w:hAnsi="Arial" w:cs="Arial"/>
            <w:sz w:val="22"/>
            <w:szCs w:val="22"/>
          </w:rPr>
          <w:fldChar w:fldCharType="end"/>
        </w:r>
      </w:p>
    </w:sdtContent>
  </w:sdt>
  <w:p w14:paraId="15A09F37" w14:textId="77777777" w:rsidR="00DE1CF1" w:rsidRPr="00893ED7" w:rsidRDefault="00DE1CF1" w:rsidP="00FA6A1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1F2184" w14:textId="77777777" w:rsidR="00327B84" w:rsidRDefault="00327B84" w:rsidP="00327B84">
      <w:pPr>
        <w:spacing w:after="0" w:line="240" w:lineRule="auto"/>
      </w:pPr>
      <w:r>
        <w:separator/>
      </w:r>
    </w:p>
  </w:footnote>
  <w:footnote w:type="continuationSeparator" w:id="0">
    <w:p w14:paraId="634C6574" w14:textId="77777777" w:rsidR="00327B84" w:rsidRDefault="00327B84" w:rsidP="00327B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E8F935" w14:textId="77777777" w:rsidR="00DE1CF1" w:rsidRPr="00D45CEC" w:rsidRDefault="00DE1CF1" w:rsidP="00D45CEC">
    <w:pPr>
      <w:pStyle w:val="Header"/>
      <w:rPr>
        <w:u w:val="single"/>
      </w:rPr>
    </w:pPr>
    <w:r w:rsidRPr="00D45CEC">
      <w:rPr>
        <w:rFonts w:ascii="Arial" w:hAnsi="Arial" w:cs="Arial"/>
        <w:color w:val="000000" w:themeColor="text1"/>
        <w:u w:val="single"/>
      </w:rPr>
      <w:t xml:space="preserve">Targeting </w:t>
    </w:r>
    <w:r w:rsidRPr="00D45CEC">
      <w:rPr>
        <w:rFonts w:ascii="Arial" w:hAnsi="Arial" w:cs="Arial"/>
        <w:i/>
        <w:iCs/>
        <w:color w:val="000000" w:themeColor="text1"/>
        <w:u w:val="single"/>
      </w:rPr>
      <w:t>MYCN</w:t>
    </w:r>
    <w:r w:rsidRPr="00D45CEC">
      <w:rPr>
        <w:rFonts w:ascii="Arial" w:hAnsi="Arial" w:cs="Arial"/>
        <w:color w:val="000000" w:themeColor="text1"/>
        <w:u w:val="single"/>
      </w:rPr>
      <w:t xml:space="preserve"> overexpressing NEPC</w:t>
    </w:r>
    <w:r w:rsidRPr="00D45CEC">
      <w:rPr>
        <w:rFonts w:ascii="Arial" w:hAnsi="Arial" w:cs="Arial"/>
        <w:color w:val="000000" w:themeColor="text1"/>
        <w:u w:val="single"/>
      </w:rPr>
      <w:tab/>
    </w:r>
    <w:r w:rsidRPr="00D45CEC">
      <w:rPr>
        <w:rFonts w:ascii="Arial" w:hAnsi="Arial" w:cs="Arial"/>
        <w:color w:val="000000" w:themeColor="text1"/>
        <w:u w:val="single"/>
      </w:rPr>
      <w:tab/>
      <w:t xml:space="preserve">Walke </w:t>
    </w:r>
    <w:r w:rsidRPr="00D45CEC">
      <w:rPr>
        <w:rFonts w:ascii="Arial" w:hAnsi="Arial" w:cs="Arial"/>
        <w:i/>
        <w:iCs/>
        <w:color w:val="000000" w:themeColor="text1"/>
        <w:u w:val="single"/>
      </w:rPr>
      <w:t>et al.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48F4EC" w14:textId="77777777" w:rsidR="00327B84" w:rsidRPr="00D45CEC" w:rsidRDefault="00327B84" w:rsidP="00327B84">
    <w:pPr>
      <w:pStyle w:val="Header"/>
      <w:rPr>
        <w:u w:val="single"/>
      </w:rPr>
    </w:pPr>
    <w:r w:rsidRPr="00D45CEC">
      <w:rPr>
        <w:rFonts w:ascii="Arial" w:hAnsi="Arial" w:cs="Arial"/>
        <w:color w:val="000000" w:themeColor="text1"/>
        <w:u w:val="single"/>
      </w:rPr>
      <w:t xml:space="preserve">Targeting </w:t>
    </w:r>
    <w:r w:rsidRPr="00D45CEC">
      <w:rPr>
        <w:rFonts w:ascii="Arial" w:hAnsi="Arial" w:cs="Arial"/>
        <w:i/>
        <w:iCs/>
        <w:color w:val="000000" w:themeColor="text1"/>
        <w:u w:val="single"/>
      </w:rPr>
      <w:t>MYCN</w:t>
    </w:r>
    <w:r w:rsidRPr="00D45CEC">
      <w:rPr>
        <w:rFonts w:ascii="Arial" w:hAnsi="Arial" w:cs="Arial"/>
        <w:color w:val="000000" w:themeColor="text1"/>
        <w:u w:val="single"/>
      </w:rPr>
      <w:t xml:space="preserve"> overexpressing NEPC</w:t>
    </w:r>
    <w:r w:rsidRPr="00D45CEC">
      <w:rPr>
        <w:rFonts w:ascii="Arial" w:hAnsi="Arial" w:cs="Arial"/>
        <w:color w:val="000000" w:themeColor="text1"/>
        <w:u w:val="single"/>
      </w:rPr>
      <w:tab/>
    </w:r>
    <w:r w:rsidRPr="00D45CEC">
      <w:rPr>
        <w:rFonts w:ascii="Arial" w:hAnsi="Arial" w:cs="Arial"/>
        <w:color w:val="000000" w:themeColor="text1"/>
        <w:u w:val="single"/>
      </w:rPr>
      <w:tab/>
      <w:t xml:space="preserve">Walke </w:t>
    </w:r>
    <w:r w:rsidRPr="00D45CEC">
      <w:rPr>
        <w:rFonts w:ascii="Arial" w:hAnsi="Arial" w:cs="Arial"/>
        <w:i/>
        <w:iCs/>
        <w:color w:val="000000" w:themeColor="text1"/>
        <w:u w:val="single"/>
      </w:rPr>
      <w:t>et al.</w:t>
    </w:r>
  </w:p>
  <w:p w14:paraId="08DB22CB" w14:textId="77777777" w:rsidR="00327B84" w:rsidRDefault="00327B8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92C"/>
    <w:rsid w:val="00201663"/>
    <w:rsid w:val="00327B84"/>
    <w:rsid w:val="0033392C"/>
    <w:rsid w:val="00334844"/>
    <w:rsid w:val="00395B46"/>
    <w:rsid w:val="00744FC3"/>
    <w:rsid w:val="00976074"/>
    <w:rsid w:val="009777F0"/>
    <w:rsid w:val="00982A2F"/>
    <w:rsid w:val="00AF469E"/>
    <w:rsid w:val="00BD5C1F"/>
    <w:rsid w:val="00DE1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AF2C2"/>
  <w15:chartTrackingRefBased/>
  <w15:docId w15:val="{52D0B6B0-6647-4464-8EAD-64C05107F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39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39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92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92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92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92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92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92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92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9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39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92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92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92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92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92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92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92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39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39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92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392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39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39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39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39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9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9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392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3392C"/>
    <w:pPr>
      <w:tabs>
        <w:tab w:val="center" w:pos="4680"/>
        <w:tab w:val="right" w:pos="9360"/>
      </w:tabs>
      <w:spacing w:after="0" w:line="240" w:lineRule="auto"/>
    </w:pPr>
    <w:rPr>
      <w:rFonts w:ascii="Times New Roman" w:eastAsiaTheme="minorEastAsia" w:hAnsi="Times New Roman" w:cs="Times New Roman"/>
      <w:kern w:val="0"/>
      <w:sz w:val="24"/>
      <w:szCs w:val="24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33392C"/>
    <w:rPr>
      <w:rFonts w:ascii="Times New Roman" w:eastAsiaTheme="minorEastAsia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3392C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33392C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33392C"/>
  </w:style>
  <w:style w:type="character" w:styleId="LineNumber">
    <w:name w:val="line number"/>
    <w:basedOn w:val="DefaultParagraphFont"/>
    <w:uiPriority w:val="99"/>
    <w:semiHidden/>
    <w:unhideWhenUsed/>
    <w:rsid w:val="003339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Maranda</dc:creator>
  <cp:keywords/>
  <dc:description/>
  <cp:lastModifiedBy>Vincent Maranda</cp:lastModifiedBy>
  <cp:revision>8</cp:revision>
  <dcterms:created xsi:type="dcterms:W3CDTF">2024-10-22T03:49:00Z</dcterms:created>
  <dcterms:modified xsi:type="dcterms:W3CDTF">2024-10-22T03:53:00Z</dcterms:modified>
</cp:coreProperties>
</file>