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17651FD" w14:textId="42D0D518" w:rsidR="002B0600" w:rsidRPr="00707700" w:rsidRDefault="003A5975" w:rsidP="00692BC3">
      <w:pPr>
        <w:adjustRightInd w:val="0"/>
        <w:snapToGrid w:val="0"/>
        <w:spacing w:line="480" w:lineRule="auto"/>
        <w:ind w:firstLineChars="200" w:firstLine="883"/>
        <w:jc w:val="center"/>
        <w:rPr>
          <w:rFonts w:ascii="Times New Roman" w:hAnsi="Times New Roman" w:cs="Times New Roman"/>
          <w:b/>
          <w:sz w:val="44"/>
          <w:szCs w:val="44"/>
        </w:rPr>
      </w:pPr>
      <w:bookmarkStart w:id="0" w:name="_Hlk46825990"/>
      <w:r w:rsidRPr="003A5975">
        <w:rPr>
          <w:rFonts w:ascii="Times New Roman" w:hAnsi="Times New Roman" w:cs="Times New Roman" w:hint="eastAsia"/>
          <w:b/>
          <w:sz w:val="44"/>
          <w:szCs w:val="44"/>
        </w:rPr>
        <w:t>Supplementary material</w:t>
      </w:r>
    </w:p>
    <w:bookmarkEnd w:id="0"/>
    <w:p w14:paraId="16E38D5D" w14:textId="1987E071" w:rsidR="00E67F29" w:rsidRPr="00A4424B" w:rsidRDefault="00506925" w:rsidP="00692BC3">
      <w:pPr>
        <w:pStyle w:val="Head"/>
        <w:adjustRightInd w:val="0"/>
        <w:snapToGrid w:val="0"/>
        <w:spacing w:before="0" w:after="0" w:line="480" w:lineRule="auto"/>
        <w:jc w:val="both"/>
        <w:rPr>
          <w:sz w:val="24"/>
          <w:szCs w:val="24"/>
        </w:rPr>
      </w:pPr>
      <w:r w:rsidRPr="00506925">
        <w:rPr>
          <w:rFonts w:hint="eastAsia"/>
          <w:sz w:val="24"/>
          <w:szCs w:val="24"/>
        </w:rPr>
        <w:t>Inhibition of BMPR2 ubiquitination-dependent degradation suppresses bladder cancer cell growth via downregulating Smurf1 expression with 8003-1841</w:t>
      </w:r>
      <w:r w:rsidR="00E67F29" w:rsidRPr="00A4424B">
        <w:rPr>
          <w:sz w:val="24"/>
          <w:szCs w:val="24"/>
        </w:rPr>
        <w:t xml:space="preserve"> </w:t>
      </w:r>
    </w:p>
    <w:p w14:paraId="7F5843D1" w14:textId="74589BF6" w:rsidR="00E67F29" w:rsidRPr="00692BC3" w:rsidRDefault="00E67F29" w:rsidP="00692BC3">
      <w:pPr>
        <w:pStyle w:val="Teaser"/>
        <w:adjustRightInd w:val="0"/>
        <w:snapToGrid w:val="0"/>
        <w:spacing w:before="0" w:line="480" w:lineRule="auto"/>
        <w:rPr>
          <w:rFonts w:eastAsiaTheme="minorEastAsia"/>
          <w:lang w:eastAsia="zh-CN"/>
        </w:rPr>
      </w:pPr>
    </w:p>
    <w:p w14:paraId="782EB650" w14:textId="5AA0A9F1" w:rsidR="00E67F29" w:rsidRPr="00B66477" w:rsidRDefault="00506925" w:rsidP="00692BC3">
      <w:pPr>
        <w:pStyle w:val="Teaser"/>
        <w:adjustRightInd w:val="0"/>
        <w:snapToGrid w:val="0"/>
        <w:spacing w:before="0" w:line="480" w:lineRule="auto"/>
        <w:jc w:val="both"/>
        <w:rPr>
          <w:rFonts w:eastAsiaTheme="minorEastAsia"/>
          <w:lang w:eastAsia="zh-CN"/>
        </w:rPr>
      </w:pPr>
      <w:bookmarkStart w:id="1" w:name="_Hlk173249056"/>
      <w:r w:rsidRPr="003A13BE">
        <w:t>Qiongli Su</w:t>
      </w:r>
      <w:r w:rsidRPr="003A13BE">
        <w:rPr>
          <w:vertAlign w:val="superscript"/>
        </w:rPr>
        <w:t>1</w:t>
      </w:r>
      <w:r w:rsidRPr="003A13BE">
        <w:rPr>
          <w:rFonts w:eastAsia="宋体" w:hint="eastAsia"/>
          <w:vertAlign w:val="superscript"/>
          <w:lang w:eastAsia="zh-CN"/>
        </w:rPr>
        <w:t>#</w:t>
      </w:r>
      <w:r w:rsidRPr="003A13BE">
        <w:t>,</w:t>
      </w:r>
      <w:r>
        <w:rPr>
          <w:rFonts w:eastAsiaTheme="minorEastAsia" w:hint="eastAsia"/>
          <w:lang w:eastAsia="zh-CN"/>
        </w:rPr>
        <w:t xml:space="preserve"> </w:t>
      </w:r>
      <w:r w:rsidRPr="003A13BE">
        <w:rPr>
          <w:rFonts w:eastAsia="宋体" w:hint="eastAsia"/>
          <w:lang w:eastAsia="zh-CN"/>
        </w:rPr>
        <w:t>Yuqing Zhang</w:t>
      </w:r>
      <w:r w:rsidRPr="003A13BE">
        <w:rPr>
          <w:rFonts w:eastAsia="宋体" w:hint="eastAsia"/>
          <w:vertAlign w:val="superscript"/>
          <w:lang w:eastAsia="zh-CN"/>
        </w:rPr>
        <w:t>2#</w:t>
      </w:r>
      <w:r w:rsidRPr="003A13BE">
        <w:t xml:space="preserve">, </w:t>
      </w:r>
      <w:r w:rsidRPr="003A13BE">
        <w:rPr>
          <w:rFonts w:eastAsia="宋体" w:hint="eastAsia"/>
          <w:lang w:eastAsia="zh-CN"/>
        </w:rPr>
        <w:t>Wu Ling</w:t>
      </w:r>
      <w:r w:rsidRPr="003A13BE">
        <w:rPr>
          <w:vertAlign w:val="superscript"/>
        </w:rPr>
        <w:t>1</w:t>
      </w:r>
      <w:r w:rsidRPr="003A13BE">
        <w:t>, Qiuhong Tan</w:t>
      </w:r>
      <w:r w:rsidRPr="003A13BE">
        <w:rPr>
          <w:vertAlign w:val="superscript"/>
        </w:rPr>
        <w:t>1</w:t>
      </w:r>
      <w:r w:rsidRPr="003A13BE">
        <w:t>,</w:t>
      </w:r>
      <w:r w:rsidRPr="003A13BE">
        <w:rPr>
          <w:rFonts w:eastAsia="宋体" w:hint="eastAsia"/>
          <w:lang w:eastAsia="zh-CN"/>
        </w:rPr>
        <w:t xml:space="preserve"> </w:t>
      </w:r>
      <w:r w:rsidRPr="003A13BE">
        <w:t>Long Wei</w:t>
      </w:r>
      <w:r w:rsidRPr="003A13BE">
        <w:rPr>
          <w:vertAlign w:val="superscript"/>
        </w:rPr>
        <w:t>1</w:t>
      </w:r>
      <w:r w:rsidRPr="003A13BE">
        <w:rPr>
          <w:rFonts w:eastAsia="宋体" w:hint="eastAsia"/>
          <w:lang w:eastAsia="zh-CN"/>
        </w:rPr>
        <w:t xml:space="preserve">, </w:t>
      </w:r>
      <w:r w:rsidRPr="003A13BE">
        <w:rPr>
          <w:rFonts w:hint="eastAsia"/>
          <w:lang w:eastAsia="zh-CN"/>
        </w:rPr>
        <w:t>Di Xiao</w:t>
      </w:r>
      <w:r w:rsidRPr="003A13BE">
        <w:rPr>
          <w:rFonts w:hint="eastAsia"/>
          <w:vertAlign w:val="superscript"/>
          <w:lang w:eastAsia="zh-CN"/>
        </w:rPr>
        <w:t>3*</w:t>
      </w:r>
      <w:r w:rsidRPr="003A13BE">
        <w:rPr>
          <w:rFonts w:hint="eastAsia"/>
          <w:lang w:eastAsia="zh-CN"/>
        </w:rPr>
        <w:t xml:space="preserve">, </w:t>
      </w:r>
      <w:r w:rsidRPr="003A13BE">
        <w:t>Li Huang</w:t>
      </w:r>
      <w:r w:rsidRPr="003A13BE">
        <w:rPr>
          <w:vertAlign w:val="superscript"/>
        </w:rPr>
        <w:t>1</w:t>
      </w:r>
      <w:r w:rsidRPr="003A13BE">
        <w:rPr>
          <w:rFonts w:eastAsiaTheme="minorEastAsia" w:hint="eastAsia"/>
          <w:vertAlign w:val="superscript"/>
          <w:lang w:eastAsia="zh-CN"/>
        </w:rPr>
        <w:t>*</w:t>
      </w:r>
      <w:bookmarkEnd w:id="1"/>
    </w:p>
    <w:p w14:paraId="4A5F617C" w14:textId="06641EC9" w:rsidR="00E67F29" w:rsidRPr="00692BC3" w:rsidRDefault="00E67F29" w:rsidP="00692BC3">
      <w:pPr>
        <w:pStyle w:val="Paragraph"/>
        <w:adjustRightInd w:val="0"/>
        <w:snapToGrid w:val="0"/>
        <w:spacing w:before="0" w:line="480" w:lineRule="auto"/>
        <w:ind w:firstLine="0"/>
        <w:rPr>
          <w:rFonts w:eastAsiaTheme="minorEastAsia"/>
          <w:lang w:eastAsia="zh-CN"/>
        </w:rPr>
      </w:pPr>
    </w:p>
    <w:p w14:paraId="64E32065" w14:textId="77777777" w:rsidR="00506925" w:rsidRPr="00506925" w:rsidRDefault="00506925" w:rsidP="00506925">
      <w:pPr>
        <w:pStyle w:val="MDPI16affiliation"/>
        <w:spacing w:line="360" w:lineRule="auto"/>
        <w:ind w:left="0" w:firstLine="0"/>
        <w:jc w:val="both"/>
        <w:rPr>
          <w:rFonts w:ascii="Times New Roman" w:eastAsiaTheme="minorEastAsia" w:hAnsi="Times New Roman"/>
          <w:sz w:val="24"/>
          <w:szCs w:val="24"/>
          <w:lang w:eastAsia="zh-CN"/>
        </w:rPr>
      </w:pPr>
      <w:r w:rsidRPr="00506925">
        <w:rPr>
          <w:rFonts w:ascii="Times New Roman" w:hAnsi="Times New Roman"/>
          <w:sz w:val="24"/>
          <w:szCs w:val="24"/>
          <w:vertAlign w:val="superscript"/>
        </w:rPr>
        <w:t>1</w:t>
      </w:r>
      <w:r w:rsidRPr="00506925">
        <w:rPr>
          <w:rFonts w:ascii="Times New Roman" w:hAnsi="Times New Roman"/>
          <w:sz w:val="24"/>
          <w:szCs w:val="24"/>
        </w:rPr>
        <w:t>Department of Pharmacy</w:t>
      </w:r>
      <w:r w:rsidRPr="00506925">
        <w:rPr>
          <w:rFonts w:ascii="Times New Roman" w:eastAsia="宋体" w:hAnsi="Times New Roman"/>
          <w:sz w:val="24"/>
          <w:szCs w:val="24"/>
        </w:rPr>
        <w:t>，</w:t>
      </w:r>
      <w:r w:rsidRPr="00506925">
        <w:rPr>
          <w:rFonts w:ascii="Times New Roman" w:hAnsi="Times New Roman"/>
          <w:sz w:val="24"/>
          <w:szCs w:val="24"/>
        </w:rPr>
        <w:t xml:space="preserve">The Affifiliated Zhuzhou Hospital Xiangya Medical College CSU, Zhuzhou, Hunan, China; </w:t>
      </w:r>
    </w:p>
    <w:p w14:paraId="785EBB8C" w14:textId="77777777" w:rsidR="00506925" w:rsidRPr="00506925" w:rsidRDefault="00506925" w:rsidP="00506925">
      <w:pPr>
        <w:pStyle w:val="MDPI16affiliation"/>
        <w:spacing w:line="360" w:lineRule="auto"/>
        <w:ind w:left="0" w:firstLine="0"/>
        <w:jc w:val="both"/>
        <w:rPr>
          <w:rFonts w:ascii="Times New Roman" w:eastAsiaTheme="minorEastAsia" w:hAnsi="Times New Roman"/>
          <w:sz w:val="24"/>
          <w:szCs w:val="24"/>
          <w:lang w:eastAsia="zh-CN"/>
        </w:rPr>
      </w:pPr>
      <w:r w:rsidRPr="00506925">
        <w:rPr>
          <w:rFonts w:ascii="Times New Roman" w:eastAsiaTheme="minorEastAsia" w:hAnsi="Times New Roman"/>
          <w:sz w:val="24"/>
          <w:szCs w:val="24"/>
          <w:vertAlign w:val="superscript"/>
          <w:lang w:eastAsia="zh-CN"/>
        </w:rPr>
        <w:t>2</w:t>
      </w:r>
      <w:r w:rsidRPr="00506925">
        <w:rPr>
          <w:rFonts w:ascii="Times New Roman" w:hAnsi="Times New Roman"/>
          <w:bCs/>
          <w:sz w:val="24"/>
          <w:szCs w:val="24"/>
        </w:rPr>
        <w:t xml:space="preserve">Department of cardiovascular, Xiangtan Central Hospital (The Affiliated Hospital of Hunan University), </w:t>
      </w:r>
      <w:r w:rsidRPr="00506925">
        <w:rPr>
          <w:rFonts w:ascii="Times New Roman" w:eastAsia="宋体" w:hAnsi="Times New Roman"/>
          <w:bCs/>
          <w:sz w:val="24"/>
          <w:szCs w:val="24"/>
          <w:lang w:eastAsia="zh-CN"/>
        </w:rPr>
        <w:t xml:space="preserve">Xian tan, 411000, </w:t>
      </w:r>
      <w:r w:rsidRPr="00506925">
        <w:rPr>
          <w:rFonts w:ascii="Times New Roman" w:hAnsi="Times New Roman"/>
          <w:sz w:val="24"/>
          <w:szCs w:val="24"/>
        </w:rPr>
        <w:t>Hunan, China;</w:t>
      </w:r>
    </w:p>
    <w:p w14:paraId="654DE989" w14:textId="77777777" w:rsidR="00506925" w:rsidRPr="00506925" w:rsidRDefault="00506925" w:rsidP="00506925">
      <w:pPr>
        <w:pStyle w:val="MDPI16affiliation"/>
        <w:spacing w:line="360" w:lineRule="auto"/>
        <w:ind w:left="0" w:firstLine="0"/>
        <w:jc w:val="both"/>
        <w:rPr>
          <w:rFonts w:ascii="Times New Roman" w:hAnsi="Times New Roman"/>
          <w:sz w:val="24"/>
          <w:szCs w:val="24"/>
        </w:rPr>
      </w:pPr>
      <w:r w:rsidRPr="00506925">
        <w:rPr>
          <w:rFonts w:ascii="Times New Roman" w:eastAsiaTheme="minorEastAsia" w:hAnsi="Times New Roman"/>
          <w:sz w:val="24"/>
          <w:szCs w:val="24"/>
          <w:vertAlign w:val="superscript"/>
          <w:lang w:eastAsia="zh-CN"/>
        </w:rPr>
        <w:t>3</w:t>
      </w:r>
      <w:r w:rsidRPr="00506925">
        <w:rPr>
          <w:rFonts w:ascii="Times New Roman" w:hAnsi="Times New Roman"/>
          <w:sz w:val="24"/>
          <w:szCs w:val="24"/>
        </w:rPr>
        <w:t>TCM and Ethnomedicine Innovation &amp; Development International Laboratory, School of Pharmacy, Hunan University of Chinese Medicine, Changsha 410208, PR China.</w:t>
      </w:r>
    </w:p>
    <w:p w14:paraId="482BBEB1" w14:textId="53D23E33" w:rsidR="00E67F29" w:rsidRDefault="00506925" w:rsidP="00506925">
      <w:pPr>
        <w:pStyle w:val="Paragraph"/>
        <w:adjustRightInd w:val="0"/>
        <w:snapToGrid w:val="0"/>
        <w:spacing w:before="0" w:line="360" w:lineRule="auto"/>
        <w:ind w:firstLine="0"/>
        <w:jc w:val="both"/>
      </w:pPr>
      <w:r w:rsidRPr="00506925">
        <w:rPr>
          <w:rFonts w:eastAsia="宋体"/>
          <w:vertAlign w:val="superscript"/>
          <w:lang w:eastAsia="zh-CN"/>
        </w:rPr>
        <w:t>#</w:t>
      </w:r>
      <w:r w:rsidRPr="00506925">
        <w:rPr>
          <w:rFonts w:eastAsiaTheme="minorEastAsia"/>
          <w:lang w:eastAsia="zh-CN"/>
        </w:rPr>
        <w:t>These authors contributed equally to this work.</w:t>
      </w:r>
    </w:p>
    <w:p w14:paraId="513F74AD" w14:textId="77777777" w:rsidR="00E67F29" w:rsidRDefault="00E67F29" w:rsidP="00692BC3">
      <w:pPr>
        <w:pStyle w:val="Paragraph"/>
        <w:adjustRightInd w:val="0"/>
        <w:snapToGrid w:val="0"/>
        <w:spacing w:before="0" w:line="480" w:lineRule="auto"/>
        <w:ind w:left="720" w:firstLine="0"/>
      </w:pPr>
    </w:p>
    <w:p w14:paraId="36CE06DA" w14:textId="0ADEE652" w:rsidR="002B0600" w:rsidRPr="001A4B09" w:rsidRDefault="00250AA2" w:rsidP="00692BC3">
      <w:pPr>
        <w:adjustRightInd w:val="0"/>
        <w:snapToGrid w:val="0"/>
        <w:spacing w:line="480" w:lineRule="auto"/>
        <w:jc w:val="both"/>
        <w:rPr>
          <w:rFonts w:ascii="Times New Roman" w:hAnsi="Times New Roman" w:cs="Times New Roman"/>
          <w:color w:val="000000"/>
          <w:lang w:val="es-ES"/>
        </w:rPr>
      </w:pPr>
      <w:r w:rsidRPr="00506925">
        <w:rPr>
          <w:rFonts w:ascii="Times New Roman" w:hAnsi="Times New Roman"/>
          <w:b/>
        </w:rPr>
        <w:t>*</w:t>
      </w:r>
      <w:r w:rsidRPr="00506925">
        <w:rPr>
          <w:rFonts w:ascii="Times New Roman" w:hAnsi="Times New Roman"/>
        </w:rPr>
        <w:t>Correspondence: Di Xiao, PhD, Tel/Fax: 86-152-0080-5870. Email: dixiao@hunnu.edu.cn (D. X</w:t>
      </w:r>
      <w:r w:rsidRPr="00506925">
        <w:rPr>
          <w:rFonts w:ascii="Times New Roman" w:eastAsiaTheme="minorEastAsia" w:hAnsi="Times New Roman"/>
        </w:rPr>
        <w:t>.</w:t>
      </w:r>
      <w:r w:rsidRPr="00506925">
        <w:rPr>
          <w:rFonts w:ascii="Times New Roman" w:hAnsi="Times New Roman"/>
        </w:rPr>
        <w:t>)</w:t>
      </w:r>
      <w:r w:rsidRPr="00506925">
        <w:rPr>
          <w:rFonts w:ascii="Times New Roman" w:eastAsiaTheme="minorEastAsia" w:hAnsi="Times New Roman"/>
        </w:rPr>
        <w:t xml:space="preserve">. </w:t>
      </w:r>
      <w:r w:rsidRPr="00506925">
        <w:rPr>
          <w:rFonts w:ascii="Times New Roman" w:hAnsi="Times New Roman"/>
        </w:rPr>
        <w:t xml:space="preserve">Li Huang, MD, Tel/Fax: 86-17707335257. Email: </w:t>
      </w:r>
      <w:hyperlink r:id="rId6" w:history="1">
        <w:r w:rsidRPr="00506925">
          <w:rPr>
            <w:rStyle w:val="a9"/>
            <w:rFonts w:ascii="Times New Roman" w:hAnsi="Times New Roman"/>
          </w:rPr>
          <w:t>azahuangli@aliyun.com(L.H.)</w:t>
        </w:r>
      </w:hyperlink>
    </w:p>
    <w:p w14:paraId="51D76E9C" w14:textId="632778EE" w:rsidR="002B0600" w:rsidRPr="002B0600" w:rsidRDefault="002B0600" w:rsidP="00692BC3">
      <w:pPr>
        <w:adjustRightInd w:val="0"/>
        <w:snapToGrid w:val="0"/>
        <w:spacing w:line="480" w:lineRule="auto"/>
        <w:rPr>
          <w:rFonts w:ascii="Times New Roman" w:hAnsi="Times New Roman" w:cs="Times New Roman"/>
          <w:lang w:val="es-ES"/>
        </w:rPr>
      </w:pPr>
    </w:p>
    <w:p w14:paraId="50BB3468" w14:textId="77777777" w:rsidR="002B0600" w:rsidRDefault="002B0600" w:rsidP="00692BC3">
      <w:pPr>
        <w:adjustRightInd w:val="0"/>
        <w:snapToGrid w:val="0"/>
        <w:spacing w:line="480" w:lineRule="auto"/>
        <w:rPr>
          <w:rFonts w:ascii="Times New Roman" w:hAnsi="Times New Roman" w:cs="Times New Roman"/>
          <w:b/>
          <w:lang w:val="es-ES"/>
        </w:rPr>
      </w:pPr>
      <w:r>
        <w:rPr>
          <w:rFonts w:ascii="Times New Roman" w:hAnsi="Times New Roman" w:cs="Times New Roman"/>
          <w:b/>
          <w:lang w:val="es-ES"/>
        </w:rPr>
        <w:br w:type="page"/>
      </w:r>
    </w:p>
    <w:p w14:paraId="72B72A4C" w14:textId="77777777" w:rsidR="00707700" w:rsidRPr="008F0B11" w:rsidRDefault="00707700" w:rsidP="00692BC3">
      <w:pPr>
        <w:adjustRightInd w:val="0"/>
        <w:snapToGrid w:val="0"/>
        <w:spacing w:line="480" w:lineRule="auto"/>
        <w:jc w:val="center"/>
        <w:rPr>
          <w:rFonts w:ascii="Times New Roman" w:hAnsi="Times New Roman" w:cs="Times New Roman"/>
          <w:b/>
          <w:bCs/>
          <w:sz w:val="30"/>
          <w:szCs w:val="30"/>
        </w:rPr>
      </w:pPr>
      <w:r w:rsidRPr="008F0B11">
        <w:rPr>
          <w:rFonts w:ascii="Times New Roman" w:hAnsi="Times New Roman" w:cs="Times New Roman"/>
          <w:b/>
          <w:bCs/>
          <w:sz w:val="30"/>
          <w:szCs w:val="30"/>
        </w:rPr>
        <w:lastRenderedPageBreak/>
        <w:t>Contents</w:t>
      </w:r>
    </w:p>
    <w:p w14:paraId="585C493E" w14:textId="6F26A253" w:rsidR="00707700" w:rsidRDefault="00707700" w:rsidP="00692BC3">
      <w:pPr>
        <w:adjustRightInd w:val="0"/>
        <w:snapToGrid w:val="0"/>
        <w:spacing w:line="480" w:lineRule="auto"/>
        <w:jc w:val="both"/>
        <w:rPr>
          <w:rFonts w:ascii="Times New Roman" w:hAnsi="Times New Roman" w:cs="Times New Roman"/>
        </w:rPr>
      </w:pPr>
      <w:r w:rsidRPr="00CE2140">
        <w:rPr>
          <w:rFonts w:ascii="Times New Roman" w:hAnsi="Times New Roman" w:cs="Times New Roman"/>
        </w:rPr>
        <w:t>Supplementary</w:t>
      </w:r>
      <w:r w:rsidR="00C045C7">
        <w:rPr>
          <w:rFonts w:ascii="Times New Roman" w:hAnsi="Times New Roman" w:cs="Times New Roman"/>
        </w:rPr>
        <w:t xml:space="preserve"> </w:t>
      </w:r>
      <w:r w:rsidRPr="00CE2140">
        <w:rPr>
          <w:rFonts w:ascii="Times New Roman" w:hAnsi="Times New Roman" w:cs="Times New Roman"/>
        </w:rPr>
        <w:t>Figures……………………………………………</w:t>
      </w:r>
      <w:r w:rsidR="00C045C7" w:rsidRPr="00CE2140">
        <w:rPr>
          <w:rFonts w:ascii="Times New Roman" w:hAnsi="Times New Roman" w:cs="Times New Roman"/>
        </w:rPr>
        <w:t>…………</w:t>
      </w:r>
      <w:r w:rsidRPr="00CE2140">
        <w:rPr>
          <w:rFonts w:ascii="Times New Roman" w:hAnsi="Times New Roman" w:cs="Times New Roman"/>
        </w:rPr>
        <w:t>……</w:t>
      </w:r>
      <w:r w:rsidR="00016B29">
        <w:rPr>
          <w:rFonts w:ascii="Times New Roman" w:hAnsi="Times New Roman" w:cs="Times New Roman"/>
        </w:rPr>
        <w:t>3</w:t>
      </w:r>
      <w:r w:rsidR="00C045C7">
        <w:rPr>
          <w:rFonts w:ascii="Times New Roman" w:hAnsi="Times New Roman" w:cs="Times New Roman"/>
        </w:rPr>
        <w:t>-</w:t>
      </w:r>
      <w:r w:rsidR="0060545F">
        <w:rPr>
          <w:rFonts w:ascii="Times New Roman" w:hAnsi="Times New Roman" w:cs="Times New Roman" w:hint="eastAsia"/>
        </w:rPr>
        <w:t>6</w:t>
      </w:r>
    </w:p>
    <w:p w14:paraId="77DE8F8E" w14:textId="653CA513" w:rsidR="00707700" w:rsidRPr="00CE2140" w:rsidRDefault="00707700" w:rsidP="00692BC3">
      <w:pPr>
        <w:adjustRightInd w:val="0"/>
        <w:snapToGrid w:val="0"/>
        <w:spacing w:line="480" w:lineRule="auto"/>
        <w:jc w:val="both"/>
        <w:rPr>
          <w:rFonts w:ascii="Times New Roman" w:hAnsi="Times New Roman" w:cs="Times New Roman"/>
        </w:rPr>
      </w:pPr>
    </w:p>
    <w:p w14:paraId="303634CC" w14:textId="187A2ADB" w:rsidR="00707700" w:rsidRPr="00C045C7" w:rsidRDefault="00707700" w:rsidP="00692BC3">
      <w:pPr>
        <w:adjustRightInd w:val="0"/>
        <w:snapToGrid w:val="0"/>
        <w:spacing w:line="480" w:lineRule="auto"/>
        <w:jc w:val="both"/>
        <w:rPr>
          <w:rFonts w:ascii="Times New Roman" w:hAnsi="Times New Roman" w:cs="Times New Roman"/>
        </w:rPr>
      </w:pPr>
    </w:p>
    <w:p w14:paraId="2A94337A" w14:textId="044B5453" w:rsidR="00707700" w:rsidRPr="00C045C7" w:rsidRDefault="00707700" w:rsidP="00692BC3">
      <w:pPr>
        <w:adjustRightInd w:val="0"/>
        <w:snapToGrid w:val="0"/>
        <w:spacing w:line="480" w:lineRule="auto"/>
        <w:jc w:val="both"/>
        <w:rPr>
          <w:rFonts w:ascii="Times New Roman" w:hAnsi="Times New Roman" w:cs="Times New Roman"/>
        </w:rPr>
      </w:pPr>
    </w:p>
    <w:p w14:paraId="1287A019" w14:textId="77777777" w:rsidR="00707700" w:rsidRPr="00CE2140" w:rsidRDefault="00707700" w:rsidP="00692BC3">
      <w:pPr>
        <w:adjustRightInd w:val="0"/>
        <w:snapToGrid w:val="0"/>
        <w:spacing w:line="480" w:lineRule="auto"/>
        <w:jc w:val="both"/>
        <w:rPr>
          <w:rFonts w:ascii="Times New Roman" w:hAnsi="Times New Roman" w:cs="Times New Roman"/>
        </w:rPr>
      </w:pPr>
    </w:p>
    <w:p w14:paraId="6F4A5924" w14:textId="77777777" w:rsidR="00506925" w:rsidRDefault="00707700" w:rsidP="00692BC3">
      <w:pPr>
        <w:adjustRightInd w:val="0"/>
        <w:snapToGrid w:val="0"/>
        <w:spacing w:line="480" w:lineRule="auto"/>
        <w:rPr>
          <w:rFonts w:hint="eastAsia"/>
          <w:noProof/>
        </w:rPr>
      </w:pPr>
      <w:r>
        <w:rPr>
          <w:rFonts w:ascii="Times New Roman" w:hAnsi="Times New Roman" w:cs="Times New Roman"/>
        </w:rPr>
        <w:br w:type="page"/>
      </w:r>
    </w:p>
    <w:p w14:paraId="4B25E75C" w14:textId="60E4C6D0" w:rsidR="00506925" w:rsidRPr="0060545F" w:rsidRDefault="0060545F" w:rsidP="00692BC3">
      <w:pPr>
        <w:adjustRightInd w:val="0"/>
        <w:snapToGrid w:val="0"/>
        <w:spacing w:line="480" w:lineRule="auto"/>
        <w:rPr>
          <w:rFonts w:ascii="Times New Roman" w:hAnsi="Times New Roman" w:cs="Times New Roman"/>
          <w:b/>
          <w:bCs/>
          <w:noProof/>
        </w:rPr>
      </w:pPr>
      <w:r w:rsidRPr="0060545F">
        <w:rPr>
          <w:rFonts w:ascii="Times New Roman" w:hAnsi="Times New Roman" w:cs="Times New Roman"/>
          <w:b/>
          <w:bCs/>
          <w:noProof/>
        </w:rPr>
        <w:lastRenderedPageBreak/>
        <w:t>Figure S1</w:t>
      </w:r>
    </w:p>
    <w:p w14:paraId="40FD08B7" w14:textId="4D847066" w:rsidR="0060545F" w:rsidRDefault="00506925" w:rsidP="00692BC3">
      <w:pPr>
        <w:adjustRightInd w:val="0"/>
        <w:snapToGrid w:val="0"/>
        <w:spacing w:line="480" w:lineRule="auto"/>
        <w:rPr>
          <w:rFonts w:ascii="Times New Roman" w:hAnsi="Times New Roman" w:cs="Times New Roman"/>
        </w:rPr>
      </w:pPr>
      <w:r>
        <w:rPr>
          <w:noProof/>
        </w:rPr>
        <w:drawing>
          <wp:inline distT="0" distB="0" distL="0" distR="0" wp14:anchorId="0FF12AAA" wp14:editId="4FA46CD3">
            <wp:extent cx="5274310" cy="3634105"/>
            <wp:effectExtent l="0" t="0" r="2540" b="4445"/>
            <wp:docPr id="6426402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74310" cy="3634105"/>
                    </a:xfrm>
                    <a:prstGeom prst="rect">
                      <a:avLst/>
                    </a:prstGeom>
                    <a:noFill/>
                    <a:ln>
                      <a:noFill/>
                    </a:ln>
                  </pic:spPr>
                </pic:pic>
              </a:graphicData>
            </a:graphic>
          </wp:inline>
        </w:drawing>
      </w:r>
    </w:p>
    <w:p w14:paraId="5062B4D6" w14:textId="721F4181" w:rsidR="0060545F" w:rsidRPr="0060545F" w:rsidRDefault="0060545F" w:rsidP="0060545F">
      <w:pPr>
        <w:jc w:val="both"/>
        <w:rPr>
          <w:rFonts w:ascii="Times New Roman" w:hAnsi="Times New Roman" w:cs="Times New Roman"/>
        </w:rPr>
      </w:pPr>
      <w:r w:rsidRPr="0060545F">
        <w:rPr>
          <w:rFonts w:ascii="Times New Roman" w:hAnsi="Times New Roman" w:cs="Times New Roman"/>
          <w:b/>
          <w:bCs/>
          <w:noProof/>
        </w:rPr>
        <w:t>Figure S1</w:t>
      </w:r>
      <w:r w:rsidRPr="0060545F">
        <w:rPr>
          <w:rFonts w:ascii="Times New Roman" w:hAnsi="Times New Roman" w:cs="Times New Roman" w:hint="eastAsia"/>
          <w:b/>
          <w:bCs/>
          <w:noProof/>
        </w:rPr>
        <w:t>. Attributes of 30,000 small molecule compounds with high affinity to Smurf1 from the ChemDiv database.</w:t>
      </w:r>
      <w:r w:rsidRPr="0060545F">
        <w:rPr>
          <w:rFonts w:ascii="Times New Roman" w:hAnsi="Times New Roman" w:cs="Times New Roman" w:hint="eastAsia"/>
          <w:noProof/>
        </w:rPr>
        <w:t xml:space="preserve"> </w:t>
      </w:r>
      <w:r>
        <w:rPr>
          <w:rFonts w:ascii="Times New Roman" w:hAnsi="Times New Roman" w:cs="Times New Roman" w:hint="eastAsia"/>
          <w:noProof/>
        </w:rPr>
        <w:t>(</w:t>
      </w:r>
      <w:r w:rsidRPr="0060545F">
        <w:rPr>
          <w:rFonts w:ascii="Times New Roman" w:hAnsi="Times New Roman" w:cs="Times New Roman" w:hint="eastAsia"/>
          <w:noProof/>
        </w:rPr>
        <w:t>A</w:t>
      </w:r>
      <w:r>
        <w:rPr>
          <w:rFonts w:ascii="Times New Roman" w:hAnsi="Times New Roman" w:cs="Times New Roman" w:hint="eastAsia"/>
          <w:noProof/>
        </w:rPr>
        <w:t>)</w:t>
      </w:r>
      <w:r w:rsidRPr="0060545F">
        <w:rPr>
          <w:rFonts w:ascii="Times New Roman" w:hAnsi="Times New Roman" w:cs="Times New Roman" w:hint="eastAsia"/>
          <w:noProof/>
        </w:rPr>
        <w:t xml:space="preserve"> The number of compounds in different affinity score ranges </w:t>
      </w:r>
      <w:r>
        <w:rPr>
          <w:rFonts w:ascii="Times New Roman" w:hAnsi="Times New Roman" w:cs="Times New Roman" w:hint="eastAsia"/>
          <w:noProof/>
        </w:rPr>
        <w:t>(B)</w:t>
      </w:r>
      <w:r w:rsidRPr="0060545F">
        <w:rPr>
          <w:rFonts w:ascii="Times New Roman" w:hAnsi="Times New Roman" w:cs="Times New Roman" w:hint="eastAsia"/>
          <w:noProof/>
        </w:rPr>
        <w:t xml:space="preserve"> The correlation between affinity score and drug-likeness score </w:t>
      </w:r>
      <w:r>
        <w:rPr>
          <w:rFonts w:ascii="Times New Roman" w:hAnsi="Times New Roman" w:cs="Times New Roman" w:hint="eastAsia"/>
          <w:noProof/>
        </w:rPr>
        <w:t>(C)</w:t>
      </w:r>
      <w:r w:rsidRPr="0060545F">
        <w:rPr>
          <w:rFonts w:ascii="Times New Roman" w:hAnsi="Times New Roman" w:cs="Times New Roman" w:hint="eastAsia"/>
          <w:noProof/>
        </w:rPr>
        <w:t xml:space="preserve"> The correlation between affinity score and Lipinski's Rule of Five score </w:t>
      </w:r>
      <w:r>
        <w:rPr>
          <w:rFonts w:ascii="Times New Roman" w:hAnsi="Times New Roman" w:cs="Times New Roman" w:hint="eastAsia"/>
          <w:noProof/>
        </w:rPr>
        <w:t>(D)</w:t>
      </w:r>
      <w:r w:rsidRPr="0060545F">
        <w:rPr>
          <w:rFonts w:ascii="Times New Roman" w:hAnsi="Times New Roman" w:cs="Times New Roman" w:hint="eastAsia"/>
          <w:noProof/>
        </w:rPr>
        <w:t xml:space="preserve"> The correlation between affinity score and molecular weight. Among these, 7308 compounds were highlighted in red, indicating their favorable drug-likeness, affinity, Lipinski's Rule compliance, and molecular weight properties.</w:t>
      </w:r>
    </w:p>
    <w:p w14:paraId="6CD8CE52" w14:textId="5A1AC775" w:rsidR="0060545F" w:rsidRDefault="0060545F">
      <w:pPr>
        <w:rPr>
          <w:rFonts w:ascii="Times New Roman" w:hAnsi="Times New Roman" w:cs="Times New Roman"/>
        </w:rPr>
      </w:pPr>
      <w:r>
        <w:rPr>
          <w:rFonts w:ascii="Times New Roman" w:hAnsi="Times New Roman" w:cs="Times New Roman"/>
        </w:rPr>
        <w:br w:type="page"/>
      </w:r>
    </w:p>
    <w:p w14:paraId="51F8B6AA" w14:textId="77777777" w:rsidR="00707700" w:rsidRDefault="00707700" w:rsidP="00692BC3">
      <w:pPr>
        <w:adjustRightInd w:val="0"/>
        <w:snapToGrid w:val="0"/>
        <w:spacing w:line="480" w:lineRule="auto"/>
        <w:rPr>
          <w:rFonts w:ascii="Times New Roman" w:hAnsi="Times New Roman" w:cs="Times New Roman"/>
        </w:rPr>
      </w:pPr>
    </w:p>
    <w:p w14:paraId="240CD395" w14:textId="716028FF" w:rsidR="00506925" w:rsidRDefault="0060545F" w:rsidP="00692BC3">
      <w:pPr>
        <w:adjustRightInd w:val="0"/>
        <w:snapToGrid w:val="0"/>
        <w:spacing w:line="480" w:lineRule="auto"/>
        <w:rPr>
          <w:rFonts w:ascii="Times New Roman" w:hAnsi="Times New Roman" w:cs="Times New Roman"/>
        </w:rPr>
      </w:pPr>
      <w:r w:rsidRPr="0060545F">
        <w:rPr>
          <w:rFonts w:ascii="Times New Roman" w:hAnsi="Times New Roman" w:cs="Times New Roman"/>
          <w:b/>
          <w:bCs/>
          <w:noProof/>
        </w:rPr>
        <w:t>Figure S</w:t>
      </w:r>
      <w:r>
        <w:rPr>
          <w:rFonts w:ascii="Times New Roman" w:hAnsi="Times New Roman" w:cs="Times New Roman" w:hint="eastAsia"/>
          <w:b/>
          <w:bCs/>
          <w:noProof/>
        </w:rPr>
        <w:t>2</w:t>
      </w:r>
    </w:p>
    <w:p w14:paraId="38C9C2BB" w14:textId="261E9A07" w:rsidR="00506925" w:rsidRDefault="00506925" w:rsidP="00692BC3">
      <w:pPr>
        <w:adjustRightInd w:val="0"/>
        <w:snapToGrid w:val="0"/>
        <w:spacing w:line="480" w:lineRule="auto"/>
        <w:rPr>
          <w:rFonts w:ascii="Times New Roman" w:hAnsi="Times New Roman" w:cs="Times New Roman"/>
          <w:b/>
          <w:lang w:val="es-ES"/>
        </w:rPr>
      </w:pPr>
      <w:r>
        <w:rPr>
          <w:noProof/>
        </w:rPr>
        <w:drawing>
          <wp:inline distT="0" distB="0" distL="0" distR="0" wp14:anchorId="336152DD" wp14:editId="09C10D28">
            <wp:extent cx="5274310" cy="3729355"/>
            <wp:effectExtent l="0" t="0" r="2540" b="4445"/>
            <wp:docPr id="12612238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4310" cy="3729355"/>
                    </a:xfrm>
                    <a:prstGeom prst="rect">
                      <a:avLst/>
                    </a:prstGeom>
                    <a:noFill/>
                    <a:ln>
                      <a:noFill/>
                    </a:ln>
                  </pic:spPr>
                </pic:pic>
              </a:graphicData>
            </a:graphic>
          </wp:inline>
        </w:drawing>
      </w:r>
    </w:p>
    <w:p w14:paraId="3601BFE4" w14:textId="46668668" w:rsidR="0060545F" w:rsidRDefault="0060545F" w:rsidP="0060545F">
      <w:pPr>
        <w:adjustRightInd w:val="0"/>
        <w:snapToGrid w:val="0"/>
        <w:spacing w:line="480" w:lineRule="auto"/>
        <w:jc w:val="both"/>
        <w:rPr>
          <w:rFonts w:ascii="Times New Roman" w:hAnsi="Times New Roman" w:cs="Times New Roman"/>
          <w:b/>
          <w:lang w:val="es-ES"/>
        </w:rPr>
      </w:pPr>
      <w:r w:rsidRPr="0060545F">
        <w:rPr>
          <w:rFonts w:ascii="Times New Roman" w:hAnsi="Times New Roman" w:cs="Times New Roman"/>
          <w:b/>
          <w:bCs/>
          <w:noProof/>
        </w:rPr>
        <w:t>Figure S</w:t>
      </w:r>
      <w:r>
        <w:rPr>
          <w:rFonts w:ascii="Times New Roman" w:hAnsi="Times New Roman" w:cs="Times New Roman" w:hint="eastAsia"/>
          <w:b/>
          <w:bCs/>
          <w:noProof/>
        </w:rPr>
        <w:t>2</w:t>
      </w:r>
      <w:r w:rsidRPr="0060545F">
        <w:rPr>
          <w:rFonts w:ascii="Times New Roman" w:hAnsi="Times New Roman" w:cs="Times New Roman" w:hint="eastAsia"/>
          <w:b/>
          <w:bCs/>
          <w:noProof/>
        </w:rPr>
        <w:t xml:space="preserve">. Drug-likeness properties of 7308 small molecule compounds. </w:t>
      </w:r>
      <w:r w:rsidRPr="0060545F">
        <w:rPr>
          <w:rFonts w:ascii="Times New Roman" w:hAnsi="Times New Roman" w:cs="Times New Roman" w:hint="eastAsia"/>
          <w:noProof/>
        </w:rPr>
        <w:t>Among these, 4846 compounds were further identified in red as having superior drug-likeness properties.</w:t>
      </w:r>
    </w:p>
    <w:p w14:paraId="004F8339" w14:textId="0F605750" w:rsidR="0060545F" w:rsidRDefault="0060545F">
      <w:pPr>
        <w:rPr>
          <w:rFonts w:ascii="Times New Roman" w:hAnsi="Times New Roman" w:cs="Times New Roman"/>
          <w:b/>
          <w:lang w:val="es-ES"/>
        </w:rPr>
      </w:pPr>
      <w:r>
        <w:rPr>
          <w:rFonts w:ascii="Times New Roman" w:hAnsi="Times New Roman" w:cs="Times New Roman"/>
          <w:b/>
          <w:lang w:val="es-ES"/>
        </w:rPr>
        <w:br w:type="page"/>
      </w:r>
    </w:p>
    <w:p w14:paraId="7E026157" w14:textId="77777777" w:rsidR="00506925" w:rsidRDefault="00506925" w:rsidP="00692BC3">
      <w:pPr>
        <w:adjustRightInd w:val="0"/>
        <w:snapToGrid w:val="0"/>
        <w:spacing w:line="480" w:lineRule="auto"/>
        <w:rPr>
          <w:rFonts w:ascii="Times New Roman" w:hAnsi="Times New Roman" w:cs="Times New Roman"/>
          <w:b/>
          <w:lang w:val="es-ES"/>
        </w:rPr>
      </w:pPr>
    </w:p>
    <w:p w14:paraId="7AE6EF67" w14:textId="6498ECEA" w:rsidR="0060545F" w:rsidRDefault="0060545F" w:rsidP="00692BC3">
      <w:pPr>
        <w:adjustRightInd w:val="0"/>
        <w:snapToGrid w:val="0"/>
        <w:spacing w:line="480" w:lineRule="auto"/>
        <w:rPr>
          <w:rFonts w:ascii="Times New Roman" w:hAnsi="Times New Roman" w:cs="Times New Roman"/>
          <w:b/>
          <w:lang w:val="es-ES"/>
        </w:rPr>
      </w:pPr>
      <w:r w:rsidRPr="0060545F">
        <w:rPr>
          <w:rFonts w:ascii="Times New Roman" w:hAnsi="Times New Roman" w:cs="Times New Roman"/>
          <w:b/>
          <w:bCs/>
          <w:noProof/>
        </w:rPr>
        <w:t>Figure S</w:t>
      </w:r>
      <w:r>
        <w:rPr>
          <w:rFonts w:ascii="Times New Roman" w:hAnsi="Times New Roman" w:cs="Times New Roman" w:hint="eastAsia"/>
          <w:b/>
          <w:bCs/>
          <w:noProof/>
        </w:rPr>
        <w:t>3</w:t>
      </w:r>
    </w:p>
    <w:p w14:paraId="0582C99F" w14:textId="62EE4E4F" w:rsidR="00506925" w:rsidRDefault="00506925" w:rsidP="00692BC3">
      <w:pPr>
        <w:adjustRightInd w:val="0"/>
        <w:snapToGrid w:val="0"/>
        <w:spacing w:line="480" w:lineRule="auto"/>
        <w:rPr>
          <w:rFonts w:ascii="Times New Roman" w:hAnsi="Times New Roman" w:cs="Times New Roman"/>
          <w:b/>
          <w:lang w:val="es-ES"/>
        </w:rPr>
      </w:pPr>
      <w:r>
        <w:rPr>
          <w:noProof/>
        </w:rPr>
        <w:drawing>
          <wp:inline distT="0" distB="0" distL="0" distR="0" wp14:anchorId="7EC5002E" wp14:editId="286BE514">
            <wp:extent cx="5274310" cy="2300605"/>
            <wp:effectExtent l="0" t="0" r="2540" b="4445"/>
            <wp:docPr id="102667979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2300605"/>
                    </a:xfrm>
                    <a:prstGeom prst="rect">
                      <a:avLst/>
                    </a:prstGeom>
                    <a:noFill/>
                    <a:ln>
                      <a:noFill/>
                    </a:ln>
                  </pic:spPr>
                </pic:pic>
              </a:graphicData>
            </a:graphic>
          </wp:inline>
        </w:drawing>
      </w:r>
    </w:p>
    <w:p w14:paraId="5ADD0FEE" w14:textId="5E2D590B" w:rsidR="00506925" w:rsidRPr="0060545F" w:rsidRDefault="0060545F" w:rsidP="0060545F">
      <w:pPr>
        <w:adjustRightInd w:val="0"/>
        <w:snapToGrid w:val="0"/>
        <w:spacing w:line="480" w:lineRule="auto"/>
        <w:jc w:val="both"/>
        <w:rPr>
          <w:rFonts w:ascii="Times New Roman" w:hAnsi="Times New Roman" w:cs="Times New Roman"/>
          <w:lang w:val="es-ES"/>
        </w:rPr>
      </w:pPr>
      <w:r w:rsidRPr="0060545F">
        <w:rPr>
          <w:rFonts w:ascii="Times New Roman" w:hAnsi="Times New Roman" w:cs="Times New Roman"/>
          <w:b/>
          <w:bCs/>
          <w:noProof/>
        </w:rPr>
        <w:t>Figure S</w:t>
      </w:r>
      <w:r>
        <w:rPr>
          <w:rFonts w:ascii="Times New Roman" w:hAnsi="Times New Roman" w:cs="Times New Roman" w:hint="eastAsia"/>
          <w:b/>
          <w:bCs/>
          <w:noProof/>
        </w:rPr>
        <w:t>3</w:t>
      </w:r>
      <w:r w:rsidRPr="0060545F">
        <w:rPr>
          <w:rFonts w:ascii="Times New Roman" w:hAnsi="Times New Roman" w:cs="Times New Roman" w:hint="eastAsia"/>
          <w:b/>
          <w:bCs/>
          <w:noProof/>
        </w:rPr>
        <w:t xml:space="preserve">. The correlation between structural diversity and affinity score of 4846 compounds. </w:t>
      </w:r>
      <w:r w:rsidRPr="0060545F">
        <w:rPr>
          <w:rFonts w:ascii="Times New Roman" w:hAnsi="Times New Roman" w:cs="Times New Roman" w:hint="eastAsia"/>
          <w:noProof/>
        </w:rPr>
        <w:t>Among these compounds, under the threshold set at 0.4 for common scaffold classification, the 4846 compounds can be divided into 154 groups. Within each group, 643 compounds with good affinity (less than -9 or close to -9) are highlighted in red.</w:t>
      </w:r>
    </w:p>
    <w:p w14:paraId="28927D6C" w14:textId="34F5768F" w:rsidR="0060545F" w:rsidRDefault="0060545F">
      <w:pPr>
        <w:rPr>
          <w:rFonts w:ascii="Times New Roman" w:hAnsi="Times New Roman" w:cs="Times New Roman"/>
          <w:b/>
          <w:lang w:val="es-ES"/>
        </w:rPr>
      </w:pPr>
      <w:r>
        <w:rPr>
          <w:rFonts w:ascii="Times New Roman" w:hAnsi="Times New Roman" w:cs="Times New Roman"/>
          <w:b/>
          <w:lang w:val="es-ES"/>
        </w:rPr>
        <w:br w:type="page"/>
      </w:r>
    </w:p>
    <w:p w14:paraId="47D221BE" w14:textId="77777777" w:rsidR="0060545F" w:rsidRDefault="0060545F" w:rsidP="00692BC3">
      <w:pPr>
        <w:adjustRightInd w:val="0"/>
        <w:snapToGrid w:val="0"/>
        <w:spacing w:line="480" w:lineRule="auto"/>
        <w:rPr>
          <w:rFonts w:ascii="Times New Roman" w:hAnsi="Times New Roman" w:cs="Times New Roman"/>
          <w:b/>
          <w:lang w:val="es-ES"/>
        </w:rPr>
      </w:pPr>
    </w:p>
    <w:p w14:paraId="4C582C5A" w14:textId="27F79C5F" w:rsidR="00506925" w:rsidRDefault="0060545F" w:rsidP="00692BC3">
      <w:pPr>
        <w:adjustRightInd w:val="0"/>
        <w:snapToGrid w:val="0"/>
        <w:spacing w:line="480" w:lineRule="auto"/>
        <w:rPr>
          <w:rFonts w:ascii="Times New Roman" w:hAnsi="Times New Roman" w:cs="Times New Roman"/>
          <w:b/>
          <w:lang w:val="es-ES"/>
        </w:rPr>
      </w:pPr>
      <w:r w:rsidRPr="0060545F">
        <w:rPr>
          <w:rFonts w:ascii="Times New Roman" w:hAnsi="Times New Roman" w:cs="Times New Roman"/>
          <w:b/>
          <w:bCs/>
          <w:noProof/>
        </w:rPr>
        <w:t>Figure S</w:t>
      </w:r>
      <w:r>
        <w:rPr>
          <w:rFonts w:ascii="Times New Roman" w:hAnsi="Times New Roman" w:cs="Times New Roman" w:hint="eastAsia"/>
          <w:b/>
          <w:bCs/>
          <w:noProof/>
        </w:rPr>
        <w:t>4</w:t>
      </w:r>
    </w:p>
    <w:p w14:paraId="40BC49A4" w14:textId="007CEE0F" w:rsidR="00506925" w:rsidRDefault="00506925" w:rsidP="00692BC3">
      <w:pPr>
        <w:adjustRightInd w:val="0"/>
        <w:snapToGrid w:val="0"/>
        <w:spacing w:line="480" w:lineRule="auto"/>
        <w:rPr>
          <w:rFonts w:ascii="Times New Roman" w:hAnsi="Times New Roman" w:cs="Times New Roman"/>
          <w:b/>
          <w:lang w:val="es-ES"/>
        </w:rPr>
      </w:pPr>
      <w:r>
        <w:rPr>
          <w:noProof/>
        </w:rPr>
        <w:drawing>
          <wp:inline distT="0" distB="0" distL="0" distR="0" wp14:anchorId="69A08C90" wp14:editId="056EBCC7">
            <wp:extent cx="5274310" cy="2586990"/>
            <wp:effectExtent l="0" t="0" r="2540" b="3810"/>
            <wp:docPr id="79523097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2586990"/>
                    </a:xfrm>
                    <a:prstGeom prst="rect">
                      <a:avLst/>
                    </a:prstGeom>
                    <a:noFill/>
                    <a:ln>
                      <a:noFill/>
                    </a:ln>
                  </pic:spPr>
                </pic:pic>
              </a:graphicData>
            </a:graphic>
          </wp:inline>
        </w:drawing>
      </w:r>
    </w:p>
    <w:p w14:paraId="77CAE7BC" w14:textId="263264CF" w:rsidR="0060545F" w:rsidRPr="0060545F" w:rsidRDefault="0060545F" w:rsidP="0060545F">
      <w:pPr>
        <w:adjustRightInd w:val="0"/>
        <w:snapToGrid w:val="0"/>
        <w:spacing w:line="480" w:lineRule="auto"/>
        <w:jc w:val="both"/>
        <w:rPr>
          <w:rFonts w:ascii="Times New Roman" w:hAnsi="Times New Roman" w:cs="Times New Roman"/>
          <w:lang w:val="es-ES"/>
        </w:rPr>
      </w:pPr>
      <w:r w:rsidRPr="0060545F">
        <w:rPr>
          <w:rFonts w:ascii="Times New Roman" w:hAnsi="Times New Roman" w:cs="Times New Roman"/>
          <w:b/>
          <w:bCs/>
          <w:noProof/>
        </w:rPr>
        <w:t>Figure S</w:t>
      </w:r>
      <w:r>
        <w:rPr>
          <w:rFonts w:ascii="Times New Roman" w:hAnsi="Times New Roman" w:cs="Times New Roman" w:hint="eastAsia"/>
          <w:b/>
          <w:bCs/>
          <w:noProof/>
        </w:rPr>
        <w:t>4</w:t>
      </w:r>
      <w:r w:rsidRPr="0060545F">
        <w:rPr>
          <w:rFonts w:ascii="Times New Roman" w:hAnsi="Times New Roman" w:cs="Times New Roman" w:hint="eastAsia"/>
          <w:b/>
          <w:bCs/>
          <w:noProof/>
        </w:rPr>
        <w:t xml:space="preserve">. The correlation between structural diversity and affinity score of 643 compounds. </w:t>
      </w:r>
      <w:r w:rsidRPr="0060545F">
        <w:rPr>
          <w:rFonts w:ascii="Times New Roman" w:hAnsi="Times New Roman" w:cs="Times New Roman" w:hint="eastAsia"/>
          <w:noProof/>
        </w:rPr>
        <w:t>Under the threshold set at 0.7 for common scaffold classification, the 643 compounds can be divided into 86 groups. Within each group, 155 compounds with good affinity are highlighted in red.</w:t>
      </w:r>
    </w:p>
    <w:sectPr w:rsidR="0060545F" w:rsidRPr="0060545F" w:rsidSect="00692BC3">
      <w:footerReference w:type="default" r:id="rId11"/>
      <w:pgSz w:w="11906" w:h="16838"/>
      <w:pgMar w:top="1440" w:right="1800" w:bottom="1440" w:left="1800" w:header="851" w:footer="992" w:gutter="0"/>
      <w:lnNumType w:countBy="1" w:restart="continuous"/>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3AAB152" w14:textId="77777777" w:rsidR="00D67B41" w:rsidRDefault="00D67B41" w:rsidP="00AE3297">
      <w:pPr>
        <w:rPr>
          <w:rFonts w:hint="eastAsia"/>
        </w:rPr>
      </w:pPr>
      <w:r>
        <w:separator/>
      </w:r>
    </w:p>
  </w:endnote>
  <w:endnote w:type="continuationSeparator" w:id="0">
    <w:p w14:paraId="3EE09390" w14:textId="77777777" w:rsidR="00D67B41" w:rsidRDefault="00D67B41" w:rsidP="00AE3297">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AdvOT21de4310">
    <w:altName w:val="Cambria"/>
    <w:panose1 w:val="00000000000000000000"/>
    <w:charset w:val="00"/>
    <w:family w:val="roman"/>
    <w:notTrueType/>
    <w:pitch w:val="default"/>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78860093"/>
      <w:docPartObj>
        <w:docPartGallery w:val="Page Numbers (Bottom of Page)"/>
        <w:docPartUnique/>
      </w:docPartObj>
    </w:sdtPr>
    <w:sdtContent>
      <w:p w14:paraId="2DB6B42F" w14:textId="78626D22" w:rsidR="00C045C7" w:rsidRDefault="00C045C7">
        <w:pPr>
          <w:pStyle w:val="a5"/>
          <w:jc w:val="center"/>
          <w:rPr>
            <w:rFonts w:hint="eastAsia"/>
          </w:rPr>
        </w:pPr>
        <w:r>
          <w:fldChar w:fldCharType="begin"/>
        </w:r>
        <w:r>
          <w:instrText>PAGE   \* MERGEFORMAT</w:instrText>
        </w:r>
        <w:r>
          <w:fldChar w:fldCharType="separate"/>
        </w:r>
        <w:r>
          <w:rPr>
            <w:lang w:val="zh-CN"/>
          </w:rPr>
          <w:t>2</w:t>
        </w:r>
        <w:r>
          <w:fldChar w:fldCharType="end"/>
        </w:r>
      </w:p>
    </w:sdtContent>
  </w:sdt>
  <w:p w14:paraId="1E764174" w14:textId="77777777" w:rsidR="00C045C7" w:rsidRDefault="00C045C7">
    <w:pPr>
      <w:pStyle w:val="a5"/>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0B668B2" w14:textId="77777777" w:rsidR="00D67B41" w:rsidRDefault="00D67B41" w:rsidP="00AE3297">
      <w:pPr>
        <w:rPr>
          <w:rFonts w:hint="eastAsia"/>
        </w:rPr>
      </w:pPr>
      <w:r>
        <w:separator/>
      </w:r>
    </w:p>
  </w:footnote>
  <w:footnote w:type="continuationSeparator" w:id="0">
    <w:p w14:paraId="651DE20A" w14:textId="77777777" w:rsidR="00D67B41" w:rsidRDefault="00D67B41" w:rsidP="00AE3297">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bordersDoNotSurroundHeader/>
  <w:bordersDoNotSurroundFooter/>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2B0600"/>
    <w:rsid w:val="00016B29"/>
    <w:rsid w:val="000624EE"/>
    <w:rsid w:val="0006667E"/>
    <w:rsid w:val="00082E45"/>
    <w:rsid w:val="000A0494"/>
    <w:rsid w:val="000A4226"/>
    <w:rsid w:val="000B4C2E"/>
    <w:rsid w:val="000B606C"/>
    <w:rsid w:val="000C00C4"/>
    <w:rsid w:val="000C3042"/>
    <w:rsid w:val="000D0B2D"/>
    <w:rsid w:val="000D7ACB"/>
    <w:rsid w:val="000F011C"/>
    <w:rsid w:val="000F59E6"/>
    <w:rsid w:val="001415D1"/>
    <w:rsid w:val="0017559D"/>
    <w:rsid w:val="0019657F"/>
    <w:rsid w:val="001A4B09"/>
    <w:rsid w:val="001A66DA"/>
    <w:rsid w:val="001B73F9"/>
    <w:rsid w:val="001C561A"/>
    <w:rsid w:val="002074E8"/>
    <w:rsid w:val="00250AA2"/>
    <w:rsid w:val="0027136F"/>
    <w:rsid w:val="00275AB2"/>
    <w:rsid w:val="002B0600"/>
    <w:rsid w:val="00316449"/>
    <w:rsid w:val="00351362"/>
    <w:rsid w:val="003576E9"/>
    <w:rsid w:val="00370089"/>
    <w:rsid w:val="003728AB"/>
    <w:rsid w:val="003A5975"/>
    <w:rsid w:val="003E09EF"/>
    <w:rsid w:val="003F490D"/>
    <w:rsid w:val="003F694C"/>
    <w:rsid w:val="004479F7"/>
    <w:rsid w:val="00461FA4"/>
    <w:rsid w:val="004A68B4"/>
    <w:rsid w:val="004B7FB5"/>
    <w:rsid w:val="004F0F66"/>
    <w:rsid w:val="004F33C2"/>
    <w:rsid w:val="00506925"/>
    <w:rsid w:val="00520594"/>
    <w:rsid w:val="00537436"/>
    <w:rsid w:val="0054562E"/>
    <w:rsid w:val="00562DF3"/>
    <w:rsid w:val="00564B3A"/>
    <w:rsid w:val="0058151A"/>
    <w:rsid w:val="005854B9"/>
    <w:rsid w:val="005B3F4B"/>
    <w:rsid w:val="005C42EB"/>
    <w:rsid w:val="005F681A"/>
    <w:rsid w:val="00601558"/>
    <w:rsid w:val="006023EE"/>
    <w:rsid w:val="0060545F"/>
    <w:rsid w:val="0062755B"/>
    <w:rsid w:val="00644EE1"/>
    <w:rsid w:val="00646747"/>
    <w:rsid w:val="0065734C"/>
    <w:rsid w:val="0068793B"/>
    <w:rsid w:val="00692BC3"/>
    <w:rsid w:val="00694D3D"/>
    <w:rsid w:val="00695F86"/>
    <w:rsid w:val="006A1E53"/>
    <w:rsid w:val="006E012D"/>
    <w:rsid w:val="00707700"/>
    <w:rsid w:val="007259BC"/>
    <w:rsid w:val="00756C14"/>
    <w:rsid w:val="0077039F"/>
    <w:rsid w:val="007709E5"/>
    <w:rsid w:val="007B0C8E"/>
    <w:rsid w:val="007B2891"/>
    <w:rsid w:val="007E1695"/>
    <w:rsid w:val="007F426D"/>
    <w:rsid w:val="00812A6D"/>
    <w:rsid w:val="008203A7"/>
    <w:rsid w:val="008340C1"/>
    <w:rsid w:val="008511B9"/>
    <w:rsid w:val="0085164B"/>
    <w:rsid w:val="00852CCF"/>
    <w:rsid w:val="008703F6"/>
    <w:rsid w:val="008C10C6"/>
    <w:rsid w:val="008D2D29"/>
    <w:rsid w:val="008D7763"/>
    <w:rsid w:val="008F2E4E"/>
    <w:rsid w:val="009131F7"/>
    <w:rsid w:val="00914C4A"/>
    <w:rsid w:val="0092437F"/>
    <w:rsid w:val="00954E26"/>
    <w:rsid w:val="009958F4"/>
    <w:rsid w:val="009B261F"/>
    <w:rsid w:val="009B6D00"/>
    <w:rsid w:val="009C033F"/>
    <w:rsid w:val="009E0637"/>
    <w:rsid w:val="009E6112"/>
    <w:rsid w:val="00A0666C"/>
    <w:rsid w:val="00A111E1"/>
    <w:rsid w:val="00A34AC5"/>
    <w:rsid w:val="00A655BB"/>
    <w:rsid w:val="00AB2851"/>
    <w:rsid w:val="00AD0E3A"/>
    <w:rsid w:val="00AE3297"/>
    <w:rsid w:val="00AE3EC9"/>
    <w:rsid w:val="00AE7FE1"/>
    <w:rsid w:val="00B05338"/>
    <w:rsid w:val="00B135F0"/>
    <w:rsid w:val="00B26FA0"/>
    <w:rsid w:val="00B3733C"/>
    <w:rsid w:val="00B47C31"/>
    <w:rsid w:val="00B929C3"/>
    <w:rsid w:val="00BC5B29"/>
    <w:rsid w:val="00C045C7"/>
    <w:rsid w:val="00C30BF6"/>
    <w:rsid w:val="00C354E8"/>
    <w:rsid w:val="00C5027F"/>
    <w:rsid w:val="00C54C0F"/>
    <w:rsid w:val="00C56EF8"/>
    <w:rsid w:val="00C77DCE"/>
    <w:rsid w:val="00C86E37"/>
    <w:rsid w:val="00C95C13"/>
    <w:rsid w:val="00CD277D"/>
    <w:rsid w:val="00CD6158"/>
    <w:rsid w:val="00CD6261"/>
    <w:rsid w:val="00CE00BE"/>
    <w:rsid w:val="00D14A31"/>
    <w:rsid w:val="00D41952"/>
    <w:rsid w:val="00D6414F"/>
    <w:rsid w:val="00D67B41"/>
    <w:rsid w:val="00D746C7"/>
    <w:rsid w:val="00D81DD8"/>
    <w:rsid w:val="00DA3CFC"/>
    <w:rsid w:val="00DA54FD"/>
    <w:rsid w:val="00E03994"/>
    <w:rsid w:val="00E25241"/>
    <w:rsid w:val="00E44E3F"/>
    <w:rsid w:val="00E504BA"/>
    <w:rsid w:val="00E6002E"/>
    <w:rsid w:val="00E6446D"/>
    <w:rsid w:val="00E67F29"/>
    <w:rsid w:val="00E718CD"/>
    <w:rsid w:val="00E75AD2"/>
    <w:rsid w:val="00E835A1"/>
    <w:rsid w:val="00E90969"/>
    <w:rsid w:val="00EA6D95"/>
    <w:rsid w:val="00EC4898"/>
    <w:rsid w:val="00EE335F"/>
    <w:rsid w:val="00EE3C49"/>
    <w:rsid w:val="00F10AA9"/>
    <w:rsid w:val="00F1595E"/>
    <w:rsid w:val="00F17EE6"/>
    <w:rsid w:val="00F263BC"/>
    <w:rsid w:val="00F52332"/>
    <w:rsid w:val="00F92A63"/>
    <w:rsid w:val="00F941DC"/>
    <w:rsid w:val="00FA6F7B"/>
    <w:rsid w:val="00FC094F"/>
    <w:rsid w:val="00FF47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B1A5C8E"/>
  <w14:defaultImageDpi w14:val="32767"/>
  <w15:chartTrackingRefBased/>
  <w15:docId w15:val="{A0FA6005-9E11-49A4-92FD-AAEB255086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B0600"/>
    <w:rPr>
      <w:rFonts w:ascii="宋体" w:eastAsia="宋体" w:hAnsi="宋体" w:cs="宋体"/>
      <w:kern w:val="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21">
    <w:name w:val="fontstyle21"/>
    <w:basedOn w:val="a0"/>
    <w:qFormat/>
    <w:rsid w:val="002B0600"/>
    <w:rPr>
      <w:rFonts w:ascii="Times New Roman" w:hAnsi="Times New Roman" w:cs="Times New Roman" w:hint="default"/>
      <w:color w:val="000000"/>
      <w:sz w:val="18"/>
      <w:szCs w:val="18"/>
    </w:rPr>
  </w:style>
  <w:style w:type="paragraph" w:styleId="a3">
    <w:name w:val="header"/>
    <w:basedOn w:val="a"/>
    <w:link w:val="a4"/>
    <w:uiPriority w:val="99"/>
    <w:unhideWhenUsed/>
    <w:rsid w:val="00AE3297"/>
    <w:pPr>
      <w:tabs>
        <w:tab w:val="center" w:pos="4153"/>
        <w:tab w:val="right" w:pos="8306"/>
      </w:tabs>
      <w:snapToGrid w:val="0"/>
      <w:jc w:val="center"/>
    </w:pPr>
    <w:rPr>
      <w:sz w:val="18"/>
      <w:szCs w:val="18"/>
    </w:rPr>
  </w:style>
  <w:style w:type="character" w:customStyle="1" w:styleId="a4">
    <w:name w:val="页眉 字符"/>
    <w:basedOn w:val="a0"/>
    <w:link w:val="a3"/>
    <w:uiPriority w:val="99"/>
    <w:rsid w:val="00AE3297"/>
    <w:rPr>
      <w:rFonts w:ascii="宋体" w:eastAsia="宋体" w:hAnsi="宋体" w:cs="宋体"/>
      <w:kern w:val="0"/>
      <w:sz w:val="18"/>
      <w:szCs w:val="18"/>
    </w:rPr>
  </w:style>
  <w:style w:type="paragraph" w:styleId="a5">
    <w:name w:val="footer"/>
    <w:basedOn w:val="a"/>
    <w:link w:val="a6"/>
    <w:uiPriority w:val="99"/>
    <w:unhideWhenUsed/>
    <w:rsid w:val="00AE3297"/>
    <w:pPr>
      <w:tabs>
        <w:tab w:val="center" w:pos="4153"/>
        <w:tab w:val="right" w:pos="8306"/>
      </w:tabs>
      <w:snapToGrid w:val="0"/>
    </w:pPr>
    <w:rPr>
      <w:sz w:val="18"/>
      <w:szCs w:val="18"/>
    </w:rPr>
  </w:style>
  <w:style w:type="character" w:customStyle="1" w:styleId="a6">
    <w:name w:val="页脚 字符"/>
    <w:basedOn w:val="a0"/>
    <w:link w:val="a5"/>
    <w:uiPriority w:val="99"/>
    <w:rsid w:val="00AE3297"/>
    <w:rPr>
      <w:rFonts w:ascii="宋体" w:eastAsia="宋体" w:hAnsi="宋体" w:cs="宋体"/>
      <w:kern w:val="0"/>
      <w:sz w:val="18"/>
      <w:szCs w:val="18"/>
    </w:rPr>
  </w:style>
  <w:style w:type="table" w:styleId="a7">
    <w:name w:val="Table Grid"/>
    <w:basedOn w:val="a1"/>
    <w:uiPriority w:val="39"/>
    <w:rsid w:val="004B7FB5"/>
    <w:rPr>
      <w:kern w:val="0"/>
      <w:sz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0"/>
    <w:rsid w:val="001A66DA"/>
    <w:rPr>
      <w:rFonts w:ascii="AdvOT21de4310" w:hAnsi="AdvOT21de4310" w:hint="default"/>
      <w:b w:val="0"/>
      <w:bCs w:val="0"/>
      <w:i w:val="0"/>
      <w:iCs w:val="0"/>
      <w:color w:val="000000"/>
      <w:sz w:val="16"/>
      <w:szCs w:val="16"/>
    </w:rPr>
  </w:style>
  <w:style w:type="paragraph" w:customStyle="1" w:styleId="Paragraph">
    <w:name w:val="Paragraph"/>
    <w:basedOn w:val="a"/>
    <w:rsid w:val="00E67F29"/>
    <w:pPr>
      <w:spacing w:before="120"/>
      <w:ind w:firstLine="720"/>
    </w:pPr>
    <w:rPr>
      <w:rFonts w:ascii="Times New Roman" w:eastAsia="Times New Roman" w:hAnsi="Times New Roman" w:cs="Times New Roman"/>
      <w:lang w:eastAsia="en-US"/>
    </w:rPr>
  </w:style>
  <w:style w:type="paragraph" w:customStyle="1" w:styleId="Head">
    <w:name w:val="Head"/>
    <w:basedOn w:val="a"/>
    <w:rsid w:val="00E67F29"/>
    <w:pPr>
      <w:keepNext/>
      <w:spacing w:before="120" w:after="120"/>
      <w:jc w:val="center"/>
      <w:outlineLvl w:val="0"/>
    </w:pPr>
    <w:rPr>
      <w:rFonts w:ascii="Times New Roman" w:eastAsia="Times New Roman" w:hAnsi="Times New Roman" w:cs="Times New Roman"/>
      <w:b/>
      <w:bCs/>
      <w:kern w:val="28"/>
      <w:sz w:val="28"/>
      <w:szCs w:val="28"/>
      <w:lang w:eastAsia="en-US"/>
    </w:rPr>
  </w:style>
  <w:style w:type="paragraph" w:customStyle="1" w:styleId="Teaser">
    <w:name w:val="Teaser"/>
    <w:basedOn w:val="a"/>
    <w:rsid w:val="00E67F29"/>
    <w:pPr>
      <w:spacing w:before="120"/>
    </w:pPr>
    <w:rPr>
      <w:rFonts w:ascii="Times New Roman" w:eastAsia="Times New Roman" w:hAnsi="Times New Roman" w:cs="Times New Roman"/>
      <w:lang w:eastAsia="en-US"/>
    </w:rPr>
  </w:style>
  <w:style w:type="character" w:styleId="a8">
    <w:name w:val="line number"/>
    <w:basedOn w:val="a0"/>
    <w:uiPriority w:val="99"/>
    <w:semiHidden/>
    <w:unhideWhenUsed/>
    <w:rsid w:val="00692BC3"/>
  </w:style>
  <w:style w:type="character" w:styleId="a9">
    <w:name w:val="Hyperlink"/>
    <w:uiPriority w:val="99"/>
    <w:rsid w:val="00A111E1"/>
    <w:rPr>
      <w:color w:val="0000FF"/>
      <w:u w:val="single"/>
    </w:rPr>
  </w:style>
  <w:style w:type="paragraph" w:customStyle="1" w:styleId="MDPI16affiliation">
    <w:name w:val="MDPI_1.6_affiliation"/>
    <w:qFormat/>
    <w:rsid w:val="00506925"/>
    <w:pPr>
      <w:adjustRightInd w:val="0"/>
      <w:snapToGrid w:val="0"/>
      <w:spacing w:line="200" w:lineRule="atLeast"/>
      <w:ind w:left="2806" w:hanging="198"/>
    </w:pPr>
    <w:rPr>
      <w:rFonts w:ascii="Palatino Linotype" w:eastAsia="Times New Roman" w:hAnsi="Palatino Linotype" w:cs="Times New Roman"/>
      <w:color w:val="000000"/>
      <w:kern w:val="0"/>
      <w:sz w:val="16"/>
      <w:szCs w:val="18"/>
      <w:lang w:eastAsia="de-DE" w:bidi="en-US"/>
    </w:rPr>
  </w:style>
  <w:style w:type="paragraph" w:customStyle="1" w:styleId="MDPI19line">
    <w:name w:val="MDPI_1.9_line"/>
    <w:qFormat/>
    <w:rsid w:val="00506925"/>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kern w:val="0"/>
      <w:sz w:val="20"/>
      <w:szCs w:val="24"/>
      <w:lang w:eastAsia="de-DE"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81650022">
      <w:bodyDiv w:val="1"/>
      <w:marLeft w:val="0"/>
      <w:marRight w:val="0"/>
      <w:marTop w:val="0"/>
      <w:marBottom w:val="0"/>
      <w:divBdr>
        <w:top w:val="none" w:sz="0" w:space="0" w:color="auto"/>
        <w:left w:val="none" w:sz="0" w:space="0" w:color="auto"/>
        <w:bottom w:val="none" w:sz="0" w:space="0" w:color="auto"/>
        <w:right w:val="none" w:sz="0" w:space="0" w:color="auto"/>
      </w:divBdr>
    </w:div>
    <w:div w:id="1619675894">
      <w:bodyDiv w:val="1"/>
      <w:marLeft w:val="0"/>
      <w:marRight w:val="0"/>
      <w:marTop w:val="0"/>
      <w:marBottom w:val="0"/>
      <w:divBdr>
        <w:top w:val="none" w:sz="0" w:space="0" w:color="auto"/>
        <w:left w:val="none" w:sz="0" w:space="0" w:color="auto"/>
        <w:bottom w:val="none" w:sz="0" w:space="0" w:color="auto"/>
        <w:right w:val="none" w:sz="0" w:space="0" w:color="auto"/>
      </w:divBdr>
    </w:div>
    <w:div w:id="1720283206">
      <w:bodyDiv w:val="1"/>
      <w:marLeft w:val="0"/>
      <w:marRight w:val="0"/>
      <w:marTop w:val="0"/>
      <w:marBottom w:val="0"/>
      <w:divBdr>
        <w:top w:val="none" w:sz="0" w:space="0" w:color="auto"/>
        <w:left w:val="none" w:sz="0" w:space="0" w:color="auto"/>
        <w:bottom w:val="none" w:sz="0" w:space="0" w:color="auto"/>
        <w:right w:val="none" w:sz="0" w:space="0" w:color="auto"/>
      </w:divBdr>
    </w:div>
    <w:div w:id="1808888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1.tiff"/><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mailto:azahuangli@aliyun.com(L.H.)" TargetMode="External"/><Relationship Id="rId11" Type="http://schemas.openxmlformats.org/officeDocument/2006/relationships/footer" Target="footer1.xml"/><Relationship Id="rId5" Type="http://schemas.openxmlformats.org/officeDocument/2006/relationships/endnotes" Target="endnotes.xml"/><Relationship Id="rId10" Type="http://schemas.openxmlformats.org/officeDocument/2006/relationships/image" Target="media/image4.tiff"/><Relationship Id="rId4" Type="http://schemas.openxmlformats.org/officeDocument/2006/relationships/footnotes" Target="footnotes.xml"/><Relationship Id="rId9" Type="http://schemas.openxmlformats.org/officeDocument/2006/relationships/image" Target="media/image3.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2562</TotalTime>
  <Pages>6</Pages>
  <Words>359</Words>
  <Characters>2049</Characters>
  <Application>Microsoft Office Word</Application>
  <DocSecurity>0</DocSecurity>
  <Lines>17</Lines>
  <Paragraphs>4</Paragraphs>
  <ScaleCrop>false</ScaleCrop>
  <Company/>
  <LinksUpToDate>false</LinksUpToDate>
  <CharactersWithSpaces>2404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15200805870@163.com</dc:creator>
  <cp:keywords/>
  <dc:description/>
  <cp:lastModifiedBy>15200805870@163.com</cp:lastModifiedBy>
  <cp:revision>40</cp:revision>
  <dcterms:created xsi:type="dcterms:W3CDTF">2023-12-30T06:36:00Z</dcterms:created>
  <dcterms:modified xsi:type="dcterms:W3CDTF">2024-09-28T15:11:00Z</dcterms:modified>
</cp:coreProperties>
</file>