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86CE0" w14:textId="77777777" w:rsidR="00800B96" w:rsidRDefault="00800B96">
      <w:pPr>
        <w:spacing w:line="480" w:lineRule="auto"/>
        <w:ind w:firstLine="120"/>
        <w:rPr>
          <w:bCs/>
          <w:sz w:val="24"/>
          <w:szCs w:val="28"/>
        </w:rPr>
      </w:pPr>
    </w:p>
    <w:p w14:paraId="7E8585B8" w14:textId="77777777" w:rsidR="00800B96" w:rsidRDefault="00000000">
      <w:pPr>
        <w:spacing w:line="480" w:lineRule="auto"/>
        <w:ind w:firstLine="120"/>
      </w:pPr>
      <w:r>
        <w:rPr>
          <w:noProof/>
          <w:sz w:val="24"/>
          <w:szCs w:val="28"/>
        </w:rPr>
        <w:drawing>
          <wp:inline distT="0" distB="0" distL="0" distR="0" wp14:anchorId="7D536B62" wp14:editId="044B9268">
            <wp:extent cx="5276846" cy="5562596"/>
            <wp:effectExtent l="0" t="0" r="4" b="4"/>
            <wp:docPr id="2110949896"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5276846" cy="5562596"/>
                    </a:xfrm>
                    <a:prstGeom prst="rect">
                      <a:avLst/>
                    </a:prstGeom>
                    <a:noFill/>
                    <a:ln>
                      <a:noFill/>
                      <a:prstDash/>
                    </a:ln>
                  </pic:spPr>
                </pic:pic>
              </a:graphicData>
            </a:graphic>
          </wp:inline>
        </w:drawing>
      </w:r>
    </w:p>
    <w:p w14:paraId="6367D476" w14:textId="77777777" w:rsidR="00800B96" w:rsidRDefault="00000000">
      <w:pPr>
        <w:spacing w:line="480" w:lineRule="auto"/>
      </w:pPr>
      <w:r>
        <w:rPr>
          <w:b/>
          <w:bCs/>
          <w:sz w:val="24"/>
          <w:szCs w:val="28"/>
        </w:rPr>
        <w:t>Supplementary Fig.</w:t>
      </w:r>
      <w:proofErr w:type="gramStart"/>
      <w:r>
        <w:rPr>
          <w:b/>
          <w:bCs/>
          <w:sz w:val="24"/>
          <w:szCs w:val="28"/>
        </w:rPr>
        <w:t>1</w:t>
      </w:r>
      <w:r>
        <w:rPr>
          <w:rFonts w:ascii="Arial" w:hAnsi="Arial" w:cs="Arial"/>
          <w:b/>
          <w:bCs/>
          <w:sz w:val="24"/>
          <w:szCs w:val="28"/>
        </w:rPr>
        <w:t xml:space="preserve"> </w:t>
      </w:r>
      <w:r>
        <w:rPr>
          <w:rFonts w:ascii="SimSun" w:hAnsi="SimSun"/>
          <w:b/>
          <w:bCs/>
          <w:sz w:val="24"/>
          <w:szCs w:val="28"/>
        </w:rPr>
        <w:t xml:space="preserve"> </w:t>
      </w:r>
      <w:r>
        <w:rPr>
          <w:b/>
          <w:bCs/>
          <w:sz w:val="24"/>
          <w:szCs w:val="28"/>
        </w:rPr>
        <w:t>The</w:t>
      </w:r>
      <w:proofErr w:type="gramEnd"/>
      <w:r>
        <w:rPr>
          <w:b/>
          <w:bCs/>
          <w:sz w:val="24"/>
          <w:szCs w:val="28"/>
        </w:rPr>
        <w:t xml:space="preserve"> PTC individuals of  F2 generation of</w:t>
      </w:r>
      <w:bookmarkStart w:id="0" w:name="_Hlk164349327"/>
      <w:r>
        <w:rPr>
          <w:b/>
          <w:bCs/>
          <w:sz w:val="24"/>
          <w:szCs w:val="28"/>
        </w:rPr>
        <w:t xml:space="preserve"> </w:t>
      </w:r>
      <w:bookmarkStart w:id="1" w:name="_Hlk164349849"/>
      <w:r>
        <w:rPr>
          <w:b/>
          <w:bCs/>
          <w:sz w:val="24"/>
          <w:szCs w:val="28"/>
        </w:rPr>
        <w:t xml:space="preserve">zebrafish </w:t>
      </w:r>
      <w:bookmarkEnd w:id="0"/>
      <w:r>
        <w:rPr>
          <w:b/>
          <w:bCs/>
          <w:sz w:val="24"/>
          <w:szCs w:val="28"/>
        </w:rPr>
        <w:t xml:space="preserve">with </w:t>
      </w:r>
      <w:r>
        <w:rPr>
          <w:b/>
          <w:bCs/>
          <w:i/>
          <w:iCs/>
          <w:sz w:val="24"/>
          <w:szCs w:val="28"/>
        </w:rPr>
        <w:t>men1</w:t>
      </w:r>
      <w:r>
        <w:rPr>
          <w:b/>
          <w:bCs/>
          <w:sz w:val="24"/>
          <w:szCs w:val="28"/>
        </w:rPr>
        <w:t xml:space="preserve"> frameshift </w:t>
      </w:r>
      <w:bookmarkEnd w:id="1"/>
      <w:r>
        <w:rPr>
          <w:b/>
          <w:bCs/>
          <w:sz w:val="24"/>
          <w:szCs w:val="28"/>
        </w:rPr>
        <w:t>was constructed successfully using CAS9 technology.</w:t>
      </w:r>
    </w:p>
    <w:p w14:paraId="214E8D02" w14:textId="77777777" w:rsidR="00800B96" w:rsidRDefault="00000000">
      <w:pPr>
        <w:spacing w:line="480" w:lineRule="auto"/>
      </w:pPr>
      <w:proofErr w:type="gramStart"/>
      <w:r>
        <w:rPr>
          <w:b/>
          <w:sz w:val="24"/>
          <w:szCs w:val="28"/>
        </w:rPr>
        <w:t xml:space="preserve">a </w:t>
      </w:r>
      <w:r>
        <w:t xml:space="preserve"> </w:t>
      </w:r>
      <w:r>
        <w:rPr>
          <w:sz w:val="24"/>
          <w:szCs w:val="24"/>
        </w:rPr>
        <w:t>Protein</w:t>
      </w:r>
      <w:proofErr w:type="gramEnd"/>
      <w:r>
        <w:rPr>
          <w:sz w:val="24"/>
          <w:szCs w:val="24"/>
        </w:rPr>
        <w:t xml:space="preserve"> sequence alignment analysis indicated that there was 66% homology between human </w:t>
      </w:r>
      <w:r>
        <w:rPr>
          <w:i/>
          <w:iCs/>
          <w:sz w:val="24"/>
          <w:szCs w:val="24"/>
        </w:rPr>
        <w:t>MEN1</w:t>
      </w:r>
      <w:r>
        <w:rPr>
          <w:sz w:val="24"/>
          <w:szCs w:val="24"/>
        </w:rPr>
        <w:t xml:space="preserve"> and zebrafish </w:t>
      </w:r>
      <w:r>
        <w:rPr>
          <w:i/>
          <w:iCs/>
          <w:sz w:val="24"/>
          <w:szCs w:val="24"/>
        </w:rPr>
        <w:t>men1</w:t>
      </w:r>
      <w:r>
        <w:rPr>
          <w:sz w:val="24"/>
          <w:szCs w:val="24"/>
        </w:rPr>
        <w:t xml:space="preserve">. The </w:t>
      </w:r>
      <w:r>
        <w:rPr>
          <w:sz w:val="24"/>
          <w:szCs w:val="28"/>
        </w:rPr>
        <w:t xml:space="preserve">Lysine residue </w:t>
      </w:r>
      <w:r>
        <w:rPr>
          <w:sz w:val="24"/>
          <w:szCs w:val="24"/>
        </w:rPr>
        <w:t xml:space="preserve">488 of human </w:t>
      </w:r>
      <w:r>
        <w:rPr>
          <w:i/>
          <w:iCs/>
          <w:sz w:val="24"/>
          <w:szCs w:val="24"/>
        </w:rPr>
        <w:t>MEN1</w:t>
      </w:r>
      <w:r>
        <w:rPr>
          <w:sz w:val="24"/>
          <w:szCs w:val="24"/>
        </w:rPr>
        <w:t xml:space="preserve"> and the </w:t>
      </w:r>
      <w:r>
        <w:rPr>
          <w:sz w:val="24"/>
          <w:szCs w:val="28"/>
        </w:rPr>
        <w:t xml:space="preserve">Lysine residue </w:t>
      </w:r>
      <w:r>
        <w:rPr>
          <w:sz w:val="24"/>
          <w:szCs w:val="24"/>
        </w:rPr>
        <w:t xml:space="preserve">487 of zebrafish </w:t>
      </w:r>
      <w:r>
        <w:rPr>
          <w:i/>
          <w:iCs/>
          <w:sz w:val="24"/>
          <w:szCs w:val="24"/>
        </w:rPr>
        <w:t>men1</w:t>
      </w:r>
      <w:r>
        <w:rPr>
          <w:sz w:val="24"/>
          <w:szCs w:val="24"/>
        </w:rPr>
        <w:t xml:space="preserve"> were framed in red. </w:t>
      </w:r>
      <w:proofErr w:type="gramStart"/>
      <w:r>
        <w:rPr>
          <w:b/>
          <w:sz w:val="24"/>
          <w:szCs w:val="28"/>
        </w:rPr>
        <w:t xml:space="preserve">b  </w:t>
      </w:r>
      <w:r>
        <w:rPr>
          <w:sz w:val="24"/>
          <w:szCs w:val="28"/>
        </w:rPr>
        <w:t>Sequence</w:t>
      </w:r>
      <w:proofErr w:type="gramEnd"/>
      <w:r>
        <w:rPr>
          <w:sz w:val="24"/>
          <w:szCs w:val="28"/>
        </w:rPr>
        <w:t xml:space="preserve"> alignment of</w:t>
      </w:r>
      <w:r>
        <w:rPr>
          <w:b/>
          <w:bCs/>
          <w:sz w:val="24"/>
          <w:szCs w:val="28"/>
        </w:rPr>
        <w:t xml:space="preserve"> </w:t>
      </w:r>
      <w:r>
        <w:rPr>
          <w:sz w:val="24"/>
          <w:szCs w:val="28"/>
        </w:rPr>
        <w:t xml:space="preserve">wild type </w:t>
      </w:r>
      <w:r>
        <w:rPr>
          <w:i/>
          <w:iCs/>
          <w:sz w:val="24"/>
          <w:szCs w:val="28"/>
        </w:rPr>
        <w:t>men1</w:t>
      </w:r>
      <w:r>
        <w:rPr>
          <w:sz w:val="24"/>
          <w:szCs w:val="28"/>
        </w:rPr>
        <w:t xml:space="preserve"> of zebrafish with homozygous mutated </w:t>
      </w:r>
      <w:r>
        <w:rPr>
          <w:i/>
          <w:iCs/>
          <w:sz w:val="24"/>
          <w:szCs w:val="28"/>
        </w:rPr>
        <w:t>men1</w:t>
      </w:r>
      <w:r>
        <w:rPr>
          <w:sz w:val="24"/>
          <w:szCs w:val="28"/>
        </w:rPr>
        <w:t xml:space="preserve">. The sequences of wild type </w:t>
      </w:r>
      <w:r>
        <w:rPr>
          <w:i/>
          <w:iCs/>
          <w:sz w:val="24"/>
          <w:szCs w:val="28"/>
        </w:rPr>
        <w:t>men1</w:t>
      </w:r>
      <w:r>
        <w:rPr>
          <w:sz w:val="24"/>
          <w:szCs w:val="28"/>
        </w:rPr>
        <w:t xml:space="preserve"> were aligned with homozygous </w:t>
      </w:r>
      <w:r>
        <w:rPr>
          <w:sz w:val="24"/>
          <w:szCs w:val="28"/>
        </w:rPr>
        <w:lastRenderedPageBreak/>
        <w:t xml:space="preserve">mutated </w:t>
      </w:r>
      <w:r>
        <w:rPr>
          <w:i/>
          <w:iCs/>
          <w:sz w:val="24"/>
          <w:szCs w:val="28"/>
        </w:rPr>
        <w:t>men1</w:t>
      </w:r>
      <w:r>
        <w:rPr>
          <w:sz w:val="24"/>
          <w:szCs w:val="28"/>
        </w:rPr>
        <w:t xml:space="preserve">. using DNAMAN software (version 9). The sequences highlighted in yellow were the consensus sequence, and the “GATCATAC” sequences framed in red are those to be deleted using CAS9 technology to generate the frameshift mutation and premature translational-termination codon (PTC).  </w:t>
      </w:r>
      <w:proofErr w:type="gramStart"/>
      <w:r>
        <w:rPr>
          <w:b/>
          <w:sz w:val="24"/>
          <w:szCs w:val="28"/>
        </w:rPr>
        <w:t xml:space="preserve">c </w:t>
      </w:r>
      <w:r>
        <w:rPr>
          <w:sz w:val="24"/>
          <w:szCs w:val="28"/>
        </w:rPr>
        <w:t xml:space="preserve"> Sanger</w:t>
      </w:r>
      <w:proofErr w:type="gramEnd"/>
      <w:r>
        <w:rPr>
          <w:sz w:val="24"/>
          <w:szCs w:val="28"/>
        </w:rPr>
        <w:t xml:space="preserve"> sequencing was performed to for genotype identification.  Sequence chromatograms indicated that the intended </w:t>
      </w:r>
      <w:proofErr w:type="gramStart"/>
      <w:r>
        <w:rPr>
          <w:sz w:val="24"/>
          <w:szCs w:val="28"/>
        </w:rPr>
        <w:t>deleted  “</w:t>
      </w:r>
      <w:proofErr w:type="gramEnd"/>
      <w:r>
        <w:rPr>
          <w:sz w:val="24"/>
          <w:szCs w:val="28"/>
        </w:rPr>
        <w:t>GATCATAC” sequences in zebrafish of wild type</w:t>
      </w:r>
      <w:r>
        <w:rPr>
          <w:i/>
          <w:iCs/>
          <w:sz w:val="24"/>
          <w:szCs w:val="28"/>
        </w:rPr>
        <w:t xml:space="preserve"> men1 </w:t>
      </w:r>
      <w:r>
        <w:rPr>
          <w:sz w:val="24"/>
          <w:szCs w:val="28"/>
        </w:rPr>
        <w:t xml:space="preserve">gene are framed. According to the coding sequence of </w:t>
      </w:r>
      <w:r>
        <w:rPr>
          <w:i/>
          <w:iCs/>
          <w:sz w:val="24"/>
          <w:szCs w:val="28"/>
        </w:rPr>
        <w:t>men1</w:t>
      </w:r>
      <w:r>
        <w:rPr>
          <w:sz w:val="24"/>
          <w:szCs w:val="28"/>
        </w:rPr>
        <w:t>（</w:t>
      </w:r>
      <w:r>
        <w:rPr>
          <w:sz w:val="24"/>
          <w:szCs w:val="28"/>
        </w:rPr>
        <w:t>NM_130953</w:t>
      </w:r>
      <w:r>
        <w:rPr>
          <w:sz w:val="24"/>
          <w:szCs w:val="28"/>
        </w:rPr>
        <w:t>），</w:t>
      </w:r>
      <w:r>
        <w:rPr>
          <w:sz w:val="24"/>
          <w:szCs w:val="28"/>
        </w:rPr>
        <w:t>c.1459A of wild type</w:t>
      </w:r>
      <w:r>
        <w:rPr>
          <w:i/>
          <w:iCs/>
          <w:sz w:val="24"/>
          <w:szCs w:val="28"/>
        </w:rPr>
        <w:t xml:space="preserve"> men1</w:t>
      </w:r>
      <w:r>
        <w:rPr>
          <w:sz w:val="24"/>
          <w:szCs w:val="28"/>
        </w:rPr>
        <w:t xml:space="preserve">was mutated into T to </w:t>
      </w:r>
      <w:proofErr w:type="gramStart"/>
      <w:r>
        <w:rPr>
          <w:sz w:val="24"/>
          <w:szCs w:val="28"/>
        </w:rPr>
        <w:t>generate  “</w:t>
      </w:r>
      <w:proofErr w:type="gramEnd"/>
      <w:r>
        <w:rPr>
          <w:sz w:val="24"/>
          <w:szCs w:val="28"/>
        </w:rPr>
        <w:t xml:space="preserve">TAA” terminal codon by the deletion of “GATCATAC” sequences using CAS9 technology. Sequence chromatograms showed that </w:t>
      </w:r>
      <w:r>
        <w:rPr>
          <w:sz w:val="24"/>
          <w:szCs w:val="28"/>
        </w:rPr>
        <w:t>，</w:t>
      </w:r>
      <w:r>
        <w:rPr>
          <w:sz w:val="24"/>
          <w:szCs w:val="28"/>
        </w:rPr>
        <w:t xml:space="preserve"> in zebrafish of heterozygous</w:t>
      </w:r>
      <w:r>
        <w:rPr>
          <w:i/>
          <w:iCs/>
          <w:sz w:val="24"/>
          <w:szCs w:val="28"/>
        </w:rPr>
        <w:t xml:space="preserve"> men1 </w:t>
      </w:r>
      <w:r>
        <w:rPr>
          <w:sz w:val="24"/>
          <w:szCs w:val="28"/>
        </w:rPr>
        <w:t>mutation</w:t>
      </w:r>
      <w:proofErr w:type="gramStart"/>
      <w:r>
        <w:rPr>
          <w:sz w:val="24"/>
          <w:szCs w:val="28"/>
        </w:rPr>
        <w:t>，</w:t>
      </w:r>
      <w:r>
        <w:rPr>
          <w:sz w:val="24"/>
          <w:szCs w:val="28"/>
        </w:rPr>
        <w:t xml:space="preserve">  the</w:t>
      </w:r>
      <w:proofErr w:type="gramEnd"/>
      <w:r>
        <w:rPr>
          <w:sz w:val="24"/>
          <w:szCs w:val="28"/>
        </w:rPr>
        <w:t xml:space="preserve"> “GATCATAC” sequences of wild type</w:t>
      </w:r>
      <w:r>
        <w:rPr>
          <w:i/>
          <w:iCs/>
          <w:sz w:val="24"/>
          <w:szCs w:val="28"/>
        </w:rPr>
        <w:t xml:space="preserve"> men1</w:t>
      </w:r>
      <w:r>
        <w:rPr>
          <w:sz w:val="24"/>
          <w:szCs w:val="28"/>
        </w:rPr>
        <w:t xml:space="preserve"> were mutated into  “TATCATTC” ones and the flanking “GTCTCAGCC” sequences of wild type</w:t>
      </w:r>
      <w:r>
        <w:rPr>
          <w:i/>
          <w:iCs/>
          <w:sz w:val="24"/>
          <w:szCs w:val="28"/>
        </w:rPr>
        <w:t xml:space="preserve"> men1</w:t>
      </w:r>
      <w:r>
        <w:rPr>
          <w:sz w:val="24"/>
          <w:szCs w:val="28"/>
        </w:rPr>
        <w:t xml:space="preserve"> were mutated into  “GTGTCACAG” ones</w:t>
      </w:r>
      <w:r>
        <w:rPr>
          <w:sz w:val="24"/>
          <w:szCs w:val="28"/>
        </w:rPr>
        <w:t>，</w:t>
      </w:r>
      <w:r>
        <w:rPr>
          <w:sz w:val="24"/>
          <w:szCs w:val="28"/>
        </w:rPr>
        <w:t>which were marked by box and horizontal lines.</w:t>
      </w:r>
      <w:r>
        <w:rPr>
          <w:b/>
          <w:sz w:val="24"/>
          <w:szCs w:val="28"/>
        </w:rPr>
        <w:t xml:space="preserve"> </w:t>
      </w:r>
      <w:r>
        <w:rPr>
          <w:sz w:val="24"/>
          <w:szCs w:val="28"/>
        </w:rPr>
        <w:t>Sequence chromatograms showed that the “GATCATAC” sequences in zebrafish of homozygous</w:t>
      </w:r>
      <w:r>
        <w:rPr>
          <w:i/>
          <w:iCs/>
          <w:sz w:val="24"/>
          <w:szCs w:val="28"/>
        </w:rPr>
        <w:t xml:space="preserve"> men1 </w:t>
      </w:r>
      <w:r>
        <w:rPr>
          <w:sz w:val="24"/>
          <w:szCs w:val="28"/>
        </w:rPr>
        <w:t xml:space="preserve">mutation could not be detected and indicated by dashed </w:t>
      </w:r>
      <w:proofErr w:type="gramStart"/>
      <w:r>
        <w:rPr>
          <w:sz w:val="24"/>
          <w:szCs w:val="28"/>
        </w:rPr>
        <w:t>lines .</w:t>
      </w:r>
      <w:proofErr w:type="gramEnd"/>
    </w:p>
    <w:p w14:paraId="5D844CE8" w14:textId="77777777" w:rsidR="00800B96" w:rsidRDefault="00800B96">
      <w:pPr>
        <w:spacing w:line="480" w:lineRule="auto"/>
        <w:rPr>
          <w:sz w:val="24"/>
          <w:szCs w:val="28"/>
        </w:rPr>
      </w:pPr>
    </w:p>
    <w:p w14:paraId="37874F8D" w14:textId="77777777" w:rsidR="00800B96" w:rsidRDefault="00800B96">
      <w:pPr>
        <w:spacing w:line="480" w:lineRule="auto"/>
        <w:rPr>
          <w:sz w:val="24"/>
          <w:szCs w:val="28"/>
        </w:rPr>
      </w:pPr>
    </w:p>
    <w:p w14:paraId="5D03A3F2" w14:textId="77777777" w:rsidR="00800B96" w:rsidRDefault="00800B96">
      <w:pPr>
        <w:spacing w:line="480" w:lineRule="auto"/>
        <w:rPr>
          <w:sz w:val="24"/>
          <w:szCs w:val="28"/>
        </w:rPr>
      </w:pPr>
    </w:p>
    <w:p w14:paraId="6FB55EF1" w14:textId="77777777" w:rsidR="00800B96" w:rsidRDefault="00800B96">
      <w:pPr>
        <w:spacing w:line="480" w:lineRule="auto"/>
        <w:rPr>
          <w:sz w:val="24"/>
          <w:szCs w:val="28"/>
        </w:rPr>
      </w:pPr>
    </w:p>
    <w:p w14:paraId="1C083033" w14:textId="77777777" w:rsidR="00800B96" w:rsidRDefault="00800B96">
      <w:pPr>
        <w:spacing w:line="480" w:lineRule="auto"/>
        <w:rPr>
          <w:sz w:val="24"/>
          <w:szCs w:val="28"/>
        </w:rPr>
      </w:pPr>
    </w:p>
    <w:p w14:paraId="012DD6B1" w14:textId="77777777" w:rsidR="00800B96" w:rsidRDefault="00800B96">
      <w:pPr>
        <w:spacing w:line="480" w:lineRule="auto"/>
        <w:rPr>
          <w:sz w:val="24"/>
          <w:szCs w:val="28"/>
        </w:rPr>
      </w:pPr>
    </w:p>
    <w:p w14:paraId="569206B0" w14:textId="77777777" w:rsidR="00800B96" w:rsidRDefault="00800B96">
      <w:pPr>
        <w:spacing w:line="480" w:lineRule="auto"/>
        <w:rPr>
          <w:sz w:val="24"/>
          <w:szCs w:val="28"/>
        </w:rPr>
      </w:pPr>
    </w:p>
    <w:p w14:paraId="3B17653B" w14:textId="77777777" w:rsidR="00800B96" w:rsidRDefault="00800B96">
      <w:pPr>
        <w:spacing w:line="480" w:lineRule="auto"/>
        <w:rPr>
          <w:sz w:val="24"/>
          <w:szCs w:val="28"/>
        </w:rPr>
      </w:pPr>
    </w:p>
    <w:p w14:paraId="0B935ED4" w14:textId="77777777" w:rsidR="00800B96" w:rsidRDefault="00000000">
      <w:pPr>
        <w:spacing w:line="480" w:lineRule="auto"/>
      </w:pPr>
      <w:r>
        <w:rPr>
          <w:noProof/>
          <w:sz w:val="24"/>
          <w:szCs w:val="28"/>
        </w:rPr>
        <w:lastRenderedPageBreak/>
        <w:drawing>
          <wp:inline distT="0" distB="0" distL="0" distR="0" wp14:anchorId="623C4060" wp14:editId="3C7E7D3D">
            <wp:extent cx="5276846" cy="4933946"/>
            <wp:effectExtent l="0" t="0" r="4" b="4"/>
            <wp:docPr id="2081760284"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276846" cy="4933946"/>
                    </a:xfrm>
                    <a:prstGeom prst="rect">
                      <a:avLst/>
                    </a:prstGeom>
                    <a:noFill/>
                    <a:ln>
                      <a:noFill/>
                      <a:prstDash/>
                    </a:ln>
                  </pic:spPr>
                </pic:pic>
              </a:graphicData>
            </a:graphic>
          </wp:inline>
        </w:drawing>
      </w:r>
    </w:p>
    <w:p w14:paraId="2FA9AF0D" w14:textId="77777777" w:rsidR="00800B96" w:rsidRDefault="00000000">
      <w:pPr>
        <w:spacing w:line="480" w:lineRule="auto"/>
      </w:pPr>
      <w:r>
        <w:rPr>
          <w:b/>
          <w:bCs/>
          <w:sz w:val="24"/>
          <w:szCs w:val="28"/>
        </w:rPr>
        <w:t xml:space="preserve">Supplementary Fig. 2 </w:t>
      </w:r>
      <w:r>
        <w:rPr>
          <w:rFonts w:ascii="SimSun" w:hAnsi="SimSun"/>
          <w:b/>
          <w:bCs/>
          <w:sz w:val="24"/>
          <w:szCs w:val="28"/>
        </w:rPr>
        <w:t xml:space="preserve"> </w:t>
      </w:r>
      <w:r>
        <w:rPr>
          <w:b/>
          <w:bCs/>
          <w:sz w:val="24"/>
          <w:szCs w:val="28"/>
        </w:rPr>
        <w:t xml:space="preserve"> </w:t>
      </w:r>
      <w:bookmarkStart w:id="2" w:name="_Hlk108250870"/>
      <w:r>
        <w:rPr>
          <w:b/>
          <w:bCs/>
          <w:sz w:val="24"/>
          <w:szCs w:val="28"/>
        </w:rPr>
        <w:t xml:space="preserve">Instability of K488X−menin </w:t>
      </w:r>
      <w:bookmarkEnd w:id="2"/>
      <w:r>
        <w:rPr>
          <w:b/>
          <w:bCs/>
          <w:sz w:val="24"/>
          <w:szCs w:val="28"/>
        </w:rPr>
        <w:t xml:space="preserve">is mediated by the ubiquitin−proteasome pathway. </w:t>
      </w:r>
    </w:p>
    <w:p w14:paraId="1BAD5CDE" w14:textId="77777777" w:rsidR="00800B96" w:rsidRDefault="00000000">
      <w:pPr>
        <w:spacing w:line="480" w:lineRule="auto"/>
        <w:ind w:firstLine="120"/>
        <w:jc w:val="left"/>
      </w:pPr>
      <w:proofErr w:type="spellStart"/>
      <w:proofErr w:type="gramStart"/>
      <w:r>
        <w:rPr>
          <w:b/>
          <w:bCs/>
          <w:sz w:val="24"/>
          <w:szCs w:val="28"/>
        </w:rPr>
        <w:t>a</w:t>
      </w:r>
      <w:proofErr w:type="spellEnd"/>
      <w:r>
        <w:rPr>
          <w:b/>
          <w:bCs/>
          <w:sz w:val="24"/>
          <w:szCs w:val="28"/>
        </w:rPr>
        <w:t xml:space="preserve"> </w:t>
      </w:r>
      <w:r>
        <w:rPr>
          <w:b/>
          <w:bCs/>
          <w:i/>
          <w:iCs/>
          <w:sz w:val="24"/>
          <w:szCs w:val="28"/>
        </w:rPr>
        <w:t xml:space="preserve"> </w:t>
      </w:r>
      <w:r>
        <w:rPr>
          <w:sz w:val="24"/>
          <w:szCs w:val="28"/>
        </w:rPr>
        <w:t>The</w:t>
      </w:r>
      <w:proofErr w:type="gramEnd"/>
      <w:r>
        <w:rPr>
          <w:i/>
          <w:iCs/>
          <w:sz w:val="24"/>
          <w:szCs w:val="28"/>
        </w:rPr>
        <w:t xml:space="preserve"> MEN1</w:t>
      </w:r>
      <w:r>
        <w:rPr>
          <w:sz w:val="24"/>
          <w:szCs w:val="28"/>
          <w:vertAlign w:val="superscript"/>
        </w:rPr>
        <w:t xml:space="preserve">K488X </w:t>
      </w:r>
      <w:r>
        <w:rPr>
          <w:sz w:val="24"/>
          <w:szCs w:val="28"/>
        </w:rPr>
        <w:t xml:space="preserve">variant reduced </w:t>
      </w:r>
      <w:proofErr w:type="spellStart"/>
      <w:r>
        <w:rPr>
          <w:sz w:val="24"/>
          <w:szCs w:val="28"/>
        </w:rPr>
        <w:t>menin</w:t>
      </w:r>
      <w:proofErr w:type="spellEnd"/>
      <w:r>
        <w:rPr>
          <w:sz w:val="24"/>
          <w:szCs w:val="28"/>
        </w:rPr>
        <w:t xml:space="preserve"> levels. The 293T and COS</w:t>
      </w:r>
      <w:r>
        <w:rPr>
          <w:rFonts w:ascii="Microsoft YaHei" w:eastAsia="Microsoft YaHei" w:hAnsi="Microsoft YaHei" w:cs="Microsoft YaHei"/>
          <w:sz w:val="24"/>
          <w:szCs w:val="28"/>
        </w:rPr>
        <w:t>−</w:t>
      </w:r>
      <w:r>
        <w:rPr>
          <w:sz w:val="24"/>
          <w:szCs w:val="28"/>
        </w:rPr>
        <w:t>7 cells were transfected with HA</w:t>
      </w:r>
      <w:r>
        <w:rPr>
          <w:rFonts w:ascii="Microsoft YaHei" w:eastAsia="Microsoft YaHei" w:hAnsi="Microsoft YaHei" w:cs="Microsoft YaHei"/>
          <w:sz w:val="24"/>
          <w:szCs w:val="28"/>
        </w:rPr>
        <w:t>−</w:t>
      </w:r>
      <w:r>
        <w:rPr>
          <w:sz w:val="24"/>
          <w:szCs w:val="28"/>
        </w:rPr>
        <w:t>tagged wild</w:t>
      </w:r>
      <w:r>
        <w:rPr>
          <w:rFonts w:ascii="Microsoft YaHei" w:eastAsia="Microsoft YaHei" w:hAnsi="Microsoft YaHei" w:cs="Microsoft YaHei"/>
          <w:sz w:val="24"/>
          <w:szCs w:val="28"/>
        </w:rPr>
        <w:t>−</w:t>
      </w:r>
      <w:r>
        <w:rPr>
          <w:sz w:val="24"/>
          <w:szCs w:val="28"/>
        </w:rPr>
        <w:t xml:space="preserve">type and mutant type </w:t>
      </w:r>
      <w:r>
        <w:rPr>
          <w:i/>
          <w:iCs/>
          <w:sz w:val="24"/>
          <w:szCs w:val="28"/>
        </w:rPr>
        <w:t>MEN1</w:t>
      </w:r>
      <w:r>
        <w:rPr>
          <w:sz w:val="24"/>
          <w:szCs w:val="28"/>
        </w:rPr>
        <w:t xml:space="preserve">. At 48 </w:t>
      </w:r>
      <w:proofErr w:type="spellStart"/>
      <w:r>
        <w:rPr>
          <w:sz w:val="24"/>
          <w:szCs w:val="28"/>
        </w:rPr>
        <w:t>hr</w:t>
      </w:r>
      <w:proofErr w:type="spellEnd"/>
      <w:r>
        <w:rPr>
          <w:sz w:val="24"/>
          <w:szCs w:val="28"/>
        </w:rPr>
        <w:t xml:space="preserve"> after transfection, the cells were lysed and analyzed using western blot.  </w:t>
      </w:r>
      <w:proofErr w:type="gramStart"/>
      <w:r>
        <w:rPr>
          <w:b/>
          <w:bCs/>
          <w:sz w:val="24"/>
          <w:szCs w:val="28"/>
        </w:rPr>
        <w:t xml:space="preserve">b  </w:t>
      </w:r>
      <w:r>
        <w:rPr>
          <w:sz w:val="24"/>
          <w:szCs w:val="28"/>
        </w:rPr>
        <w:t>Down</w:t>
      </w:r>
      <w:proofErr w:type="gramEnd"/>
      <w:r>
        <w:rPr>
          <w:sz w:val="24"/>
          <w:szCs w:val="28"/>
        </w:rPr>
        <w:t>- regulation of</w:t>
      </w:r>
      <w:r>
        <w:rPr>
          <w:i/>
          <w:iCs/>
          <w:sz w:val="24"/>
          <w:szCs w:val="28"/>
        </w:rPr>
        <w:t xml:space="preserve"> MEN1</w:t>
      </w:r>
      <w:r>
        <w:rPr>
          <w:sz w:val="24"/>
          <w:szCs w:val="28"/>
        </w:rPr>
        <w:t xml:space="preserve"> at the transcriptional level  was induced by the</w:t>
      </w:r>
      <w:r>
        <w:rPr>
          <w:i/>
          <w:iCs/>
          <w:sz w:val="24"/>
          <w:szCs w:val="28"/>
        </w:rPr>
        <w:t xml:space="preserve"> MEN1</w:t>
      </w:r>
      <w:r>
        <w:rPr>
          <w:sz w:val="24"/>
          <w:szCs w:val="28"/>
          <w:vertAlign w:val="superscript"/>
        </w:rPr>
        <w:t xml:space="preserve">K488X </w:t>
      </w:r>
      <w:r>
        <w:rPr>
          <w:sz w:val="24"/>
          <w:szCs w:val="28"/>
        </w:rPr>
        <w:t>variant</w:t>
      </w:r>
      <w:r>
        <w:rPr>
          <w:sz w:val="24"/>
          <w:szCs w:val="28"/>
        </w:rPr>
        <w:t>，</w:t>
      </w:r>
      <w:r>
        <w:rPr>
          <w:sz w:val="24"/>
          <w:szCs w:val="28"/>
        </w:rPr>
        <w:t xml:space="preserve"> as indicated by </w:t>
      </w:r>
      <w:proofErr w:type="spellStart"/>
      <w:r>
        <w:rPr>
          <w:sz w:val="24"/>
          <w:szCs w:val="28"/>
        </w:rPr>
        <w:t>qRT</w:t>
      </w:r>
      <w:proofErr w:type="spellEnd"/>
      <w:r>
        <w:rPr>
          <w:rFonts w:ascii="Microsoft YaHei" w:eastAsia="Microsoft YaHei" w:hAnsi="Microsoft YaHei" w:cs="Microsoft YaHei"/>
          <w:sz w:val="24"/>
          <w:szCs w:val="28"/>
        </w:rPr>
        <w:t>−</w:t>
      </w:r>
      <w:r>
        <w:rPr>
          <w:sz w:val="24"/>
          <w:szCs w:val="28"/>
        </w:rPr>
        <w:t>PCR. HA</w:t>
      </w:r>
      <w:r>
        <w:rPr>
          <w:rFonts w:ascii="Microsoft YaHei" w:eastAsia="Microsoft YaHei" w:hAnsi="Microsoft YaHei" w:cs="Microsoft YaHei"/>
          <w:sz w:val="24"/>
          <w:szCs w:val="28"/>
        </w:rPr>
        <w:t>−</w:t>
      </w:r>
      <w:r>
        <w:rPr>
          <w:sz w:val="24"/>
          <w:szCs w:val="28"/>
        </w:rPr>
        <w:t xml:space="preserve">tagged wild type and mutant type </w:t>
      </w:r>
      <w:r>
        <w:rPr>
          <w:i/>
          <w:iCs/>
          <w:sz w:val="24"/>
          <w:szCs w:val="28"/>
        </w:rPr>
        <w:t>MEN1</w:t>
      </w:r>
      <w:r>
        <w:rPr>
          <w:sz w:val="24"/>
          <w:szCs w:val="28"/>
        </w:rPr>
        <w:t xml:space="preserve"> were introduced into HEK-293T and COS</w:t>
      </w:r>
      <w:r>
        <w:rPr>
          <w:rFonts w:ascii="Microsoft YaHei" w:eastAsia="Microsoft YaHei" w:hAnsi="Microsoft YaHei" w:cs="Microsoft YaHei"/>
          <w:sz w:val="24"/>
          <w:szCs w:val="28"/>
        </w:rPr>
        <w:t>−</w:t>
      </w:r>
      <w:r>
        <w:rPr>
          <w:sz w:val="24"/>
          <w:szCs w:val="28"/>
        </w:rPr>
        <w:t xml:space="preserve">7 cells. At 24 </w:t>
      </w:r>
      <w:proofErr w:type="spellStart"/>
      <w:r>
        <w:rPr>
          <w:sz w:val="24"/>
          <w:szCs w:val="28"/>
        </w:rPr>
        <w:t>hr</w:t>
      </w:r>
      <w:proofErr w:type="spellEnd"/>
      <w:r>
        <w:rPr>
          <w:sz w:val="24"/>
          <w:szCs w:val="28"/>
        </w:rPr>
        <w:t xml:space="preserve"> after </w:t>
      </w:r>
      <w:r>
        <w:rPr>
          <w:sz w:val="24"/>
          <w:szCs w:val="28"/>
        </w:rPr>
        <w:lastRenderedPageBreak/>
        <w:t xml:space="preserve">transfection, </w:t>
      </w:r>
      <w:r>
        <w:rPr>
          <w:color w:val="000000"/>
          <w:kern w:val="0"/>
          <w:sz w:val="24"/>
          <w:szCs w:val="24"/>
        </w:rPr>
        <w:t>four replicate wells of transfected cells in six</w:t>
      </w:r>
      <w:r>
        <w:rPr>
          <w:rFonts w:ascii="Microsoft YaHei" w:eastAsia="Microsoft YaHei" w:hAnsi="Microsoft YaHei" w:cs="Microsoft YaHei"/>
          <w:color w:val="000000"/>
          <w:kern w:val="0"/>
          <w:sz w:val="24"/>
          <w:szCs w:val="24"/>
        </w:rPr>
        <w:t>-</w:t>
      </w:r>
      <w:r>
        <w:rPr>
          <w:color w:val="000000"/>
          <w:kern w:val="0"/>
          <w:sz w:val="24"/>
          <w:szCs w:val="24"/>
        </w:rPr>
        <w:t xml:space="preserve">well plates from each </w:t>
      </w:r>
      <w:proofErr w:type="gramStart"/>
      <w:r>
        <w:rPr>
          <w:color w:val="000000"/>
          <w:kern w:val="0"/>
          <w:sz w:val="24"/>
          <w:szCs w:val="24"/>
        </w:rPr>
        <w:t xml:space="preserve">group  </w:t>
      </w:r>
      <w:r>
        <w:rPr>
          <w:sz w:val="24"/>
          <w:szCs w:val="28"/>
        </w:rPr>
        <w:t>were</w:t>
      </w:r>
      <w:proofErr w:type="gramEnd"/>
      <w:r>
        <w:rPr>
          <w:sz w:val="24"/>
          <w:szCs w:val="28"/>
        </w:rPr>
        <w:t xml:space="preserve"> lysed </w:t>
      </w:r>
      <w:bookmarkStart w:id="3" w:name="_Hlk179991909"/>
      <w:r>
        <w:rPr>
          <w:sz w:val="24"/>
          <w:szCs w:val="28"/>
        </w:rPr>
        <w:t xml:space="preserve">and analyzed using </w:t>
      </w:r>
      <w:proofErr w:type="spellStart"/>
      <w:r>
        <w:rPr>
          <w:sz w:val="24"/>
          <w:szCs w:val="28"/>
        </w:rPr>
        <w:t>qRT</w:t>
      </w:r>
      <w:proofErr w:type="spellEnd"/>
      <w:r>
        <w:rPr>
          <w:rFonts w:ascii="Microsoft YaHei" w:eastAsia="Microsoft YaHei" w:hAnsi="Microsoft YaHei" w:cs="Microsoft YaHei"/>
          <w:sz w:val="24"/>
          <w:szCs w:val="28"/>
        </w:rPr>
        <w:t>−</w:t>
      </w:r>
      <w:r>
        <w:rPr>
          <w:sz w:val="24"/>
          <w:szCs w:val="28"/>
        </w:rPr>
        <w:t>PCR</w:t>
      </w:r>
      <w:bookmarkEnd w:id="3"/>
      <w:r>
        <w:rPr>
          <w:sz w:val="24"/>
          <w:szCs w:val="28"/>
        </w:rPr>
        <w:t xml:space="preserve">.  </w:t>
      </w:r>
      <w:r>
        <w:rPr>
          <w:b/>
          <w:bCs/>
          <w:sz w:val="24"/>
          <w:szCs w:val="28"/>
        </w:rPr>
        <w:t>c</w:t>
      </w:r>
      <w:r>
        <w:rPr>
          <w:i/>
          <w:iCs/>
          <w:sz w:val="24"/>
          <w:szCs w:val="28"/>
        </w:rPr>
        <w:t xml:space="preserve"> </w:t>
      </w:r>
      <w:r>
        <w:rPr>
          <w:sz w:val="24"/>
          <w:szCs w:val="28"/>
        </w:rPr>
        <w:t>and</w:t>
      </w:r>
      <w:r>
        <w:rPr>
          <w:b/>
          <w:bCs/>
          <w:sz w:val="24"/>
          <w:szCs w:val="28"/>
        </w:rPr>
        <w:t xml:space="preserve"> d </w:t>
      </w:r>
      <w:r>
        <w:rPr>
          <w:sz w:val="24"/>
          <w:szCs w:val="28"/>
        </w:rPr>
        <w:t>The stability of</w:t>
      </w:r>
      <w:r>
        <w:rPr>
          <w:b/>
          <w:bCs/>
          <w:sz w:val="24"/>
          <w:szCs w:val="28"/>
        </w:rPr>
        <w:t xml:space="preserve"> </w:t>
      </w:r>
      <w:r>
        <w:rPr>
          <w:sz w:val="24"/>
          <w:szCs w:val="28"/>
        </w:rPr>
        <w:t>K488X-</w:t>
      </w:r>
      <w:r>
        <w:rPr>
          <w:i/>
          <w:iCs/>
          <w:sz w:val="24"/>
          <w:szCs w:val="28"/>
        </w:rPr>
        <w:t>MEN1</w:t>
      </w:r>
      <w:r>
        <w:rPr>
          <w:sz w:val="24"/>
          <w:szCs w:val="28"/>
        </w:rPr>
        <w:t xml:space="preserve"> mRNA </w:t>
      </w:r>
      <w:proofErr w:type="spellStart"/>
      <w:r>
        <w:rPr>
          <w:sz w:val="24"/>
          <w:szCs w:val="28"/>
        </w:rPr>
        <w:t>can not</w:t>
      </w:r>
      <w:proofErr w:type="spellEnd"/>
      <w:r>
        <w:rPr>
          <w:sz w:val="24"/>
          <w:szCs w:val="28"/>
        </w:rPr>
        <w:t xml:space="preserve"> be affected by the treatment of </w:t>
      </w:r>
      <w:r>
        <w:rPr>
          <w:sz w:val="24"/>
          <w:szCs w:val="24"/>
        </w:rPr>
        <w:t xml:space="preserve">actinomycin </w:t>
      </w:r>
      <w:proofErr w:type="gramStart"/>
      <w:r>
        <w:rPr>
          <w:sz w:val="24"/>
          <w:szCs w:val="24"/>
        </w:rPr>
        <w:t>D(</w:t>
      </w:r>
      <w:proofErr w:type="gramEnd"/>
      <w:r>
        <w:rPr>
          <w:sz w:val="24"/>
          <w:szCs w:val="24"/>
        </w:rPr>
        <w:t xml:space="preserve">the transcription inhibitor). </w:t>
      </w:r>
    </w:p>
    <w:p w14:paraId="64D06DA3" w14:textId="77777777" w:rsidR="00800B96" w:rsidRDefault="00000000">
      <w:pPr>
        <w:spacing w:line="480" w:lineRule="auto"/>
        <w:jc w:val="left"/>
      </w:pPr>
      <w:r>
        <w:rPr>
          <w:sz w:val="24"/>
          <w:szCs w:val="28"/>
        </w:rPr>
        <w:t xml:space="preserve">The </w:t>
      </w:r>
      <w:r>
        <w:rPr>
          <w:color w:val="000000"/>
          <w:kern w:val="0"/>
          <w:sz w:val="24"/>
          <w:szCs w:val="24"/>
        </w:rPr>
        <w:t>wild-type and K488X−</w:t>
      </w:r>
      <w:r>
        <w:rPr>
          <w:i/>
          <w:iCs/>
          <w:color w:val="000000"/>
          <w:kern w:val="0"/>
          <w:sz w:val="24"/>
          <w:szCs w:val="24"/>
        </w:rPr>
        <w:t>MEN1</w:t>
      </w:r>
      <w:r>
        <w:rPr>
          <w:color w:val="000000"/>
          <w:kern w:val="0"/>
          <w:sz w:val="24"/>
          <w:szCs w:val="24"/>
        </w:rPr>
        <w:t xml:space="preserve"> were transfected into COS-7 and HEK-293T cells and at 30hr after transfection</w:t>
      </w:r>
      <w:r>
        <w:rPr>
          <w:color w:val="000000"/>
          <w:kern w:val="0"/>
          <w:sz w:val="24"/>
          <w:szCs w:val="24"/>
        </w:rPr>
        <w:t>，</w:t>
      </w:r>
      <w:r>
        <w:rPr>
          <w:color w:val="000000"/>
          <w:kern w:val="0"/>
          <w:sz w:val="24"/>
          <w:szCs w:val="24"/>
        </w:rPr>
        <w:t xml:space="preserve">cells were treated with 20 </w:t>
      </w:r>
      <w:proofErr w:type="spellStart"/>
      <w:r>
        <w:rPr>
          <w:color w:val="000000"/>
          <w:kern w:val="0"/>
          <w:sz w:val="24"/>
          <w:szCs w:val="24"/>
        </w:rPr>
        <w:t>nM</w:t>
      </w:r>
      <w:proofErr w:type="spellEnd"/>
      <w:r>
        <w:rPr>
          <w:color w:val="000000"/>
          <w:kern w:val="0"/>
          <w:sz w:val="24"/>
          <w:szCs w:val="24"/>
        </w:rPr>
        <w:t xml:space="preserve"> concentration of </w:t>
      </w:r>
      <w:r>
        <w:rPr>
          <w:sz w:val="24"/>
          <w:szCs w:val="24"/>
        </w:rPr>
        <w:t>actinomycin D for 17hr</w:t>
      </w:r>
      <w:r>
        <w:rPr>
          <w:color w:val="000000"/>
          <w:kern w:val="0"/>
          <w:sz w:val="24"/>
          <w:szCs w:val="24"/>
        </w:rPr>
        <w:t>. Then</w:t>
      </w:r>
      <w:r>
        <w:rPr>
          <w:color w:val="000000"/>
          <w:kern w:val="0"/>
          <w:sz w:val="24"/>
          <w:szCs w:val="24"/>
        </w:rPr>
        <w:t>，</w:t>
      </w:r>
      <w:r>
        <w:rPr>
          <w:color w:val="000000"/>
          <w:kern w:val="0"/>
          <w:sz w:val="24"/>
          <w:szCs w:val="24"/>
        </w:rPr>
        <w:t xml:space="preserve"> </w:t>
      </w:r>
      <w:proofErr w:type="spellStart"/>
      <w:r>
        <w:rPr>
          <w:color w:val="000000"/>
          <w:kern w:val="0"/>
          <w:sz w:val="24"/>
          <w:szCs w:val="24"/>
        </w:rPr>
        <w:t>qRT</w:t>
      </w:r>
      <w:proofErr w:type="spellEnd"/>
      <w:r>
        <w:rPr>
          <w:rFonts w:cs="Arial"/>
          <w:color w:val="000000"/>
          <w:kern w:val="0"/>
          <w:sz w:val="24"/>
          <w:szCs w:val="24"/>
        </w:rPr>
        <w:t>–</w:t>
      </w:r>
      <w:r>
        <w:rPr>
          <w:color w:val="000000"/>
          <w:kern w:val="0"/>
          <w:sz w:val="24"/>
          <w:szCs w:val="24"/>
        </w:rPr>
        <w:t xml:space="preserve">PCR was performed to compare the </w:t>
      </w:r>
      <w:r>
        <w:rPr>
          <w:i/>
          <w:iCs/>
          <w:color w:val="000000"/>
          <w:kern w:val="0"/>
          <w:sz w:val="24"/>
          <w:szCs w:val="24"/>
        </w:rPr>
        <w:t>MEN1</w:t>
      </w:r>
      <w:r>
        <w:rPr>
          <w:color w:val="000000"/>
          <w:kern w:val="0"/>
          <w:sz w:val="24"/>
          <w:szCs w:val="24"/>
        </w:rPr>
        <w:t xml:space="preserve"> mRNA differences in expression.</w:t>
      </w:r>
      <w:r>
        <w:t xml:space="preserve"> </w:t>
      </w:r>
      <w:r>
        <w:rPr>
          <w:color w:val="000000"/>
          <w:kern w:val="0"/>
          <w:sz w:val="24"/>
          <w:szCs w:val="24"/>
        </w:rPr>
        <w:t xml:space="preserve">Transfected cells from three replicate wells in 12−well plates for each group were lysed for RNA extraction and </w:t>
      </w:r>
      <w:proofErr w:type="spellStart"/>
      <w:r>
        <w:rPr>
          <w:color w:val="000000"/>
          <w:kern w:val="0"/>
          <w:sz w:val="24"/>
          <w:szCs w:val="24"/>
        </w:rPr>
        <w:t>qRT</w:t>
      </w:r>
      <w:proofErr w:type="spellEnd"/>
      <w:r>
        <w:rPr>
          <w:rFonts w:cs="Arial"/>
          <w:color w:val="000000"/>
          <w:kern w:val="0"/>
          <w:sz w:val="24"/>
          <w:szCs w:val="24"/>
        </w:rPr>
        <w:t>-</w:t>
      </w:r>
      <w:r>
        <w:rPr>
          <w:color w:val="000000"/>
          <w:kern w:val="0"/>
          <w:sz w:val="24"/>
          <w:szCs w:val="24"/>
        </w:rPr>
        <w:t xml:space="preserve">PCR.  </w:t>
      </w:r>
      <w:r>
        <w:rPr>
          <w:b/>
          <w:bCs/>
          <w:sz w:val="24"/>
          <w:szCs w:val="28"/>
        </w:rPr>
        <w:t xml:space="preserve">e </w:t>
      </w:r>
      <w:r>
        <w:rPr>
          <w:sz w:val="24"/>
          <w:szCs w:val="28"/>
        </w:rPr>
        <w:t>and</w:t>
      </w:r>
      <w:r>
        <w:rPr>
          <w:b/>
          <w:bCs/>
          <w:sz w:val="24"/>
          <w:szCs w:val="28"/>
        </w:rPr>
        <w:t xml:space="preserve"> f   </w:t>
      </w:r>
      <w:r>
        <w:rPr>
          <w:sz w:val="24"/>
          <w:szCs w:val="28"/>
        </w:rPr>
        <w:t xml:space="preserve"> </w:t>
      </w:r>
      <w:bookmarkStart w:id="4" w:name="_Hlk178672008"/>
      <w:r>
        <w:rPr>
          <w:sz w:val="24"/>
          <w:szCs w:val="28"/>
        </w:rPr>
        <w:t xml:space="preserve">K488X−affected </w:t>
      </w:r>
      <w:proofErr w:type="spellStart"/>
      <w:r>
        <w:rPr>
          <w:sz w:val="24"/>
          <w:szCs w:val="28"/>
        </w:rPr>
        <w:t>menin</w:t>
      </w:r>
      <w:proofErr w:type="spellEnd"/>
      <w:r>
        <w:rPr>
          <w:sz w:val="24"/>
          <w:szCs w:val="28"/>
        </w:rPr>
        <w:t xml:space="preserve"> protein is less stable than wild-type </w:t>
      </w:r>
      <w:proofErr w:type="spellStart"/>
      <w:r>
        <w:rPr>
          <w:sz w:val="24"/>
          <w:szCs w:val="28"/>
        </w:rPr>
        <w:t>menin</w:t>
      </w:r>
      <w:proofErr w:type="spellEnd"/>
      <w:r>
        <w:rPr>
          <w:sz w:val="24"/>
          <w:szCs w:val="28"/>
        </w:rPr>
        <w:t xml:space="preserve">. </w:t>
      </w:r>
      <w:bookmarkStart w:id="5" w:name="_Hlk178672135"/>
      <w:bookmarkEnd w:id="4"/>
      <w:r>
        <w:rPr>
          <w:sz w:val="24"/>
          <w:szCs w:val="28"/>
        </w:rPr>
        <w:t xml:space="preserve">Wild−type and mutant </w:t>
      </w:r>
      <w:r>
        <w:rPr>
          <w:i/>
          <w:iCs/>
          <w:sz w:val="24"/>
          <w:szCs w:val="28"/>
        </w:rPr>
        <w:t>MEN1</w:t>
      </w:r>
      <w:r>
        <w:rPr>
          <w:sz w:val="24"/>
          <w:szCs w:val="28"/>
        </w:rPr>
        <w:t xml:space="preserve"> were introduced into COS−7 cells. After 48 </w:t>
      </w:r>
      <w:proofErr w:type="spellStart"/>
      <w:r>
        <w:rPr>
          <w:sz w:val="24"/>
          <w:szCs w:val="28"/>
        </w:rPr>
        <w:t>hr</w:t>
      </w:r>
      <w:proofErr w:type="spellEnd"/>
      <w:r>
        <w:rPr>
          <w:sz w:val="24"/>
          <w:szCs w:val="28"/>
        </w:rPr>
        <w:t xml:space="preserve"> of transfection, the cells were treated with CHX (20 </w:t>
      </w:r>
      <w:proofErr w:type="spellStart"/>
      <w:r>
        <w:rPr>
          <w:sz w:val="24"/>
          <w:szCs w:val="28"/>
        </w:rPr>
        <w:t>μg</w:t>
      </w:r>
      <w:proofErr w:type="spellEnd"/>
      <w:r>
        <w:rPr>
          <w:sz w:val="24"/>
          <w:szCs w:val="28"/>
        </w:rPr>
        <w:t xml:space="preserve">/ml) for the indicated times and analyzed </w:t>
      </w:r>
      <w:r>
        <w:rPr>
          <w:sz w:val="24"/>
          <w:szCs w:val="24"/>
        </w:rPr>
        <w:t>using</w:t>
      </w:r>
      <w:r>
        <w:rPr>
          <w:sz w:val="24"/>
          <w:szCs w:val="28"/>
        </w:rPr>
        <w:t xml:space="preserve"> western blotting.</w:t>
      </w:r>
      <w:bookmarkEnd w:id="5"/>
      <w:r>
        <w:rPr>
          <w:sz w:val="24"/>
          <w:szCs w:val="28"/>
        </w:rPr>
        <w:t xml:space="preserve">  </w:t>
      </w:r>
      <w:r>
        <w:rPr>
          <w:b/>
          <w:bCs/>
          <w:sz w:val="24"/>
          <w:szCs w:val="28"/>
        </w:rPr>
        <w:t xml:space="preserve">g </w:t>
      </w:r>
      <w:r>
        <w:rPr>
          <w:sz w:val="24"/>
          <w:szCs w:val="28"/>
        </w:rPr>
        <w:t>and</w:t>
      </w:r>
      <w:r>
        <w:rPr>
          <w:b/>
          <w:bCs/>
          <w:sz w:val="24"/>
          <w:szCs w:val="28"/>
        </w:rPr>
        <w:t xml:space="preserve"> </w:t>
      </w:r>
      <w:proofErr w:type="gramStart"/>
      <w:r>
        <w:rPr>
          <w:b/>
          <w:bCs/>
          <w:sz w:val="24"/>
          <w:szCs w:val="28"/>
        </w:rPr>
        <w:t xml:space="preserve">h  </w:t>
      </w:r>
      <w:bookmarkStart w:id="6" w:name="_Hlk178672704"/>
      <w:r>
        <w:rPr>
          <w:sz w:val="24"/>
          <w:szCs w:val="28"/>
        </w:rPr>
        <w:t>The</w:t>
      </w:r>
      <w:proofErr w:type="gramEnd"/>
      <w:r>
        <w:rPr>
          <w:sz w:val="24"/>
          <w:szCs w:val="28"/>
        </w:rPr>
        <w:t xml:space="preserve"> proteasome inhibitor MG132</w:t>
      </w:r>
      <w:bookmarkEnd w:id="6"/>
      <w:r>
        <w:rPr>
          <w:sz w:val="24"/>
          <w:szCs w:val="28"/>
        </w:rPr>
        <w:t xml:space="preserve"> increased the level of K488X-menin after CHX treatment. The </w:t>
      </w:r>
      <w:proofErr w:type="gramStart"/>
      <w:r>
        <w:rPr>
          <w:sz w:val="24"/>
          <w:szCs w:val="28"/>
        </w:rPr>
        <w:t>wild−type</w:t>
      </w:r>
      <w:proofErr w:type="gramEnd"/>
      <w:r>
        <w:rPr>
          <w:sz w:val="24"/>
          <w:szCs w:val="28"/>
        </w:rPr>
        <w:t xml:space="preserve"> </w:t>
      </w:r>
      <w:proofErr w:type="spellStart"/>
      <w:r>
        <w:rPr>
          <w:sz w:val="24"/>
          <w:szCs w:val="28"/>
        </w:rPr>
        <w:t>menin</w:t>
      </w:r>
      <w:proofErr w:type="spellEnd"/>
      <w:r>
        <w:rPr>
          <w:sz w:val="24"/>
          <w:szCs w:val="28"/>
        </w:rPr>
        <w:t xml:space="preserve"> was unaffected by MG132. The wild-type and K488X-</w:t>
      </w:r>
      <w:r>
        <w:rPr>
          <w:i/>
          <w:iCs/>
          <w:sz w:val="24"/>
          <w:szCs w:val="28"/>
        </w:rPr>
        <w:t>MEN1</w:t>
      </w:r>
      <w:r>
        <w:rPr>
          <w:sz w:val="24"/>
          <w:szCs w:val="28"/>
        </w:rPr>
        <w:t xml:space="preserve"> cells were transfected into COS-7 and HEK-293T cells, and at 48 </w:t>
      </w:r>
      <w:proofErr w:type="spellStart"/>
      <w:r>
        <w:rPr>
          <w:sz w:val="24"/>
          <w:szCs w:val="28"/>
        </w:rPr>
        <w:t>hr</w:t>
      </w:r>
      <w:proofErr w:type="spellEnd"/>
      <w:r>
        <w:rPr>
          <w:sz w:val="24"/>
          <w:szCs w:val="28"/>
        </w:rPr>
        <w:t xml:space="preserve"> after transfection, the cells were treated with </w:t>
      </w:r>
      <w:bookmarkStart w:id="7" w:name="_Hlk178673908"/>
      <w:r>
        <w:rPr>
          <w:sz w:val="24"/>
          <w:szCs w:val="28"/>
        </w:rPr>
        <w:t xml:space="preserve">20 </w:t>
      </w:r>
      <w:proofErr w:type="spellStart"/>
      <w:r>
        <w:rPr>
          <w:sz w:val="24"/>
          <w:szCs w:val="28"/>
        </w:rPr>
        <w:t>μg</w:t>
      </w:r>
      <w:proofErr w:type="spellEnd"/>
      <w:r>
        <w:rPr>
          <w:sz w:val="24"/>
          <w:szCs w:val="28"/>
        </w:rPr>
        <w:t>/ml CHX for 3 hr.</w:t>
      </w:r>
      <w:bookmarkEnd w:id="7"/>
      <w:r>
        <w:rPr>
          <w:sz w:val="24"/>
          <w:szCs w:val="28"/>
        </w:rPr>
        <w:t xml:space="preserve"> MG132 </w:t>
      </w:r>
      <w:bookmarkStart w:id="8" w:name="_Hlk178673938"/>
      <w:r>
        <w:rPr>
          <w:sz w:val="24"/>
          <w:szCs w:val="28"/>
        </w:rPr>
        <w:t xml:space="preserve">(25 </w:t>
      </w:r>
      <w:proofErr w:type="spellStart"/>
      <w:r>
        <w:rPr>
          <w:sz w:val="24"/>
          <w:szCs w:val="28"/>
        </w:rPr>
        <w:t>μM</w:t>
      </w:r>
      <w:proofErr w:type="spellEnd"/>
      <w:r>
        <w:rPr>
          <w:sz w:val="24"/>
          <w:szCs w:val="28"/>
        </w:rPr>
        <w:t>)</w:t>
      </w:r>
      <w:bookmarkEnd w:id="8"/>
      <w:r>
        <w:rPr>
          <w:sz w:val="24"/>
          <w:szCs w:val="28"/>
        </w:rPr>
        <w:t xml:space="preserve"> was then added to the transfected cells, which were then treated for another 3 hr. The cells were lysed in SDS loading buffer and analyzed </w:t>
      </w:r>
      <w:r>
        <w:rPr>
          <w:sz w:val="24"/>
          <w:szCs w:val="24"/>
        </w:rPr>
        <w:t>using</w:t>
      </w:r>
      <w:r>
        <w:rPr>
          <w:sz w:val="24"/>
          <w:szCs w:val="28"/>
        </w:rPr>
        <w:t xml:space="preserve"> western blotting.</w:t>
      </w:r>
      <w:r>
        <w:rPr>
          <w:b/>
          <w:bCs/>
          <w:sz w:val="24"/>
          <w:szCs w:val="28"/>
        </w:rPr>
        <w:t xml:space="preserve"> </w:t>
      </w:r>
      <w:r>
        <w:rPr>
          <w:sz w:val="24"/>
          <w:szCs w:val="28"/>
        </w:rPr>
        <w:t xml:space="preserve">Statistical </w:t>
      </w:r>
      <w:proofErr w:type="gramStart"/>
      <w:r>
        <w:rPr>
          <w:sz w:val="24"/>
          <w:szCs w:val="28"/>
        </w:rPr>
        <w:t>results  are</w:t>
      </w:r>
      <w:proofErr w:type="gramEnd"/>
      <w:r>
        <w:rPr>
          <w:sz w:val="24"/>
          <w:szCs w:val="28"/>
        </w:rPr>
        <w:t xml:space="preserve"> displayed as the </w:t>
      </w:r>
      <w:proofErr w:type="spellStart"/>
      <w:r>
        <w:rPr>
          <w:sz w:val="24"/>
          <w:szCs w:val="28"/>
        </w:rPr>
        <w:t>mean±SEM</w:t>
      </w:r>
      <w:proofErr w:type="spellEnd"/>
      <w:r>
        <w:rPr>
          <w:sz w:val="24"/>
          <w:szCs w:val="28"/>
        </w:rPr>
        <w:t>. Significance of  Supplementary Figure 2b, 2c, 2d, 2g and 2h was assessed via One-Samples T test. Significance of Supplementary Figure 2e-2f was assessed via one-way ANOVA.</w:t>
      </w:r>
    </w:p>
    <w:p w14:paraId="2B0B00E0" w14:textId="77777777" w:rsidR="00800B96" w:rsidRDefault="00800B96">
      <w:pPr>
        <w:spacing w:line="480" w:lineRule="auto"/>
        <w:jc w:val="left"/>
        <w:rPr>
          <w:sz w:val="24"/>
          <w:szCs w:val="28"/>
        </w:rPr>
      </w:pPr>
    </w:p>
    <w:p w14:paraId="602D521D" w14:textId="77777777" w:rsidR="00800B96" w:rsidRDefault="00800B96">
      <w:pPr>
        <w:spacing w:line="480" w:lineRule="auto"/>
        <w:jc w:val="left"/>
        <w:rPr>
          <w:sz w:val="24"/>
          <w:szCs w:val="28"/>
        </w:rPr>
      </w:pPr>
    </w:p>
    <w:p w14:paraId="45B3F9FA" w14:textId="77777777" w:rsidR="00800B96" w:rsidRDefault="00800B96">
      <w:pPr>
        <w:spacing w:line="480" w:lineRule="auto"/>
        <w:jc w:val="left"/>
        <w:rPr>
          <w:sz w:val="24"/>
          <w:szCs w:val="28"/>
        </w:rPr>
      </w:pPr>
    </w:p>
    <w:p w14:paraId="2489C4B0" w14:textId="77777777" w:rsidR="00800B96" w:rsidRDefault="00800B96">
      <w:pPr>
        <w:spacing w:line="480" w:lineRule="auto"/>
        <w:jc w:val="left"/>
        <w:rPr>
          <w:sz w:val="24"/>
          <w:szCs w:val="28"/>
        </w:rPr>
      </w:pPr>
    </w:p>
    <w:p w14:paraId="544B57BF" w14:textId="77777777" w:rsidR="00800B96" w:rsidRDefault="00000000">
      <w:pPr>
        <w:spacing w:line="480" w:lineRule="auto"/>
        <w:jc w:val="left"/>
      </w:pPr>
      <w:r>
        <w:rPr>
          <w:noProof/>
          <w:sz w:val="24"/>
          <w:szCs w:val="28"/>
        </w:rPr>
        <w:lastRenderedPageBreak/>
        <w:drawing>
          <wp:inline distT="0" distB="0" distL="0" distR="0" wp14:anchorId="5B97693F" wp14:editId="5AAD78CA">
            <wp:extent cx="5276846" cy="5495928"/>
            <wp:effectExtent l="0" t="0" r="4" b="9522"/>
            <wp:docPr id="1287517118"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276846" cy="5495928"/>
                    </a:xfrm>
                    <a:prstGeom prst="rect">
                      <a:avLst/>
                    </a:prstGeom>
                    <a:noFill/>
                    <a:ln>
                      <a:noFill/>
                      <a:prstDash/>
                    </a:ln>
                  </pic:spPr>
                </pic:pic>
              </a:graphicData>
            </a:graphic>
          </wp:inline>
        </w:drawing>
      </w:r>
    </w:p>
    <w:p w14:paraId="697222FC" w14:textId="77777777" w:rsidR="00800B96" w:rsidRDefault="00000000">
      <w:pPr>
        <w:spacing w:line="480" w:lineRule="auto"/>
      </w:pPr>
      <w:bookmarkStart w:id="9" w:name="_Hlk179972272"/>
      <w:r>
        <w:rPr>
          <w:b/>
          <w:bCs/>
          <w:sz w:val="24"/>
          <w:szCs w:val="28"/>
        </w:rPr>
        <w:t>Supplementary</w:t>
      </w:r>
      <w:bookmarkEnd w:id="9"/>
      <w:r>
        <w:rPr>
          <w:b/>
          <w:bCs/>
          <w:sz w:val="24"/>
          <w:szCs w:val="28"/>
        </w:rPr>
        <w:t xml:space="preserve"> Fig. 3 </w:t>
      </w:r>
      <w:r>
        <w:rPr>
          <w:rFonts w:ascii="SimSun" w:hAnsi="SimSun"/>
          <w:b/>
          <w:bCs/>
          <w:sz w:val="24"/>
          <w:szCs w:val="28"/>
        </w:rPr>
        <w:t xml:space="preserve"> </w:t>
      </w:r>
      <w:r>
        <w:rPr>
          <w:b/>
          <w:bCs/>
          <w:sz w:val="24"/>
          <w:szCs w:val="28"/>
        </w:rPr>
        <w:t xml:space="preserve"> No significantly downregulated</w:t>
      </w:r>
      <w:r>
        <w:rPr>
          <w:b/>
          <w:bCs/>
          <w:i/>
          <w:iCs/>
          <w:sz w:val="24"/>
          <w:szCs w:val="28"/>
        </w:rPr>
        <w:t xml:space="preserve"> MEN1</w:t>
      </w:r>
      <w:r>
        <w:rPr>
          <w:b/>
          <w:bCs/>
          <w:sz w:val="24"/>
          <w:szCs w:val="28"/>
        </w:rPr>
        <w:t xml:space="preserve"> </w:t>
      </w:r>
      <w:proofErr w:type="gramStart"/>
      <w:r>
        <w:rPr>
          <w:b/>
          <w:bCs/>
          <w:sz w:val="24"/>
          <w:szCs w:val="28"/>
        </w:rPr>
        <w:t>mRNA  was</w:t>
      </w:r>
      <w:proofErr w:type="gramEnd"/>
      <w:r>
        <w:rPr>
          <w:b/>
          <w:bCs/>
          <w:sz w:val="24"/>
          <w:szCs w:val="28"/>
        </w:rPr>
        <w:t xml:space="preserve"> detected in the pancreatic tissues of the proband.</w:t>
      </w:r>
    </w:p>
    <w:p w14:paraId="5AB50D43" w14:textId="77777777" w:rsidR="00800B96" w:rsidRDefault="00000000">
      <w:pPr>
        <w:spacing w:line="480" w:lineRule="auto"/>
      </w:pPr>
      <w:proofErr w:type="gramStart"/>
      <w:r>
        <w:rPr>
          <w:b/>
          <w:bCs/>
          <w:sz w:val="24"/>
          <w:szCs w:val="28"/>
        </w:rPr>
        <w:t xml:space="preserve">a </w:t>
      </w:r>
      <w:r>
        <w:rPr>
          <w:sz w:val="24"/>
          <w:szCs w:val="28"/>
        </w:rPr>
        <w:t xml:space="preserve"> No</w:t>
      </w:r>
      <w:proofErr w:type="gramEnd"/>
      <w:r>
        <w:rPr>
          <w:sz w:val="24"/>
          <w:szCs w:val="28"/>
        </w:rPr>
        <w:t xml:space="preserve"> fluorescence was detected in the double−negative control (probe and digoxin (DIG) double−negative controls) in the left panel. Probe−negative and DIG−negative controls were used to exclude nonspecific staining in the pancreatic tissues of non−MEN1 individuals; probe and DIG fluorescent primary antibodies were omitted for tissue RNA hybridization and the binding of DIG−labeled probes and tissue RNA in tissue sections. No fluorescence was detected in the Probe </w:t>
      </w:r>
      <w:r>
        <w:rPr>
          <w:sz w:val="24"/>
          <w:szCs w:val="28"/>
        </w:rPr>
        <w:lastRenderedPageBreak/>
        <w:t xml:space="preserve">1-negative controls in the right panel. At the final concentration (0.8 </w:t>
      </w:r>
      <w:proofErr w:type="spellStart"/>
      <w:r>
        <w:rPr>
          <w:sz w:val="24"/>
          <w:szCs w:val="28"/>
        </w:rPr>
        <w:t>μg</w:t>
      </w:r>
      <w:proofErr w:type="spellEnd"/>
      <w:r>
        <w:rPr>
          <w:sz w:val="24"/>
          <w:szCs w:val="28"/>
        </w:rPr>
        <w:t xml:space="preserve">/ml) of Probe 1, no DIG fluorescent primary antibody was added to the proband’s pancreatic tissues to exclude nonspecific staining. Magnification: 400×. P: positive and N: negative. Bars: 50 </w:t>
      </w:r>
      <w:proofErr w:type="spellStart"/>
      <w:r>
        <w:rPr>
          <w:sz w:val="24"/>
          <w:szCs w:val="28"/>
        </w:rPr>
        <w:t>μm</w:t>
      </w:r>
      <w:proofErr w:type="spellEnd"/>
      <w:r>
        <w:rPr>
          <w:sz w:val="24"/>
          <w:szCs w:val="28"/>
        </w:rPr>
        <w:t xml:space="preserve">. </w:t>
      </w:r>
      <w:proofErr w:type="gramStart"/>
      <w:r>
        <w:rPr>
          <w:b/>
          <w:bCs/>
          <w:sz w:val="24"/>
          <w:szCs w:val="28"/>
        </w:rPr>
        <w:t xml:space="preserve">b </w:t>
      </w:r>
      <w:r>
        <w:rPr>
          <w:sz w:val="24"/>
          <w:szCs w:val="28"/>
        </w:rPr>
        <w:t xml:space="preserve"> No</w:t>
      </w:r>
      <w:proofErr w:type="gramEnd"/>
      <w:r>
        <w:rPr>
          <w:sz w:val="24"/>
          <w:szCs w:val="28"/>
        </w:rPr>
        <w:t xml:space="preserve"> fluorescence was detected in the probe−negative controls in the left panel; 0.8 </w:t>
      </w:r>
      <w:proofErr w:type="spellStart"/>
      <w:r>
        <w:rPr>
          <w:sz w:val="24"/>
          <w:szCs w:val="28"/>
        </w:rPr>
        <w:t>μg</w:t>
      </w:r>
      <w:proofErr w:type="spellEnd"/>
      <w:r>
        <w:rPr>
          <w:sz w:val="24"/>
          <w:szCs w:val="28"/>
        </w:rPr>
        <w:t xml:space="preserve">/ml (final concentration) Probe 2 was added, and the DIG fluorescent primary antibody was omitted from non−MEN1 individuals’ pancreatic tissues to exclude nonspecific staining. No fluorescence was detected in the Probe 2−negative controls in the right panel. DIG fluorescent primary antibody was incubated; however, no probe was added to the proband’s pancreatic tissues to exclude nonspecific staining caused by the DIG fluorescent primary antibody. </w:t>
      </w:r>
      <w:r>
        <w:rPr>
          <w:b/>
          <w:bCs/>
          <w:sz w:val="24"/>
          <w:szCs w:val="28"/>
        </w:rPr>
        <w:t>c</w:t>
      </w:r>
      <w:r>
        <w:rPr>
          <w:sz w:val="24"/>
          <w:szCs w:val="28"/>
        </w:rPr>
        <w:t xml:space="preserve"> and </w:t>
      </w:r>
      <w:proofErr w:type="gramStart"/>
      <w:r>
        <w:rPr>
          <w:b/>
          <w:bCs/>
          <w:sz w:val="24"/>
          <w:szCs w:val="28"/>
        </w:rPr>
        <w:t>d</w:t>
      </w:r>
      <w:r>
        <w:rPr>
          <w:i/>
          <w:iCs/>
          <w:sz w:val="24"/>
          <w:szCs w:val="28"/>
        </w:rPr>
        <w:t xml:space="preserve"> </w:t>
      </w:r>
      <w:r>
        <w:rPr>
          <w:sz w:val="24"/>
          <w:szCs w:val="28"/>
        </w:rPr>
        <w:t xml:space="preserve"> Slight</w:t>
      </w:r>
      <w:proofErr w:type="gramEnd"/>
      <w:r>
        <w:rPr>
          <w:sz w:val="24"/>
          <w:szCs w:val="28"/>
        </w:rPr>
        <w:t xml:space="preserve"> downregulation of </w:t>
      </w:r>
      <w:r>
        <w:rPr>
          <w:i/>
          <w:iCs/>
          <w:sz w:val="24"/>
          <w:szCs w:val="28"/>
        </w:rPr>
        <w:t>MEN1</w:t>
      </w:r>
      <w:r>
        <w:rPr>
          <w:sz w:val="24"/>
          <w:szCs w:val="28"/>
        </w:rPr>
        <w:t xml:space="preserve"> mRNA was detected in the pancreatic tissues of the proband compared with that in the non−MEN1 pancreatic tissues. The pancreatic tissues of the proband and the non−MEN1 individual were incubated with 0.8 </w:t>
      </w:r>
      <w:proofErr w:type="spellStart"/>
      <w:r>
        <w:rPr>
          <w:sz w:val="24"/>
          <w:szCs w:val="28"/>
        </w:rPr>
        <w:t>μg</w:t>
      </w:r>
      <w:proofErr w:type="spellEnd"/>
      <w:r>
        <w:rPr>
          <w:sz w:val="24"/>
          <w:szCs w:val="28"/>
        </w:rPr>
        <w:t xml:space="preserve">/ml (final concentration) Probe 1 to measure the expression of </w:t>
      </w:r>
      <w:r>
        <w:rPr>
          <w:i/>
          <w:iCs/>
          <w:sz w:val="24"/>
          <w:szCs w:val="28"/>
        </w:rPr>
        <w:t>MEN1</w:t>
      </w:r>
      <w:r>
        <w:rPr>
          <w:sz w:val="24"/>
          <w:szCs w:val="28"/>
        </w:rPr>
        <w:t xml:space="preserve"> mRNA. Typical characteristic areas of RNA</w:t>
      </w:r>
      <w:r>
        <w:rPr>
          <w:rFonts w:cs="Arial"/>
          <w:sz w:val="24"/>
          <w:szCs w:val="28"/>
        </w:rPr>
        <w:t>–</w:t>
      </w:r>
      <w:r>
        <w:rPr>
          <w:sz w:val="24"/>
          <w:szCs w:val="28"/>
        </w:rPr>
        <w:t xml:space="preserve">FISH staining </w:t>
      </w:r>
      <w:proofErr w:type="gramStart"/>
      <w:r>
        <w:rPr>
          <w:sz w:val="24"/>
          <w:szCs w:val="28"/>
        </w:rPr>
        <w:t>are</w:t>
      </w:r>
      <w:proofErr w:type="gramEnd"/>
      <w:r>
        <w:rPr>
          <w:sz w:val="24"/>
          <w:szCs w:val="28"/>
        </w:rPr>
        <w:t xml:space="preserve"> framed in red and magnified in the bottom panels (400×). Eleven fields of view at 200× magnification </w:t>
      </w:r>
      <w:proofErr w:type="gramStart"/>
      <w:r>
        <w:rPr>
          <w:sz w:val="24"/>
          <w:szCs w:val="28"/>
        </w:rPr>
        <w:t>were</w:t>
      </w:r>
      <w:proofErr w:type="gramEnd"/>
      <w:r>
        <w:rPr>
          <w:sz w:val="24"/>
          <w:szCs w:val="28"/>
        </w:rPr>
        <w:t xml:space="preserve"> photographed. The intensity and percentage of RNA staining were evaluated, and the RNA−FISH staining score was calculated and statistically analyzed. Bar: 50 </w:t>
      </w:r>
      <w:proofErr w:type="spellStart"/>
      <w:r>
        <w:rPr>
          <w:sz w:val="24"/>
          <w:szCs w:val="28"/>
        </w:rPr>
        <w:t>μm</w:t>
      </w:r>
      <w:proofErr w:type="spellEnd"/>
      <w:r>
        <w:rPr>
          <w:sz w:val="24"/>
          <w:szCs w:val="28"/>
        </w:rPr>
        <w:t xml:space="preserve">.  </w:t>
      </w:r>
      <w:r>
        <w:rPr>
          <w:b/>
          <w:bCs/>
          <w:sz w:val="24"/>
          <w:szCs w:val="28"/>
        </w:rPr>
        <w:t>e</w:t>
      </w:r>
      <w:r>
        <w:rPr>
          <w:i/>
          <w:iCs/>
          <w:sz w:val="24"/>
          <w:szCs w:val="28"/>
        </w:rPr>
        <w:t xml:space="preserve"> </w:t>
      </w:r>
      <w:r>
        <w:rPr>
          <w:sz w:val="24"/>
          <w:szCs w:val="28"/>
        </w:rPr>
        <w:t xml:space="preserve">and </w:t>
      </w:r>
      <w:proofErr w:type="gramStart"/>
      <w:r>
        <w:rPr>
          <w:b/>
          <w:bCs/>
          <w:sz w:val="24"/>
          <w:szCs w:val="28"/>
        </w:rPr>
        <w:t xml:space="preserve">f  </w:t>
      </w:r>
      <w:r>
        <w:rPr>
          <w:sz w:val="24"/>
          <w:szCs w:val="28"/>
        </w:rPr>
        <w:t>No</w:t>
      </w:r>
      <w:proofErr w:type="gramEnd"/>
      <w:r>
        <w:rPr>
          <w:sz w:val="24"/>
          <w:szCs w:val="28"/>
        </w:rPr>
        <w:t xml:space="preserve"> downregulation of </w:t>
      </w:r>
      <w:r>
        <w:rPr>
          <w:i/>
          <w:iCs/>
          <w:sz w:val="24"/>
          <w:szCs w:val="28"/>
        </w:rPr>
        <w:t>MEN1</w:t>
      </w:r>
      <w:r>
        <w:rPr>
          <w:sz w:val="24"/>
          <w:szCs w:val="28"/>
        </w:rPr>
        <w:t xml:space="preserve"> mRNA was detected in the pancreatic tissues of the proband in comparison with that in non−MEN1 pancreatic tissues. The pancreatic tissues of the proband and the non−MEN1 individual were incubated with 0.8 </w:t>
      </w:r>
      <w:proofErr w:type="spellStart"/>
      <w:r>
        <w:rPr>
          <w:sz w:val="24"/>
          <w:szCs w:val="28"/>
        </w:rPr>
        <w:t>μg</w:t>
      </w:r>
      <w:proofErr w:type="spellEnd"/>
      <w:r>
        <w:rPr>
          <w:sz w:val="24"/>
          <w:szCs w:val="28"/>
        </w:rPr>
        <w:t>/ml (final concentration) Probe 2 to measure</w:t>
      </w:r>
      <w:r>
        <w:rPr>
          <w:sz w:val="24"/>
        </w:rPr>
        <w:t xml:space="preserve"> </w:t>
      </w:r>
      <w:r>
        <w:rPr>
          <w:i/>
          <w:iCs/>
          <w:sz w:val="24"/>
          <w:szCs w:val="28"/>
        </w:rPr>
        <w:t>MEN1</w:t>
      </w:r>
      <w:r>
        <w:rPr>
          <w:sz w:val="24"/>
          <w:szCs w:val="28"/>
        </w:rPr>
        <w:t xml:space="preserve"> mRNA. Typical characteristic areas of RNA</w:t>
      </w:r>
      <w:r>
        <w:rPr>
          <w:rFonts w:cs="Arial"/>
          <w:sz w:val="24"/>
          <w:szCs w:val="28"/>
        </w:rPr>
        <w:t>–</w:t>
      </w:r>
      <w:r>
        <w:rPr>
          <w:sz w:val="24"/>
          <w:szCs w:val="28"/>
        </w:rPr>
        <w:t xml:space="preserve">FISH staining </w:t>
      </w:r>
      <w:proofErr w:type="gramStart"/>
      <w:r>
        <w:rPr>
          <w:sz w:val="24"/>
          <w:szCs w:val="28"/>
        </w:rPr>
        <w:t>are</w:t>
      </w:r>
      <w:proofErr w:type="gramEnd"/>
      <w:r>
        <w:rPr>
          <w:sz w:val="24"/>
          <w:szCs w:val="28"/>
        </w:rPr>
        <w:t xml:space="preserve"> framed in red and magnified in the bottom panel. Eight fields (200× magnification) of non−MEN1 individual tissues and 10 fields of the proband’s tissues were photographed. The RNA</w:t>
      </w:r>
      <w:r>
        <w:rPr>
          <w:rFonts w:cs="Arial"/>
          <w:sz w:val="24"/>
          <w:szCs w:val="28"/>
        </w:rPr>
        <w:t>–</w:t>
      </w:r>
      <w:r>
        <w:rPr>
          <w:sz w:val="24"/>
          <w:szCs w:val="28"/>
        </w:rPr>
        <w:t xml:space="preserve">FISH staining score was calculated and statistically analyzed. Bar: 50 </w:t>
      </w:r>
      <w:proofErr w:type="spellStart"/>
      <w:r>
        <w:rPr>
          <w:sz w:val="24"/>
          <w:szCs w:val="28"/>
        </w:rPr>
        <w:t>μm</w:t>
      </w:r>
      <w:proofErr w:type="spellEnd"/>
      <w:r>
        <w:rPr>
          <w:sz w:val="24"/>
          <w:szCs w:val="28"/>
        </w:rPr>
        <w:t xml:space="preserve">. Statistical results are showed as the mean ±SEM. Significance in Supplementary Figure 3d </w:t>
      </w:r>
      <w:r>
        <w:rPr>
          <w:sz w:val="24"/>
          <w:szCs w:val="28"/>
        </w:rPr>
        <w:lastRenderedPageBreak/>
        <w:t>and 3f was assessed via One-Samples T test.</w:t>
      </w:r>
    </w:p>
    <w:p w14:paraId="6ECABCDF" w14:textId="77777777" w:rsidR="00800B96" w:rsidRDefault="00800B96">
      <w:pPr>
        <w:spacing w:line="480" w:lineRule="auto"/>
        <w:rPr>
          <w:sz w:val="24"/>
          <w:szCs w:val="28"/>
        </w:rPr>
      </w:pPr>
    </w:p>
    <w:p w14:paraId="72BCA8AD" w14:textId="77777777" w:rsidR="00800B96" w:rsidRDefault="00000000">
      <w:pPr>
        <w:spacing w:line="480" w:lineRule="auto"/>
      </w:pPr>
      <w:r>
        <w:rPr>
          <w:noProof/>
          <w:sz w:val="24"/>
          <w:szCs w:val="28"/>
        </w:rPr>
        <w:drawing>
          <wp:inline distT="0" distB="0" distL="0" distR="0" wp14:anchorId="4BFFD498" wp14:editId="308BA4AF">
            <wp:extent cx="5457825" cy="6362696"/>
            <wp:effectExtent l="0" t="0" r="9525" b="4"/>
            <wp:docPr id="1952071895"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5457825" cy="6362696"/>
                    </a:xfrm>
                    <a:prstGeom prst="rect">
                      <a:avLst/>
                    </a:prstGeom>
                    <a:noFill/>
                    <a:ln>
                      <a:noFill/>
                      <a:prstDash/>
                    </a:ln>
                  </pic:spPr>
                </pic:pic>
              </a:graphicData>
            </a:graphic>
          </wp:inline>
        </w:drawing>
      </w:r>
    </w:p>
    <w:p w14:paraId="4A9FE3D1" w14:textId="77777777" w:rsidR="00800B96" w:rsidRDefault="00000000">
      <w:pPr>
        <w:spacing w:line="480" w:lineRule="auto"/>
      </w:pPr>
      <w:r>
        <w:rPr>
          <w:b/>
          <w:bCs/>
          <w:sz w:val="24"/>
          <w:szCs w:val="28"/>
        </w:rPr>
        <w:t>Supplementary Fig.</w:t>
      </w:r>
      <w:proofErr w:type="gramStart"/>
      <w:r>
        <w:rPr>
          <w:b/>
          <w:bCs/>
          <w:sz w:val="24"/>
          <w:szCs w:val="28"/>
        </w:rPr>
        <w:t xml:space="preserve">4 </w:t>
      </w:r>
      <w:r>
        <w:rPr>
          <w:rFonts w:ascii="SimSun" w:hAnsi="SimSun"/>
          <w:b/>
          <w:bCs/>
          <w:sz w:val="24"/>
          <w:szCs w:val="28"/>
        </w:rPr>
        <w:t xml:space="preserve"> </w:t>
      </w:r>
      <w:r>
        <w:rPr>
          <w:b/>
          <w:bCs/>
          <w:sz w:val="24"/>
          <w:szCs w:val="28"/>
        </w:rPr>
        <w:t>Stabilization</w:t>
      </w:r>
      <w:proofErr w:type="gramEnd"/>
      <w:r>
        <w:rPr>
          <w:b/>
          <w:bCs/>
          <w:sz w:val="24"/>
          <w:szCs w:val="28"/>
        </w:rPr>
        <w:t xml:space="preserve">  of K488X−menin  is mediated by  </w:t>
      </w:r>
      <w:bookmarkStart w:id="10" w:name="_Hlk108295746"/>
      <w:r>
        <w:rPr>
          <w:b/>
          <w:bCs/>
          <w:sz w:val="24"/>
          <w:szCs w:val="28"/>
        </w:rPr>
        <w:t>Hsp70 and CHIP</w:t>
      </w:r>
      <w:bookmarkEnd w:id="10"/>
      <w:r>
        <w:rPr>
          <w:b/>
          <w:bCs/>
          <w:sz w:val="24"/>
          <w:szCs w:val="28"/>
        </w:rPr>
        <w:t>.</w:t>
      </w:r>
    </w:p>
    <w:p w14:paraId="72F3A336" w14:textId="77777777" w:rsidR="00800B96" w:rsidRDefault="00000000">
      <w:pPr>
        <w:spacing w:line="480" w:lineRule="auto"/>
      </w:pPr>
      <w:proofErr w:type="gramStart"/>
      <w:r>
        <w:rPr>
          <w:b/>
          <w:bCs/>
          <w:sz w:val="24"/>
          <w:szCs w:val="28"/>
        </w:rPr>
        <w:t xml:space="preserve">a  </w:t>
      </w:r>
      <w:r>
        <w:rPr>
          <w:sz w:val="24"/>
          <w:szCs w:val="28"/>
        </w:rPr>
        <w:t>Wild</w:t>
      </w:r>
      <w:proofErr w:type="gramEnd"/>
      <w:r>
        <w:rPr>
          <w:sz w:val="24"/>
          <w:szCs w:val="28"/>
        </w:rPr>
        <w:t xml:space="preserve">−type </w:t>
      </w:r>
      <w:proofErr w:type="spellStart"/>
      <w:r>
        <w:rPr>
          <w:sz w:val="24"/>
          <w:szCs w:val="28"/>
        </w:rPr>
        <w:t>menin</w:t>
      </w:r>
      <w:proofErr w:type="spellEnd"/>
      <w:r>
        <w:rPr>
          <w:sz w:val="24"/>
          <w:szCs w:val="28"/>
        </w:rPr>
        <w:t xml:space="preserve"> and K488X−menin mutants were associated with Hsp70. HA−tagged wild−type and mutant </w:t>
      </w:r>
      <w:r>
        <w:rPr>
          <w:i/>
          <w:iCs/>
          <w:sz w:val="24"/>
          <w:szCs w:val="28"/>
        </w:rPr>
        <w:t>MEN1</w:t>
      </w:r>
      <w:r>
        <w:rPr>
          <w:sz w:val="24"/>
          <w:szCs w:val="28"/>
        </w:rPr>
        <w:t xml:space="preserve"> and GFP−tagged </w:t>
      </w:r>
      <w:r>
        <w:rPr>
          <w:i/>
          <w:iCs/>
          <w:sz w:val="24"/>
          <w:szCs w:val="28"/>
        </w:rPr>
        <w:t>Hsp70</w:t>
      </w:r>
      <w:r>
        <w:rPr>
          <w:sz w:val="24"/>
          <w:szCs w:val="28"/>
        </w:rPr>
        <w:t xml:space="preserve"> were transfected into HEK−293T cells with </w:t>
      </w:r>
      <w:r>
        <w:rPr>
          <w:sz w:val="24"/>
          <w:szCs w:val="28"/>
        </w:rPr>
        <w:lastRenderedPageBreak/>
        <w:t xml:space="preserve">different combinations of agents. At 48 </w:t>
      </w:r>
      <w:proofErr w:type="spellStart"/>
      <w:r>
        <w:rPr>
          <w:sz w:val="24"/>
          <w:szCs w:val="28"/>
        </w:rPr>
        <w:t>hr</w:t>
      </w:r>
      <w:proofErr w:type="spellEnd"/>
      <w:r>
        <w:rPr>
          <w:sz w:val="24"/>
          <w:szCs w:val="28"/>
        </w:rPr>
        <w:t xml:space="preserve"> after transfection, the cells were lysed, GFP-Hsp70 was immunoprecipitated with an anti-GFP antibody, and the associated HA−</w:t>
      </w:r>
      <w:proofErr w:type="spellStart"/>
      <w:r>
        <w:rPr>
          <w:sz w:val="24"/>
          <w:szCs w:val="24"/>
        </w:rPr>
        <w:t>menin</w:t>
      </w:r>
      <w:proofErr w:type="spellEnd"/>
      <w:r>
        <w:rPr>
          <w:sz w:val="24"/>
          <w:szCs w:val="28"/>
        </w:rPr>
        <w:t xml:space="preserve"> was measured using immunoblotting.  </w:t>
      </w:r>
      <w:proofErr w:type="gramStart"/>
      <w:r>
        <w:rPr>
          <w:b/>
          <w:bCs/>
          <w:sz w:val="24"/>
          <w:szCs w:val="28"/>
        </w:rPr>
        <w:t xml:space="preserve">b </w:t>
      </w:r>
      <w:r>
        <w:rPr>
          <w:sz w:val="24"/>
          <w:szCs w:val="28"/>
        </w:rPr>
        <w:t xml:space="preserve"> A</w:t>
      </w:r>
      <w:proofErr w:type="gramEnd"/>
      <w:r>
        <w:rPr>
          <w:sz w:val="24"/>
          <w:szCs w:val="28"/>
        </w:rPr>
        <w:t xml:space="preserve"> decrease in K488X−menin but not in wild−type </w:t>
      </w:r>
      <w:proofErr w:type="spellStart"/>
      <w:r>
        <w:rPr>
          <w:sz w:val="24"/>
          <w:szCs w:val="28"/>
        </w:rPr>
        <w:t>menin</w:t>
      </w:r>
      <w:proofErr w:type="spellEnd"/>
      <w:r>
        <w:rPr>
          <w:sz w:val="24"/>
          <w:szCs w:val="28"/>
        </w:rPr>
        <w:t xml:space="preserve"> was induced by Hsp70. HA−tagged wild−type and mutant </w:t>
      </w:r>
      <w:r>
        <w:rPr>
          <w:i/>
          <w:iCs/>
          <w:sz w:val="24"/>
          <w:szCs w:val="28"/>
        </w:rPr>
        <w:t xml:space="preserve">MEN1 </w:t>
      </w:r>
      <w:r>
        <w:rPr>
          <w:sz w:val="24"/>
          <w:szCs w:val="28"/>
        </w:rPr>
        <w:t xml:space="preserve">and GFP−tagged </w:t>
      </w:r>
      <w:r>
        <w:rPr>
          <w:i/>
          <w:iCs/>
          <w:sz w:val="24"/>
          <w:szCs w:val="28"/>
        </w:rPr>
        <w:t xml:space="preserve">Hsp70 </w:t>
      </w:r>
      <w:r>
        <w:rPr>
          <w:sz w:val="24"/>
          <w:szCs w:val="28"/>
        </w:rPr>
        <w:t>were transfected into HEK−</w:t>
      </w:r>
      <w:proofErr w:type="gramStart"/>
      <w:r>
        <w:rPr>
          <w:sz w:val="24"/>
          <w:szCs w:val="28"/>
        </w:rPr>
        <w:t>293T</w:t>
      </w:r>
      <w:proofErr w:type="gramEnd"/>
      <w:r>
        <w:rPr>
          <w:sz w:val="24"/>
          <w:szCs w:val="28"/>
        </w:rPr>
        <w:t xml:space="preserve"> and COS−7 cells as indicated by the different combinations. At 48 </w:t>
      </w:r>
      <w:proofErr w:type="spellStart"/>
      <w:r>
        <w:rPr>
          <w:sz w:val="24"/>
          <w:szCs w:val="28"/>
        </w:rPr>
        <w:t>hr</w:t>
      </w:r>
      <w:proofErr w:type="spellEnd"/>
      <w:r>
        <w:rPr>
          <w:sz w:val="24"/>
          <w:szCs w:val="28"/>
        </w:rPr>
        <w:t xml:space="preserve"> after transfection, the cells were lysed and analyzed </w:t>
      </w:r>
      <w:r>
        <w:rPr>
          <w:sz w:val="24"/>
          <w:szCs w:val="24"/>
        </w:rPr>
        <w:t>using</w:t>
      </w:r>
      <w:r>
        <w:rPr>
          <w:sz w:val="24"/>
          <w:szCs w:val="28"/>
        </w:rPr>
        <w:t xml:space="preserve"> western blotting.  </w:t>
      </w:r>
      <w:r>
        <w:rPr>
          <w:b/>
          <w:bCs/>
          <w:sz w:val="24"/>
          <w:szCs w:val="28"/>
        </w:rPr>
        <w:t xml:space="preserve">c </w:t>
      </w:r>
      <w:r>
        <w:rPr>
          <w:sz w:val="24"/>
          <w:szCs w:val="28"/>
        </w:rPr>
        <w:t xml:space="preserve">Hsp70 induced downregulation of wild−type </w:t>
      </w:r>
      <w:r>
        <w:rPr>
          <w:i/>
          <w:iCs/>
          <w:sz w:val="24"/>
          <w:szCs w:val="28"/>
        </w:rPr>
        <w:t>MEN1</w:t>
      </w:r>
      <w:r>
        <w:rPr>
          <w:sz w:val="24"/>
          <w:szCs w:val="28"/>
        </w:rPr>
        <w:t xml:space="preserve"> but not K488X</w:t>
      </w:r>
      <w:r>
        <w:rPr>
          <w:i/>
          <w:iCs/>
          <w:sz w:val="24"/>
          <w:szCs w:val="28"/>
        </w:rPr>
        <w:t>−MEN1</w:t>
      </w:r>
      <w:r>
        <w:rPr>
          <w:sz w:val="24"/>
          <w:szCs w:val="28"/>
        </w:rPr>
        <w:t xml:space="preserve"> at the transcriptional level. HA−tagged wild−type and mutant </w:t>
      </w:r>
      <w:r>
        <w:rPr>
          <w:i/>
          <w:iCs/>
          <w:sz w:val="24"/>
          <w:szCs w:val="28"/>
        </w:rPr>
        <w:t xml:space="preserve">MEN1 </w:t>
      </w:r>
      <w:r>
        <w:rPr>
          <w:sz w:val="24"/>
          <w:szCs w:val="28"/>
        </w:rPr>
        <w:t xml:space="preserve">and GFP-tagged </w:t>
      </w:r>
      <w:r>
        <w:rPr>
          <w:i/>
          <w:iCs/>
          <w:sz w:val="24"/>
          <w:szCs w:val="28"/>
        </w:rPr>
        <w:t>Hsp70</w:t>
      </w:r>
      <w:r>
        <w:rPr>
          <w:sz w:val="24"/>
          <w:szCs w:val="28"/>
        </w:rPr>
        <w:t xml:space="preserve"> were simultaneously introduced into HEK-293T and COS-7 cells in different combinations. At 24 </w:t>
      </w:r>
      <w:proofErr w:type="spellStart"/>
      <w:r>
        <w:rPr>
          <w:sz w:val="24"/>
          <w:szCs w:val="28"/>
        </w:rPr>
        <w:t>hr</w:t>
      </w:r>
      <w:proofErr w:type="spellEnd"/>
      <w:r>
        <w:rPr>
          <w:sz w:val="24"/>
          <w:szCs w:val="28"/>
        </w:rPr>
        <w:t xml:space="preserve"> after transfection, the cells were lysed and analyzed </w:t>
      </w:r>
      <w:r>
        <w:rPr>
          <w:sz w:val="24"/>
          <w:szCs w:val="24"/>
        </w:rPr>
        <w:t>using</w:t>
      </w:r>
      <w:r>
        <w:rPr>
          <w:sz w:val="24"/>
          <w:szCs w:val="28"/>
        </w:rPr>
        <w:t xml:space="preserve"> </w:t>
      </w:r>
      <w:proofErr w:type="spellStart"/>
      <w:r>
        <w:rPr>
          <w:sz w:val="24"/>
          <w:szCs w:val="28"/>
        </w:rPr>
        <w:t>qRT</w:t>
      </w:r>
      <w:proofErr w:type="spellEnd"/>
      <w:r>
        <w:rPr>
          <w:sz w:val="24"/>
          <w:szCs w:val="28"/>
        </w:rPr>
        <w:t xml:space="preserve">‒PCR (n = 4/group). </w:t>
      </w:r>
      <w:proofErr w:type="gramStart"/>
      <w:r>
        <w:rPr>
          <w:b/>
          <w:bCs/>
          <w:sz w:val="24"/>
          <w:szCs w:val="28"/>
        </w:rPr>
        <w:t xml:space="preserve">d  </w:t>
      </w:r>
      <w:r>
        <w:rPr>
          <w:sz w:val="24"/>
          <w:szCs w:val="28"/>
        </w:rPr>
        <w:t>Hsp</w:t>
      </w:r>
      <w:proofErr w:type="gramEnd"/>
      <w:r>
        <w:rPr>
          <w:sz w:val="24"/>
          <w:szCs w:val="28"/>
        </w:rPr>
        <w:t xml:space="preserve">70 induced downregulation of wild−type </w:t>
      </w:r>
      <w:r>
        <w:rPr>
          <w:i/>
          <w:iCs/>
          <w:sz w:val="24"/>
          <w:szCs w:val="28"/>
        </w:rPr>
        <w:t xml:space="preserve">MEN1 </w:t>
      </w:r>
      <w:r>
        <w:rPr>
          <w:sz w:val="24"/>
          <w:szCs w:val="28"/>
        </w:rPr>
        <w:t>but not</w:t>
      </w:r>
      <w:r>
        <w:rPr>
          <w:i/>
          <w:iCs/>
          <w:sz w:val="24"/>
          <w:szCs w:val="28"/>
        </w:rPr>
        <w:t xml:space="preserve"> </w:t>
      </w:r>
      <w:r>
        <w:rPr>
          <w:sz w:val="24"/>
          <w:szCs w:val="28"/>
        </w:rPr>
        <w:t>K488X−</w:t>
      </w:r>
      <w:r>
        <w:rPr>
          <w:i/>
          <w:iCs/>
          <w:sz w:val="24"/>
          <w:szCs w:val="28"/>
        </w:rPr>
        <w:t>MEN1</w:t>
      </w:r>
      <w:r>
        <w:rPr>
          <w:sz w:val="24"/>
          <w:szCs w:val="28"/>
        </w:rPr>
        <w:t xml:space="preserve"> in the early stages of expression in HEK−293T cells, but both were downregulated in the late stage of expression (left and middle panels). However, there was no difference in expression between the wild−type and K488X−</w:t>
      </w:r>
      <w:r>
        <w:rPr>
          <w:i/>
          <w:iCs/>
          <w:sz w:val="24"/>
          <w:szCs w:val="28"/>
        </w:rPr>
        <w:t>MEN1</w:t>
      </w:r>
      <w:r>
        <w:rPr>
          <w:sz w:val="24"/>
          <w:szCs w:val="28"/>
        </w:rPr>
        <w:t xml:space="preserve"> cells at different time points (right panels). HA−tagged wild−type and mutant </w:t>
      </w:r>
      <w:r>
        <w:rPr>
          <w:i/>
          <w:iCs/>
          <w:sz w:val="24"/>
          <w:szCs w:val="28"/>
        </w:rPr>
        <w:t xml:space="preserve">MEN1 </w:t>
      </w:r>
      <w:r>
        <w:rPr>
          <w:sz w:val="24"/>
          <w:szCs w:val="28"/>
        </w:rPr>
        <w:t xml:space="preserve">and GFP−tagged </w:t>
      </w:r>
      <w:r>
        <w:rPr>
          <w:i/>
          <w:iCs/>
          <w:sz w:val="24"/>
          <w:szCs w:val="28"/>
        </w:rPr>
        <w:t>Hsp70</w:t>
      </w:r>
      <w:r>
        <w:rPr>
          <w:sz w:val="24"/>
          <w:szCs w:val="28"/>
        </w:rPr>
        <w:t xml:space="preserve"> were simultaneously introduced into HEK−293T cells at different time points. Transfected cells were lysed and analyzed </w:t>
      </w:r>
      <w:r>
        <w:rPr>
          <w:sz w:val="24"/>
          <w:szCs w:val="24"/>
        </w:rPr>
        <w:t>using</w:t>
      </w:r>
      <w:r>
        <w:rPr>
          <w:sz w:val="24"/>
          <w:szCs w:val="28"/>
        </w:rPr>
        <w:t xml:space="preserve"> </w:t>
      </w:r>
      <w:proofErr w:type="spellStart"/>
      <w:r>
        <w:rPr>
          <w:sz w:val="24"/>
          <w:szCs w:val="28"/>
        </w:rPr>
        <w:t>qRT</w:t>
      </w:r>
      <w:proofErr w:type="spellEnd"/>
      <w:r>
        <w:rPr>
          <w:sz w:val="24"/>
          <w:szCs w:val="28"/>
        </w:rPr>
        <w:t xml:space="preserve">‒PCR (n = 4/group).  </w:t>
      </w:r>
      <w:proofErr w:type="gramStart"/>
      <w:r>
        <w:rPr>
          <w:b/>
          <w:bCs/>
          <w:sz w:val="24"/>
          <w:szCs w:val="28"/>
        </w:rPr>
        <w:t xml:space="preserve">e </w:t>
      </w:r>
      <w:r>
        <w:rPr>
          <w:b/>
          <w:bCs/>
          <w:i/>
          <w:iCs/>
          <w:sz w:val="24"/>
          <w:szCs w:val="28"/>
        </w:rPr>
        <w:t xml:space="preserve"> </w:t>
      </w:r>
      <w:r>
        <w:rPr>
          <w:sz w:val="24"/>
          <w:szCs w:val="28"/>
        </w:rPr>
        <w:t>Hsp</w:t>
      </w:r>
      <w:proofErr w:type="gramEnd"/>
      <w:r>
        <w:rPr>
          <w:sz w:val="24"/>
          <w:szCs w:val="28"/>
        </w:rPr>
        <w:t xml:space="preserve">70 induced downregulation of wild−type </w:t>
      </w:r>
      <w:r>
        <w:rPr>
          <w:i/>
          <w:iCs/>
          <w:sz w:val="24"/>
          <w:szCs w:val="28"/>
        </w:rPr>
        <w:t xml:space="preserve">MEN1 </w:t>
      </w:r>
      <w:r>
        <w:rPr>
          <w:sz w:val="24"/>
          <w:szCs w:val="28"/>
        </w:rPr>
        <w:t>but not</w:t>
      </w:r>
      <w:r>
        <w:rPr>
          <w:i/>
          <w:iCs/>
          <w:sz w:val="24"/>
          <w:szCs w:val="28"/>
        </w:rPr>
        <w:t xml:space="preserve"> </w:t>
      </w:r>
      <w:r>
        <w:rPr>
          <w:sz w:val="24"/>
          <w:szCs w:val="28"/>
        </w:rPr>
        <w:t>K488X−</w:t>
      </w:r>
      <w:r>
        <w:rPr>
          <w:i/>
          <w:iCs/>
          <w:sz w:val="24"/>
          <w:szCs w:val="28"/>
        </w:rPr>
        <w:t>MEN1</w:t>
      </w:r>
      <w:r>
        <w:rPr>
          <w:sz w:val="24"/>
          <w:szCs w:val="28"/>
        </w:rPr>
        <w:t xml:space="preserve"> in the early stages of expression in COS-7 cells, but both were induced in the late stage of expression (left and middle panels). However, there was no difference in expression between the wild−type and K488X−</w:t>
      </w:r>
      <w:r>
        <w:rPr>
          <w:i/>
          <w:iCs/>
          <w:sz w:val="24"/>
          <w:szCs w:val="28"/>
        </w:rPr>
        <w:t>MEN1</w:t>
      </w:r>
      <w:r>
        <w:rPr>
          <w:sz w:val="24"/>
          <w:szCs w:val="28"/>
        </w:rPr>
        <w:t xml:space="preserve"> cells at different time points (right panels). Statistical results </w:t>
      </w:r>
      <w:proofErr w:type="gramStart"/>
      <w:r>
        <w:rPr>
          <w:sz w:val="24"/>
          <w:szCs w:val="28"/>
        </w:rPr>
        <w:t>of  are</w:t>
      </w:r>
      <w:proofErr w:type="gramEnd"/>
      <w:r>
        <w:rPr>
          <w:sz w:val="24"/>
          <w:szCs w:val="28"/>
        </w:rPr>
        <w:t xml:space="preserve"> displayed as the mean ±SEM. Significance of supplementary Figure 4c was assessed via one-way ANOVA. Significance of supplementary Figure 4d-4e was assessed via One-Samples T test.  </w:t>
      </w:r>
      <w:proofErr w:type="gramStart"/>
      <w:r>
        <w:rPr>
          <w:b/>
          <w:bCs/>
          <w:sz w:val="24"/>
          <w:szCs w:val="28"/>
        </w:rPr>
        <w:t xml:space="preserve">f </w:t>
      </w:r>
      <w:r>
        <w:rPr>
          <w:sz w:val="24"/>
          <w:szCs w:val="28"/>
        </w:rPr>
        <w:t xml:space="preserve"> Hsp</w:t>
      </w:r>
      <w:proofErr w:type="gramEnd"/>
      <w:r>
        <w:rPr>
          <w:sz w:val="24"/>
          <w:szCs w:val="28"/>
        </w:rPr>
        <w:t xml:space="preserve">70 or CHIP overexpression downregulated K488X−menin, and K488X−menin downregulation was aggravated by co−overexpressing Hsp70 and CHIP. </w:t>
      </w:r>
      <w:r>
        <w:rPr>
          <w:sz w:val="24"/>
          <w:szCs w:val="28"/>
        </w:rPr>
        <w:lastRenderedPageBreak/>
        <w:t xml:space="preserve">HA−tagged wild−type and mutant </w:t>
      </w:r>
      <w:r>
        <w:rPr>
          <w:i/>
          <w:iCs/>
          <w:sz w:val="24"/>
          <w:szCs w:val="28"/>
        </w:rPr>
        <w:t>MEN1</w:t>
      </w:r>
      <w:r>
        <w:rPr>
          <w:iCs/>
          <w:sz w:val="24"/>
          <w:szCs w:val="28"/>
        </w:rPr>
        <w:t>,</w:t>
      </w:r>
      <w:r>
        <w:rPr>
          <w:i/>
          <w:sz w:val="24"/>
        </w:rPr>
        <w:t xml:space="preserve"> </w:t>
      </w:r>
      <w:r>
        <w:rPr>
          <w:sz w:val="24"/>
          <w:szCs w:val="28"/>
        </w:rPr>
        <w:t xml:space="preserve">GFP−tagged </w:t>
      </w:r>
      <w:r>
        <w:rPr>
          <w:i/>
          <w:iCs/>
          <w:sz w:val="24"/>
          <w:szCs w:val="28"/>
        </w:rPr>
        <w:t>Hsp70</w:t>
      </w:r>
      <w:r>
        <w:rPr>
          <w:iCs/>
          <w:sz w:val="24"/>
          <w:szCs w:val="28"/>
        </w:rPr>
        <w:t>,</w:t>
      </w:r>
      <w:r>
        <w:rPr>
          <w:sz w:val="24"/>
          <w:szCs w:val="28"/>
        </w:rPr>
        <w:t xml:space="preserve"> and HA-tagged </w:t>
      </w:r>
      <w:r>
        <w:rPr>
          <w:i/>
          <w:iCs/>
          <w:sz w:val="24"/>
          <w:szCs w:val="28"/>
        </w:rPr>
        <w:t>CHIP</w:t>
      </w:r>
      <w:r>
        <w:rPr>
          <w:sz w:val="24"/>
          <w:szCs w:val="28"/>
        </w:rPr>
        <w:t xml:space="preserve"> were transfected into HEK−293T and COS-7 cells in different combinations. At 48 </w:t>
      </w:r>
      <w:proofErr w:type="spellStart"/>
      <w:r>
        <w:rPr>
          <w:sz w:val="24"/>
          <w:szCs w:val="28"/>
        </w:rPr>
        <w:t>hr</w:t>
      </w:r>
      <w:proofErr w:type="spellEnd"/>
      <w:r>
        <w:rPr>
          <w:sz w:val="24"/>
          <w:szCs w:val="28"/>
        </w:rPr>
        <w:t xml:space="preserve"> after transfection, the cells were lysed and analyzed </w:t>
      </w:r>
      <w:r>
        <w:rPr>
          <w:sz w:val="24"/>
          <w:szCs w:val="24"/>
        </w:rPr>
        <w:t>using</w:t>
      </w:r>
      <w:r>
        <w:rPr>
          <w:sz w:val="24"/>
          <w:szCs w:val="28"/>
        </w:rPr>
        <w:t xml:space="preserve"> western blotting.  </w:t>
      </w:r>
      <w:proofErr w:type="gramStart"/>
      <w:r>
        <w:rPr>
          <w:b/>
          <w:bCs/>
          <w:sz w:val="24"/>
          <w:szCs w:val="28"/>
        </w:rPr>
        <w:t xml:space="preserve">g </w:t>
      </w:r>
      <w:r>
        <w:rPr>
          <w:sz w:val="24"/>
          <w:szCs w:val="28"/>
        </w:rPr>
        <w:t xml:space="preserve"> The</w:t>
      </w:r>
      <w:proofErr w:type="gramEnd"/>
      <w:r>
        <w:rPr>
          <w:sz w:val="24"/>
          <w:szCs w:val="28"/>
        </w:rPr>
        <w:t xml:space="preserve"> downregulation of K488X−menin induced by Hsp70 overexpression was reversed by </w:t>
      </w:r>
      <w:r>
        <w:rPr>
          <w:i/>
          <w:iCs/>
          <w:sz w:val="24"/>
          <w:szCs w:val="28"/>
        </w:rPr>
        <w:t>Hsp70</w:t>
      </w:r>
      <w:r>
        <w:rPr>
          <w:sz w:val="24"/>
          <w:szCs w:val="28"/>
        </w:rPr>
        <w:t xml:space="preserve"> silencing. HA−tagged wild−type and mutant </w:t>
      </w:r>
      <w:r>
        <w:rPr>
          <w:i/>
          <w:iCs/>
          <w:sz w:val="24"/>
          <w:szCs w:val="28"/>
        </w:rPr>
        <w:t>MEN1</w:t>
      </w:r>
      <w:r>
        <w:rPr>
          <w:sz w:val="24"/>
          <w:szCs w:val="28"/>
        </w:rPr>
        <w:t xml:space="preserve">, GFP−tagged </w:t>
      </w:r>
      <w:r>
        <w:rPr>
          <w:i/>
          <w:iCs/>
          <w:sz w:val="24"/>
          <w:szCs w:val="28"/>
        </w:rPr>
        <w:t>Hsp70,</w:t>
      </w:r>
      <w:r>
        <w:rPr>
          <w:sz w:val="24"/>
          <w:szCs w:val="28"/>
        </w:rPr>
        <w:t xml:space="preserve"> and </w:t>
      </w:r>
      <w:r>
        <w:rPr>
          <w:i/>
          <w:iCs/>
          <w:sz w:val="24"/>
          <w:szCs w:val="28"/>
        </w:rPr>
        <w:t>Hsp70−</w:t>
      </w:r>
      <w:r>
        <w:rPr>
          <w:sz w:val="24"/>
          <w:szCs w:val="28"/>
        </w:rPr>
        <w:t xml:space="preserve">specific </w:t>
      </w:r>
      <w:proofErr w:type="spellStart"/>
      <w:r>
        <w:rPr>
          <w:sz w:val="24"/>
          <w:szCs w:val="28"/>
        </w:rPr>
        <w:t>shRNAs</w:t>
      </w:r>
      <w:proofErr w:type="spellEnd"/>
      <w:r>
        <w:rPr>
          <w:sz w:val="24"/>
          <w:szCs w:val="28"/>
        </w:rPr>
        <w:t xml:space="preserve"> were transfected into COS-7 and HEK-293T cells in different combinations. After 48 </w:t>
      </w:r>
      <w:proofErr w:type="spellStart"/>
      <w:r>
        <w:rPr>
          <w:sz w:val="24"/>
          <w:szCs w:val="28"/>
        </w:rPr>
        <w:t>hr</w:t>
      </w:r>
      <w:proofErr w:type="spellEnd"/>
      <w:r>
        <w:rPr>
          <w:sz w:val="24"/>
          <w:szCs w:val="28"/>
        </w:rPr>
        <w:t xml:space="preserve">, the cells were lysed and analyzed </w:t>
      </w:r>
      <w:r>
        <w:rPr>
          <w:sz w:val="24"/>
          <w:szCs w:val="24"/>
        </w:rPr>
        <w:t>using</w:t>
      </w:r>
      <w:r>
        <w:rPr>
          <w:sz w:val="24"/>
          <w:szCs w:val="28"/>
        </w:rPr>
        <w:t xml:space="preserve"> western blotting. </w:t>
      </w:r>
      <w:proofErr w:type="gramStart"/>
      <w:r>
        <w:rPr>
          <w:b/>
          <w:bCs/>
          <w:sz w:val="24"/>
          <w:szCs w:val="28"/>
        </w:rPr>
        <w:t xml:space="preserve">h  </w:t>
      </w:r>
      <w:r>
        <w:rPr>
          <w:sz w:val="24"/>
          <w:szCs w:val="28"/>
        </w:rPr>
        <w:t>The</w:t>
      </w:r>
      <w:proofErr w:type="gramEnd"/>
      <w:r>
        <w:rPr>
          <w:sz w:val="24"/>
          <w:szCs w:val="28"/>
        </w:rPr>
        <w:t xml:space="preserve"> decrease in K488X−menin induced by </w:t>
      </w:r>
      <w:r>
        <w:rPr>
          <w:i/>
          <w:iCs/>
          <w:sz w:val="24"/>
          <w:szCs w:val="28"/>
        </w:rPr>
        <w:t>CHIP</w:t>
      </w:r>
      <w:r>
        <w:rPr>
          <w:sz w:val="24"/>
          <w:szCs w:val="28"/>
        </w:rPr>
        <w:t xml:space="preserve"> overexpression was reversed by </w:t>
      </w:r>
      <w:r>
        <w:rPr>
          <w:i/>
          <w:iCs/>
          <w:sz w:val="24"/>
          <w:szCs w:val="28"/>
        </w:rPr>
        <w:t>CHIP</w:t>
      </w:r>
      <w:r>
        <w:rPr>
          <w:sz w:val="24"/>
          <w:szCs w:val="28"/>
        </w:rPr>
        <w:t xml:space="preserve"> silencing. HA−tagged wild−type and mutant </w:t>
      </w:r>
      <w:r>
        <w:rPr>
          <w:i/>
          <w:iCs/>
          <w:sz w:val="24"/>
          <w:szCs w:val="28"/>
        </w:rPr>
        <w:t>MEN1</w:t>
      </w:r>
      <w:r>
        <w:rPr>
          <w:sz w:val="24"/>
          <w:szCs w:val="28"/>
        </w:rPr>
        <w:t xml:space="preserve"> and HA−tagged </w:t>
      </w:r>
      <w:r>
        <w:rPr>
          <w:i/>
          <w:iCs/>
          <w:sz w:val="24"/>
          <w:szCs w:val="28"/>
        </w:rPr>
        <w:t xml:space="preserve">CHIP </w:t>
      </w:r>
      <w:r>
        <w:rPr>
          <w:sz w:val="24"/>
          <w:szCs w:val="28"/>
        </w:rPr>
        <w:t xml:space="preserve">were transfected into COS-7 and HEK-293T cells, followed by transfection of </w:t>
      </w:r>
      <w:r>
        <w:rPr>
          <w:i/>
          <w:iCs/>
          <w:sz w:val="24"/>
          <w:szCs w:val="28"/>
        </w:rPr>
        <w:t>CHIP-</w:t>
      </w:r>
      <w:r>
        <w:rPr>
          <w:sz w:val="24"/>
          <w:szCs w:val="28"/>
        </w:rPr>
        <w:t xml:space="preserve">specific siRNAs in different combinations. After 48 </w:t>
      </w:r>
      <w:proofErr w:type="spellStart"/>
      <w:r>
        <w:rPr>
          <w:sz w:val="24"/>
          <w:szCs w:val="28"/>
        </w:rPr>
        <w:t>hr</w:t>
      </w:r>
      <w:proofErr w:type="spellEnd"/>
      <w:r>
        <w:rPr>
          <w:sz w:val="24"/>
          <w:szCs w:val="28"/>
        </w:rPr>
        <w:t xml:space="preserve">, the cells were lysed and analyzed </w:t>
      </w:r>
      <w:r>
        <w:rPr>
          <w:sz w:val="24"/>
          <w:szCs w:val="24"/>
        </w:rPr>
        <w:t>using</w:t>
      </w:r>
      <w:r>
        <w:rPr>
          <w:sz w:val="24"/>
          <w:szCs w:val="28"/>
        </w:rPr>
        <w:t xml:space="preserve"> western blotting.  </w:t>
      </w:r>
      <w:proofErr w:type="spellStart"/>
      <w:proofErr w:type="gramStart"/>
      <w:r>
        <w:rPr>
          <w:b/>
          <w:bCs/>
          <w:sz w:val="24"/>
          <w:szCs w:val="28"/>
        </w:rPr>
        <w:t>i</w:t>
      </w:r>
      <w:proofErr w:type="spellEnd"/>
      <w:r>
        <w:rPr>
          <w:b/>
          <w:bCs/>
          <w:sz w:val="24"/>
          <w:szCs w:val="28"/>
        </w:rPr>
        <w:t xml:space="preserve"> </w:t>
      </w:r>
      <w:r>
        <w:rPr>
          <w:sz w:val="24"/>
          <w:szCs w:val="28"/>
        </w:rPr>
        <w:t xml:space="preserve"> The</w:t>
      </w:r>
      <w:proofErr w:type="gramEnd"/>
      <w:r>
        <w:rPr>
          <w:sz w:val="24"/>
          <w:szCs w:val="28"/>
        </w:rPr>
        <w:t xml:space="preserve"> co-induced downregulation of K488X-menin by co-overexpression of CHIP and Hsp70 could not be reversed by </w:t>
      </w:r>
      <w:proofErr w:type="spellStart"/>
      <w:r>
        <w:rPr>
          <w:sz w:val="24"/>
          <w:szCs w:val="28"/>
        </w:rPr>
        <w:t>cosilencing</w:t>
      </w:r>
      <w:proofErr w:type="spellEnd"/>
      <w:r>
        <w:rPr>
          <w:sz w:val="24"/>
          <w:szCs w:val="28"/>
        </w:rPr>
        <w:t xml:space="preserve"> of </w:t>
      </w:r>
      <w:r>
        <w:rPr>
          <w:i/>
          <w:iCs/>
          <w:sz w:val="24"/>
          <w:szCs w:val="28"/>
        </w:rPr>
        <w:t>CHIP</w:t>
      </w:r>
      <w:r>
        <w:rPr>
          <w:sz w:val="24"/>
          <w:szCs w:val="28"/>
        </w:rPr>
        <w:t xml:space="preserve"> and </w:t>
      </w:r>
      <w:r>
        <w:rPr>
          <w:i/>
          <w:iCs/>
          <w:sz w:val="24"/>
          <w:szCs w:val="28"/>
        </w:rPr>
        <w:t>Hsp70</w:t>
      </w:r>
      <w:r>
        <w:rPr>
          <w:sz w:val="24"/>
          <w:szCs w:val="28"/>
        </w:rPr>
        <w:t xml:space="preserve">.  </w:t>
      </w:r>
    </w:p>
    <w:p w14:paraId="07C94A1A" w14:textId="77777777" w:rsidR="00800B96" w:rsidRDefault="00800B96">
      <w:pPr>
        <w:spacing w:line="480" w:lineRule="auto"/>
        <w:rPr>
          <w:b/>
          <w:bCs/>
          <w:sz w:val="24"/>
          <w:szCs w:val="28"/>
        </w:rPr>
      </w:pPr>
    </w:p>
    <w:p w14:paraId="502C881C" w14:textId="77777777" w:rsidR="00800B96" w:rsidRDefault="00000000">
      <w:pPr>
        <w:spacing w:line="480" w:lineRule="auto"/>
      </w:pPr>
      <w:r>
        <w:rPr>
          <w:b/>
          <w:noProof/>
          <w:sz w:val="24"/>
          <w:szCs w:val="28"/>
        </w:rPr>
        <w:lastRenderedPageBreak/>
        <w:drawing>
          <wp:inline distT="0" distB="0" distL="0" distR="0" wp14:anchorId="7839A2C4" wp14:editId="56262732">
            <wp:extent cx="5276846" cy="4333871"/>
            <wp:effectExtent l="0" t="0" r="4" b="0"/>
            <wp:docPr id="201129618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5276846" cy="4333871"/>
                    </a:xfrm>
                    <a:prstGeom prst="rect">
                      <a:avLst/>
                    </a:prstGeom>
                    <a:noFill/>
                    <a:ln>
                      <a:noFill/>
                      <a:prstDash/>
                    </a:ln>
                  </pic:spPr>
                </pic:pic>
              </a:graphicData>
            </a:graphic>
          </wp:inline>
        </w:drawing>
      </w:r>
    </w:p>
    <w:p w14:paraId="576E6AA5" w14:textId="77777777" w:rsidR="00800B96" w:rsidRDefault="00000000">
      <w:pPr>
        <w:spacing w:line="480" w:lineRule="auto"/>
      </w:pPr>
      <w:r>
        <w:rPr>
          <w:b/>
          <w:bCs/>
          <w:sz w:val="24"/>
          <w:szCs w:val="28"/>
        </w:rPr>
        <w:t>Supplementary Fig.</w:t>
      </w:r>
      <w:proofErr w:type="gramStart"/>
      <w:r>
        <w:rPr>
          <w:b/>
          <w:bCs/>
          <w:sz w:val="24"/>
          <w:szCs w:val="28"/>
        </w:rPr>
        <w:t>5</w:t>
      </w:r>
      <w:r>
        <w:rPr>
          <w:b/>
          <w:bCs/>
          <w:sz w:val="24"/>
          <w:szCs w:val="24"/>
        </w:rPr>
        <w:t xml:space="preserve">  </w:t>
      </w:r>
      <w:r>
        <w:rPr>
          <w:b/>
          <w:bCs/>
          <w:sz w:val="24"/>
          <w:szCs w:val="28"/>
        </w:rPr>
        <w:t>LOH</w:t>
      </w:r>
      <w:proofErr w:type="gramEnd"/>
      <w:r>
        <w:rPr>
          <w:b/>
          <w:bCs/>
          <w:sz w:val="24"/>
          <w:szCs w:val="28"/>
        </w:rPr>
        <w:t xml:space="preserve"> of wild type </w:t>
      </w:r>
      <w:r>
        <w:rPr>
          <w:b/>
          <w:bCs/>
          <w:i/>
          <w:iCs/>
          <w:sz w:val="24"/>
          <w:szCs w:val="28"/>
        </w:rPr>
        <w:t>MEN1</w:t>
      </w:r>
      <w:r>
        <w:rPr>
          <w:b/>
          <w:bCs/>
          <w:sz w:val="24"/>
          <w:szCs w:val="28"/>
        </w:rPr>
        <w:t xml:space="preserve"> allele is not detected in the MEN1 patients in the family. </w:t>
      </w:r>
    </w:p>
    <w:p w14:paraId="41FE18ED" w14:textId="77777777" w:rsidR="00800B96" w:rsidRDefault="00000000">
      <w:pPr>
        <w:spacing w:line="480" w:lineRule="auto"/>
      </w:pPr>
      <w:proofErr w:type="spellStart"/>
      <w:proofErr w:type="gramStart"/>
      <w:r>
        <w:rPr>
          <w:b/>
          <w:bCs/>
          <w:sz w:val="24"/>
          <w:szCs w:val="28"/>
        </w:rPr>
        <w:t>a</w:t>
      </w:r>
      <w:proofErr w:type="spellEnd"/>
      <w:r>
        <w:rPr>
          <w:b/>
          <w:bCs/>
          <w:sz w:val="24"/>
          <w:szCs w:val="28"/>
        </w:rPr>
        <w:t xml:space="preserve">  </w:t>
      </w:r>
      <w:r>
        <w:rPr>
          <w:sz w:val="24"/>
          <w:szCs w:val="28"/>
        </w:rPr>
        <w:t>The</w:t>
      </w:r>
      <w:proofErr w:type="gramEnd"/>
      <w:r>
        <w:rPr>
          <w:b/>
          <w:bCs/>
          <w:sz w:val="24"/>
          <w:szCs w:val="28"/>
        </w:rPr>
        <w:t xml:space="preserve"> </w:t>
      </w:r>
      <w:r>
        <w:rPr>
          <w:sz w:val="24"/>
          <w:szCs w:val="28"/>
        </w:rPr>
        <w:t xml:space="preserve">c.1462A&gt;T mutation on exon 10 was also detected in the proband’s gastric mucosa’ DNA from the proband. The forward and reverse sequencing chromatogram demonstrate the c.1462A&gt;T mutation. The arrow indicates the location of the </w:t>
      </w:r>
      <w:r>
        <w:rPr>
          <w:i/>
          <w:iCs/>
          <w:sz w:val="24"/>
          <w:szCs w:val="28"/>
        </w:rPr>
        <w:t>MEN1</w:t>
      </w:r>
      <w:r>
        <w:rPr>
          <w:sz w:val="24"/>
          <w:szCs w:val="28"/>
        </w:rPr>
        <w:t xml:space="preserve"> gene variant.  </w:t>
      </w:r>
      <w:r>
        <w:rPr>
          <w:b/>
          <w:bCs/>
          <w:sz w:val="24"/>
          <w:szCs w:val="28"/>
        </w:rPr>
        <w:t>b</w:t>
      </w:r>
      <w:r>
        <w:rPr>
          <w:sz w:val="24"/>
          <w:szCs w:val="28"/>
        </w:rPr>
        <w:t xml:space="preserve"> The schematic view to demonstrate </w:t>
      </w:r>
      <w:proofErr w:type="gramStart"/>
      <w:r>
        <w:rPr>
          <w:sz w:val="24"/>
          <w:szCs w:val="28"/>
        </w:rPr>
        <w:t>that  the</w:t>
      </w:r>
      <w:proofErr w:type="gramEnd"/>
      <w:r>
        <w:rPr>
          <w:sz w:val="24"/>
          <w:szCs w:val="28"/>
        </w:rPr>
        <w:t xml:space="preserve">  amplified fragments  in the intron 9 and exon 10 of MEN1 using the primers containing the c.1462A mutation site or at the 3-terminal of  the c.1462A mutation site may  reveal the LOH of wild type MEN1 allele caused by the c.1462A&gt;T mutation.  </w:t>
      </w:r>
      <w:proofErr w:type="gramStart"/>
      <w:r>
        <w:rPr>
          <w:b/>
          <w:bCs/>
          <w:sz w:val="24"/>
          <w:szCs w:val="28"/>
        </w:rPr>
        <w:t xml:space="preserve">c  </w:t>
      </w:r>
      <w:r>
        <w:rPr>
          <w:sz w:val="24"/>
          <w:szCs w:val="28"/>
        </w:rPr>
        <w:t>Loss</w:t>
      </w:r>
      <w:proofErr w:type="gramEnd"/>
      <w:r>
        <w:rPr>
          <w:sz w:val="24"/>
          <w:szCs w:val="28"/>
        </w:rPr>
        <w:t xml:space="preserve"> of the wild-type allele was not consistently observed in the amplified fragments of intron9+exon10  of MEN1 using  the blood and/or the gastric mucosa’s DNA from the proband and the III-7 patient as template and the primers containing the c.1462A mutation site. </w:t>
      </w:r>
      <w:proofErr w:type="gramStart"/>
      <w:r>
        <w:rPr>
          <w:b/>
          <w:bCs/>
          <w:sz w:val="24"/>
          <w:szCs w:val="28"/>
        </w:rPr>
        <w:t xml:space="preserve">d  </w:t>
      </w:r>
      <w:r>
        <w:rPr>
          <w:sz w:val="24"/>
          <w:szCs w:val="28"/>
        </w:rPr>
        <w:t>Loss</w:t>
      </w:r>
      <w:proofErr w:type="gramEnd"/>
      <w:r>
        <w:rPr>
          <w:sz w:val="24"/>
          <w:szCs w:val="28"/>
        </w:rPr>
        <w:t xml:space="preserve"> of the wild-type allele was not </w:t>
      </w:r>
      <w:r>
        <w:rPr>
          <w:sz w:val="24"/>
          <w:szCs w:val="28"/>
        </w:rPr>
        <w:lastRenderedPageBreak/>
        <w:t>consistently observed in the amplified fragments of intron9+exon10  of MEN1 using  the blood and/or the gastric mucosa’s DNA from the proband and the III-7 patient as template and the primers containing at the 3-terminal of  the c.1462A mutation site.</w:t>
      </w:r>
    </w:p>
    <w:p w14:paraId="4C0F25E5" w14:textId="77777777" w:rsidR="00800B96" w:rsidRDefault="00800B96">
      <w:pPr>
        <w:spacing w:line="480" w:lineRule="auto"/>
        <w:rPr>
          <w:sz w:val="24"/>
          <w:szCs w:val="28"/>
        </w:rPr>
      </w:pPr>
    </w:p>
    <w:p w14:paraId="7C2DAE4F" w14:textId="77777777" w:rsidR="00800B96" w:rsidRDefault="00000000">
      <w:pPr>
        <w:spacing w:line="480" w:lineRule="auto"/>
      </w:pPr>
      <w:r>
        <w:rPr>
          <w:noProof/>
          <w:sz w:val="24"/>
          <w:szCs w:val="28"/>
        </w:rPr>
        <w:drawing>
          <wp:inline distT="0" distB="0" distL="0" distR="0" wp14:anchorId="10BA9BE2" wp14:editId="61FAE419">
            <wp:extent cx="5276846" cy="4514850"/>
            <wp:effectExtent l="0" t="0" r="4" b="0"/>
            <wp:docPr id="933216069"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5276846" cy="4514850"/>
                    </a:xfrm>
                    <a:prstGeom prst="rect">
                      <a:avLst/>
                    </a:prstGeom>
                    <a:noFill/>
                    <a:ln>
                      <a:noFill/>
                      <a:prstDash/>
                    </a:ln>
                  </pic:spPr>
                </pic:pic>
              </a:graphicData>
            </a:graphic>
          </wp:inline>
        </w:drawing>
      </w:r>
    </w:p>
    <w:p w14:paraId="7F851105" w14:textId="77777777" w:rsidR="00800B96" w:rsidRDefault="00000000">
      <w:pPr>
        <w:spacing w:line="480" w:lineRule="auto"/>
      </w:pPr>
      <w:r>
        <w:rPr>
          <w:b/>
          <w:bCs/>
          <w:sz w:val="24"/>
          <w:szCs w:val="28"/>
        </w:rPr>
        <w:t>Supplementary Fig.</w:t>
      </w:r>
      <w:proofErr w:type="gramStart"/>
      <w:r>
        <w:rPr>
          <w:b/>
          <w:bCs/>
          <w:sz w:val="24"/>
          <w:szCs w:val="28"/>
        </w:rPr>
        <w:t>6</w:t>
      </w:r>
      <w:r>
        <w:rPr>
          <w:b/>
          <w:bCs/>
          <w:sz w:val="24"/>
          <w:szCs w:val="24"/>
        </w:rPr>
        <w:t xml:space="preserve">  </w:t>
      </w:r>
      <w:r>
        <w:rPr>
          <w:b/>
          <w:bCs/>
          <w:sz w:val="24"/>
          <w:szCs w:val="28"/>
        </w:rPr>
        <w:t>The</w:t>
      </w:r>
      <w:proofErr w:type="gramEnd"/>
      <w:r>
        <w:rPr>
          <w:b/>
          <w:bCs/>
          <w:sz w:val="24"/>
          <w:szCs w:val="28"/>
        </w:rPr>
        <w:t xml:space="preserve"> aggregation speed of K488X-menin exceeds the speed recognized by Hsp70 for K488X-menin.</w:t>
      </w:r>
    </w:p>
    <w:p w14:paraId="2EEAE4A1" w14:textId="77777777" w:rsidR="00800B96" w:rsidRDefault="00000000">
      <w:pPr>
        <w:spacing w:line="480" w:lineRule="auto"/>
      </w:pPr>
      <w:proofErr w:type="gramStart"/>
      <w:r>
        <w:rPr>
          <w:b/>
          <w:bCs/>
          <w:sz w:val="24"/>
          <w:szCs w:val="28"/>
        </w:rPr>
        <w:t xml:space="preserve">a </w:t>
      </w:r>
      <w:r>
        <w:rPr>
          <w:sz w:val="24"/>
          <w:szCs w:val="28"/>
        </w:rPr>
        <w:t xml:space="preserve"> Aggregated</w:t>
      </w:r>
      <w:proofErr w:type="gramEnd"/>
      <w:r>
        <w:rPr>
          <w:sz w:val="24"/>
          <w:szCs w:val="28"/>
        </w:rPr>
        <w:t xml:space="preserve"> K488X-menin was slightly recognized by Hsp70 in COS-7 cells at early expression stage of K488X-menin and Hsp70. K488X-MEN1 or/and GFP-Hsp</w:t>
      </w:r>
      <w:proofErr w:type="gramStart"/>
      <w:r>
        <w:rPr>
          <w:sz w:val="24"/>
          <w:szCs w:val="28"/>
        </w:rPr>
        <w:t>70  were</w:t>
      </w:r>
      <w:proofErr w:type="gramEnd"/>
      <w:r>
        <w:rPr>
          <w:sz w:val="24"/>
          <w:szCs w:val="28"/>
        </w:rPr>
        <w:t xml:space="preserve"> transfected into COS-7 cells and at 12hr after the transfection of K488X-MEN1 or/and GFP-Hsp70</w:t>
      </w:r>
      <w:r>
        <w:rPr>
          <w:sz w:val="24"/>
          <w:szCs w:val="28"/>
        </w:rPr>
        <w:t>，</w:t>
      </w:r>
      <w:r>
        <w:rPr>
          <w:sz w:val="24"/>
          <w:szCs w:val="28"/>
        </w:rPr>
        <w:t xml:space="preserve">cells were subjected to FPC detection. The percentage of aggregated K488X-menin positive cells in each </w:t>
      </w:r>
      <w:r>
        <w:rPr>
          <w:sz w:val="24"/>
          <w:szCs w:val="28"/>
        </w:rPr>
        <w:lastRenderedPageBreak/>
        <w:t xml:space="preserve">view field was calculated and statistically analyzed.  </w:t>
      </w:r>
      <w:proofErr w:type="gramStart"/>
      <w:r>
        <w:rPr>
          <w:b/>
          <w:bCs/>
          <w:sz w:val="24"/>
          <w:szCs w:val="28"/>
        </w:rPr>
        <w:t>b</w:t>
      </w:r>
      <w:r>
        <w:rPr>
          <w:sz w:val="24"/>
          <w:szCs w:val="28"/>
        </w:rPr>
        <w:t xml:space="preserve">  Aggregated</w:t>
      </w:r>
      <w:proofErr w:type="gramEnd"/>
      <w:r>
        <w:rPr>
          <w:sz w:val="24"/>
          <w:szCs w:val="28"/>
        </w:rPr>
        <w:t xml:space="preserve"> K488X-menin was slightly recognized by Hsp70 in COS-7 cells at the metaphase of K488X-menin and Hsp70. K488X-MEN1 or/and GFP-Hsp</w:t>
      </w:r>
      <w:proofErr w:type="gramStart"/>
      <w:r>
        <w:rPr>
          <w:sz w:val="24"/>
          <w:szCs w:val="28"/>
        </w:rPr>
        <w:t>70  were</w:t>
      </w:r>
      <w:proofErr w:type="gramEnd"/>
      <w:r>
        <w:rPr>
          <w:sz w:val="24"/>
          <w:szCs w:val="28"/>
        </w:rPr>
        <w:t xml:space="preserve"> transfected into COS-7 cells and at 24hr after the transfection of K488X-MEN1 or/and GFP-Hsp70</w:t>
      </w:r>
      <w:r>
        <w:rPr>
          <w:sz w:val="24"/>
          <w:szCs w:val="28"/>
        </w:rPr>
        <w:t>，</w:t>
      </w:r>
      <w:r>
        <w:rPr>
          <w:sz w:val="24"/>
          <w:szCs w:val="28"/>
        </w:rPr>
        <w:t xml:space="preserve">cells were subjected to FPC detection.  </w:t>
      </w:r>
      <w:proofErr w:type="gramStart"/>
      <w:r>
        <w:rPr>
          <w:b/>
          <w:bCs/>
          <w:sz w:val="24"/>
          <w:szCs w:val="28"/>
        </w:rPr>
        <w:t>c</w:t>
      </w:r>
      <w:r>
        <w:rPr>
          <w:sz w:val="24"/>
          <w:szCs w:val="28"/>
        </w:rPr>
        <w:t xml:space="preserve">  Aggregated</w:t>
      </w:r>
      <w:proofErr w:type="gramEnd"/>
      <w:r>
        <w:rPr>
          <w:sz w:val="24"/>
          <w:szCs w:val="28"/>
        </w:rPr>
        <w:t xml:space="preserve"> K488X-menin was NOT recognized by Hsp70 in COS-7 cells at the late expression stage of K488X-menin and Hsp70. K488X-MEN1 or/and GFP-Hsp</w:t>
      </w:r>
      <w:proofErr w:type="gramStart"/>
      <w:r>
        <w:rPr>
          <w:sz w:val="24"/>
          <w:szCs w:val="28"/>
        </w:rPr>
        <w:t>70  were</w:t>
      </w:r>
      <w:proofErr w:type="gramEnd"/>
      <w:r>
        <w:rPr>
          <w:sz w:val="24"/>
          <w:szCs w:val="28"/>
        </w:rPr>
        <w:t xml:space="preserve"> transfected into COS-7 cells and at 48hr after the transfection of K488X-MEN1 or/and GFP-Hsp70</w:t>
      </w:r>
      <w:r>
        <w:rPr>
          <w:sz w:val="24"/>
          <w:szCs w:val="28"/>
        </w:rPr>
        <w:t>，</w:t>
      </w:r>
      <w:r>
        <w:rPr>
          <w:sz w:val="24"/>
          <w:szCs w:val="28"/>
        </w:rPr>
        <w:t xml:space="preserve">cells were subjected to FPC detection. Statistical results in supplementary Figure 6 are displayed as the mean ±SEM. Significance was assessed via One-Samples T test. </w:t>
      </w:r>
    </w:p>
    <w:p w14:paraId="0451B90D" w14:textId="77777777" w:rsidR="00800B96" w:rsidRDefault="00800B96">
      <w:pPr>
        <w:spacing w:line="480" w:lineRule="auto"/>
        <w:rPr>
          <w:sz w:val="24"/>
          <w:szCs w:val="28"/>
        </w:rPr>
      </w:pPr>
    </w:p>
    <w:p w14:paraId="4E34E2EA" w14:textId="77777777" w:rsidR="00800B96" w:rsidRDefault="00800B96">
      <w:pPr>
        <w:spacing w:line="480" w:lineRule="auto"/>
        <w:rPr>
          <w:sz w:val="24"/>
          <w:szCs w:val="28"/>
        </w:rPr>
      </w:pPr>
    </w:p>
    <w:p w14:paraId="5DF217E1" w14:textId="77777777" w:rsidR="00800B96" w:rsidRDefault="00800B96">
      <w:pPr>
        <w:spacing w:line="480" w:lineRule="auto"/>
        <w:rPr>
          <w:sz w:val="24"/>
          <w:szCs w:val="28"/>
        </w:rPr>
      </w:pPr>
    </w:p>
    <w:p w14:paraId="2B8AE9A8" w14:textId="77777777" w:rsidR="00800B96" w:rsidRDefault="00000000">
      <w:pPr>
        <w:spacing w:line="480" w:lineRule="auto"/>
      </w:pPr>
      <w:r>
        <w:rPr>
          <w:noProof/>
          <w:sz w:val="24"/>
          <w:szCs w:val="28"/>
        </w:rPr>
        <w:lastRenderedPageBreak/>
        <w:drawing>
          <wp:inline distT="0" distB="0" distL="0" distR="0" wp14:anchorId="710D795B" wp14:editId="2CF595F1">
            <wp:extent cx="5276846" cy="5229225"/>
            <wp:effectExtent l="0" t="0" r="4" b="9525"/>
            <wp:docPr id="318256296"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5276846" cy="5229225"/>
                    </a:xfrm>
                    <a:prstGeom prst="rect">
                      <a:avLst/>
                    </a:prstGeom>
                    <a:noFill/>
                    <a:ln>
                      <a:noFill/>
                      <a:prstDash/>
                    </a:ln>
                  </pic:spPr>
                </pic:pic>
              </a:graphicData>
            </a:graphic>
          </wp:inline>
        </w:drawing>
      </w:r>
    </w:p>
    <w:p w14:paraId="0B32A07C" w14:textId="77777777" w:rsidR="00800B96" w:rsidRDefault="00000000">
      <w:pPr>
        <w:spacing w:line="480" w:lineRule="auto"/>
      </w:pPr>
      <w:r>
        <w:rPr>
          <w:b/>
          <w:bCs/>
          <w:sz w:val="24"/>
          <w:szCs w:val="28"/>
        </w:rPr>
        <w:t>Supplementary Fig.</w:t>
      </w:r>
      <w:proofErr w:type="gramStart"/>
      <w:r>
        <w:rPr>
          <w:b/>
          <w:bCs/>
          <w:sz w:val="24"/>
          <w:szCs w:val="28"/>
        </w:rPr>
        <w:t>7</w:t>
      </w:r>
      <w:r>
        <w:rPr>
          <w:b/>
          <w:bCs/>
          <w:sz w:val="24"/>
          <w:szCs w:val="24"/>
        </w:rPr>
        <w:t xml:space="preserve"> </w:t>
      </w:r>
      <w:r>
        <w:rPr>
          <w:b/>
          <w:bCs/>
          <w:sz w:val="24"/>
          <w:szCs w:val="28"/>
        </w:rPr>
        <w:t xml:space="preserve"> Hsp</w:t>
      </w:r>
      <w:proofErr w:type="gramEnd"/>
      <w:r>
        <w:rPr>
          <w:b/>
          <w:bCs/>
          <w:sz w:val="24"/>
          <w:szCs w:val="28"/>
        </w:rPr>
        <w:t xml:space="preserve">70 activator treatment disaggregates the aggregated K488X-menin </w:t>
      </w:r>
      <w:r>
        <w:rPr>
          <w:b/>
          <w:bCs/>
          <w:i/>
          <w:iCs/>
          <w:sz w:val="24"/>
          <w:szCs w:val="28"/>
        </w:rPr>
        <w:t>in vitro</w:t>
      </w:r>
      <w:r>
        <w:rPr>
          <w:b/>
          <w:bCs/>
          <w:sz w:val="24"/>
          <w:szCs w:val="28"/>
        </w:rPr>
        <w:t xml:space="preserve">. </w:t>
      </w:r>
    </w:p>
    <w:p w14:paraId="30436F58" w14:textId="77777777" w:rsidR="00800B96" w:rsidRDefault="00000000">
      <w:pPr>
        <w:spacing w:line="480" w:lineRule="auto"/>
      </w:pPr>
      <w:proofErr w:type="spellStart"/>
      <w:r>
        <w:rPr>
          <w:b/>
          <w:bCs/>
          <w:sz w:val="24"/>
          <w:szCs w:val="28"/>
        </w:rPr>
        <w:t>a</w:t>
      </w:r>
      <w:proofErr w:type="spellEnd"/>
      <w:r>
        <w:rPr>
          <w:b/>
          <w:bCs/>
          <w:sz w:val="24"/>
          <w:szCs w:val="28"/>
        </w:rPr>
        <w:t xml:space="preserve"> </w:t>
      </w:r>
      <w:proofErr w:type="gramStart"/>
      <w:r>
        <w:rPr>
          <w:bCs/>
          <w:sz w:val="24"/>
          <w:szCs w:val="28"/>
        </w:rPr>
        <w:t>The</w:t>
      </w:r>
      <w:proofErr w:type="gramEnd"/>
      <w:r>
        <w:rPr>
          <w:b/>
          <w:bCs/>
          <w:sz w:val="24"/>
          <w:szCs w:val="28"/>
        </w:rPr>
        <w:t xml:space="preserve"> </w:t>
      </w:r>
      <w:r>
        <w:rPr>
          <w:sz w:val="24"/>
          <w:szCs w:val="28"/>
        </w:rPr>
        <w:t>disaggregation of K488X</w:t>
      </w:r>
      <w:r>
        <w:rPr>
          <w:rFonts w:ascii="Microsoft YaHei" w:eastAsia="Microsoft YaHei" w:hAnsi="Microsoft YaHei" w:cs="Microsoft YaHei"/>
          <w:sz w:val="24"/>
          <w:szCs w:val="28"/>
        </w:rPr>
        <w:t>−</w:t>
      </w:r>
      <w:r>
        <w:rPr>
          <w:sz w:val="24"/>
          <w:szCs w:val="28"/>
        </w:rPr>
        <w:t>menin was induced by Hsp70 activator treatment. Halo</w:t>
      </w:r>
      <w:r>
        <w:rPr>
          <w:rFonts w:ascii="Microsoft YaHei" w:eastAsia="Microsoft YaHei" w:hAnsi="Microsoft YaHei" w:cs="Microsoft YaHei"/>
          <w:sz w:val="24"/>
          <w:szCs w:val="28"/>
        </w:rPr>
        <w:t>−</w:t>
      </w:r>
      <w:r>
        <w:rPr>
          <w:sz w:val="24"/>
          <w:szCs w:val="28"/>
        </w:rPr>
        <w:t>tagged K488X</w:t>
      </w:r>
      <w:r>
        <w:rPr>
          <w:rFonts w:ascii="Microsoft YaHei" w:eastAsia="Microsoft YaHei" w:hAnsi="Microsoft YaHei" w:cs="Microsoft YaHei"/>
          <w:sz w:val="24"/>
          <w:szCs w:val="28"/>
        </w:rPr>
        <w:t>−</w:t>
      </w:r>
      <w:r>
        <w:rPr>
          <w:i/>
          <w:iCs/>
          <w:sz w:val="24"/>
          <w:szCs w:val="28"/>
        </w:rPr>
        <w:t xml:space="preserve">MEN1 </w:t>
      </w:r>
      <w:r>
        <w:rPr>
          <w:sz w:val="24"/>
          <w:szCs w:val="28"/>
        </w:rPr>
        <w:t>was transfected into COS</w:t>
      </w:r>
      <w:r>
        <w:rPr>
          <w:rFonts w:ascii="Microsoft YaHei" w:eastAsia="Microsoft YaHei" w:hAnsi="Microsoft YaHei" w:cs="Microsoft YaHei"/>
          <w:sz w:val="24"/>
          <w:szCs w:val="28"/>
        </w:rPr>
        <w:t>−</w:t>
      </w:r>
      <w:r>
        <w:rPr>
          <w:sz w:val="24"/>
          <w:szCs w:val="28"/>
        </w:rPr>
        <w:t xml:space="preserve">7 cells, and at 24 </w:t>
      </w:r>
      <w:proofErr w:type="spellStart"/>
      <w:r>
        <w:rPr>
          <w:sz w:val="24"/>
          <w:szCs w:val="28"/>
        </w:rPr>
        <w:t>hr</w:t>
      </w:r>
      <w:proofErr w:type="spellEnd"/>
      <w:r>
        <w:rPr>
          <w:sz w:val="24"/>
          <w:szCs w:val="28"/>
        </w:rPr>
        <w:t xml:space="preserve"> after transfection, ML346 (an Hsp70 activator, final concentration: 10 </w:t>
      </w:r>
      <w:proofErr w:type="spellStart"/>
      <w:r>
        <w:rPr>
          <w:sz w:val="24"/>
          <w:szCs w:val="28"/>
        </w:rPr>
        <w:t>μM</w:t>
      </w:r>
      <w:proofErr w:type="spellEnd"/>
      <w:r>
        <w:rPr>
          <w:sz w:val="24"/>
          <w:szCs w:val="28"/>
        </w:rPr>
        <w:t>) was added to the COS</w:t>
      </w:r>
      <w:r>
        <w:rPr>
          <w:rFonts w:ascii="Microsoft YaHei" w:eastAsia="Microsoft YaHei" w:hAnsi="Microsoft YaHei" w:cs="Microsoft YaHei"/>
          <w:sz w:val="24"/>
          <w:szCs w:val="28"/>
        </w:rPr>
        <w:t>−</w:t>
      </w:r>
      <w:r>
        <w:rPr>
          <w:sz w:val="24"/>
          <w:szCs w:val="28"/>
        </w:rPr>
        <w:t>7</w:t>
      </w:r>
      <w:r>
        <w:rPr>
          <w:rFonts w:ascii="Microsoft YaHei" w:eastAsia="Microsoft YaHei" w:hAnsi="Microsoft YaHei" w:cs="Microsoft YaHei"/>
          <w:sz w:val="24"/>
          <w:szCs w:val="28"/>
        </w:rPr>
        <w:t>−</w:t>
      </w:r>
      <w:r>
        <w:rPr>
          <w:sz w:val="24"/>
          <w:szCs w:val="28"/>
        </w:rPr>
        <w:t xml:space="preserve">transfected cells for 24 </w:t>
      </w:r>
      <w:proofErr w:type="spellStart"/>
      <w:r>
        <w:rPr>
          <w:sz w:val="24"/>
          <w:szCs w:val="28"/>
        </w:rPr>
        <w:t>hr</w:t>
      </w:r>
      <w:proofErr w:type="spellEnd"/>
      <w:r>
        <w:rPr>
          <w:sz w:val="24"/>
          <w:szCs w:val="28"/>
        </w:rPr>
        <w:t xml:space="preserve"> of treatment, after which the cells were subjected to FPS detection. The total cell number and </w:t>
      </w:r>
      <w:r>
        <w:rPr>
          <w:sz w:val="24"/>
          <w:szCs w:val="28"/>
        </w:rPr>
        <w:lastRenderedPageBreak/>
        <w:t>number of cells containing aggregated K488X</w:t>
      </w:r>
      <w:r>
        <w:rPr>
          <w:rFonts w:ascii="Microsoft YaHei" w:eastAsia="Microsoft YaHei" w:hAnsi="Microsoft YaHei" w:cs="Microsoft YaHei"/>
          <w:sz w:val="24"/>
          <w:szCs w:val="28"/>
        </w:rPr>
        <w:t>−</w:t>
      </w:r>
      <w:r>
        <w:rPr>
          <w:sz w:val="24"/>
          <w:szCs w:val="28"/>
        </w:rPr>
        <w:t xml:space="preserve">menin in 15 and 16 fields of view in the K488X and K488X+Hsp70-activator groups were calculated, respectively.  </w:t>
      </w:r>
      <w:r>
        <w:rPr>
          <w:b/>
          <w:bCs/>
          <w:sz w:val="24"/>
          <w:szCs w:val="28"/>
        </w:rPr>
        <w:t xml:space="preserve">b </w:t>
      </w:r>
      <w:proofErr w:type="gramStart"/>
      <w:r>
        <w:rPr>
          <w:sz w:val="24"/>
          <w:szCs w:val="28"/>
        </w:rPr>
        <w:t>The</w:t>
      </w:r>
      <w:proofErr w:type="gramEnd"/>
      <w:r>
        <w:rPr>
          <w:sz w:val="24"/>
          <w:szCs w:val="28"/>
        </w:rPr>
        <w:t xml:space="preserve"> percentage of aggregated K488X-menin cells was statistically analyzed.</w:t>
      </w:r>
      <w:r>
        <w:rPr>
          <w:b/>
          <w:bCs/>
          <w:sz w:val="24"/>
          <w:szCs w:val="28"/>
        </w:rPr>
        <w:t xml:space="preserve"> </w:t>
      </w:r>
      <w:r>
        <w:rPr>
          <w:sz w:val="24"/>
          <w:szCs w:val="28"/>
        </w:rPr>
        <w:t xml:space="preserve">Statistical results in supplemental Figure 7b are displayed as the </w:t>
      </w:r>
      <w:proofErr w:type="spellStart"/>
      <w:r>
        <w:rPr>
          <w:sz w:val="24"/>
          <w:szCs w:val="28"/>
        </w:rPr>
        <w:t>mean±SEM</w:t>
      </w:r>
      <w:proofErr w:type="spellEnd"/>
      <w:r>
        <w:rPr>
          <w:sz w:val="24"/>
          <w:szCs w:val="28"/>
        </w:rPr>
        <w:t xml:space="preserve">. Significance was assessed via One-Samples T test. </w:t>
      </w:r>
      <w:r>
        <w:rPr>
          <w:b/>
          <w:bCs/>
          <w:sz w:val="24"/>
          <w:szCs w:val="28"/>
        </w:rPr>
        <w:t xml:space="preserve">c </w:t>
      </w:r>
      <w:proofErr w:type="gramStart"/>
      <w:r>
        <w:rPr>
          <w:bCs/>
          <w:sz w:val="24"/>
          <w:szCs w:val="28"/>
        </w:rPr>
        <w:t>The</w:t>
      </w:r>
      <w:proofErr w:type="gramEnd"/>
      <w:r>
        <w:rPr>
          <w:b/>
          <w:bCs/>
          <w:sz w:val="24"/>
          <w:szCs w:val="28"/>
        </w:rPr>
        <w:t xml:space="preserve"> </w:t>
      </w:r>
      <w:r>
        <w:rPr>
          <w:sz w:val="24"/>
          <w:szCs w:val="28"/>
        </w:rPr>
        <w:t>upregulation of K488X-menin was induced by ML346 treatment. HA</w:t>
      </w:r>
      <w:r>
        <w:rPr>
          <w:rFonts w:ascii="Microsoft YaHei" w:eastAsia="Microsoft YaHei" w:hAnsi="Microsoft YaHei" w:cs="Microsoft YaHei"/>
          <w:sz w:val="24"/>
          <w:szCs w:val="28"/>
        </w:rPr>
        <w:t>−</w:t>
      </w:r>
      <w:r>
        <w:rPr>
          <w:sz w:val="24"/>
          <w:szCs w:val="28"/>
        </w:rPr>
        <w:t>tagged K488X</w:t>
      </w:r>
      <w:r>
        <w:rPr>
          <w:rFonts w:ascii="Microsoft YaHei" w:eastAsia="Microsoft YaHei" w:hAnsi="Microsoft YaHei" w:cs="Microsoft YaHei"/>
          <w:sz w:val="24"/>
          <w:szCs w:val="28"/>
        </w:rPr>
        <w:t>−</w:t>
      </w:r>
      <w:r>
        <w:rPr>
          <w:i/>
          <w:iCs/>
          <w:sz w:val="24"/>
          <w:szCs w:val="28"/>
        </w:rPr>
        <w:t xml:space="preserve">MEN1 </w:t>
      </w:r>
      <w:r>
        <w:rPr>
          <w:sz w:val="24"/>
          <w:szCs w:val="28"/>
        </w:rPr>
        <w:t>was transfected into COS</w:t>
      </w:r>
      <w:r>
        <w:rPr>
          <w:rFonts w:ascii="Microsoft YaHei" w:eastAsia="Microsoft YaHei" w:hAnsi="Microsoft YaHei" w:cs="Microsoft YaHei"/>
          <w:sz w:val="24"/>
          <w:szCs w:val="28"/>
        </w:rPr>
        <w:t>−</w:t>
      </w:r>
      <w:r>
        <w:rPr>
          <w:sz w:val="24"/>
          <w:szCs w:val="28"/>
        </w:rPr>
        <w:t xml:space="preserve">7 cells, and at 24 </w:t>
      </w:r>
      <w:proofErr w:type="spellStart"/>
      <w:r>
        <w:rPr>
          <w:sz w:val="24"/>
          <w:szCs w:val="28"/>
        </w:rPr>
        <w:t>hr</w:t>
      </w:r>
      <w:proofErr w:type="spellEnd"/>
      <w:r>
        <w:rPr>
          <w:sz w:val="24"/>
          <w:szCs w:val="28"/>
        </w:rPr>
        <w:t xml:space="preserve"> after transfection,10 </w:t>
      </w:r>
      <w:proofErr w:type="spellStart"/>
      <w:r>
        <w:rPr>
          <w:sz w:val="24"/>
          <w:szCs w:val="28"/>
        </w:rPr>
        <w:t>μM</w:t>
      </w:r>
      <w:proofErr w:type="spellEnd"/>
      <w:r>
        <w:rPr>
          <w:sz w:val="24"/>
          <w:szCs w:val="28"/>
        </w:rPr>
        <w:t xml:space="preserve"> of ML346 was added to the COS</w:t>
      </w:r>
      <w:r>
        <w:rPr>
          <w:rFonts w:ascii="Microsoft YaHei" w:eastAsia="Microsoft YaHei" w:hAnsi="Microsoft YaHei" w:cs="Microsoft YaHei"/>
          <w:sz w:val="24"/>
          <w:szCs w:val="28"/>
        </w:rPr>
        <w:t>−</w:t>
      </w:r>
      <w:r>
        <w:rPr>
          <w:sz w:val="24"/>
          <w:szCs w:val="28"/>
        </w:rPr>
        <w:t>7</w:t>
      </w:r>
      <w:r>
        <w:rPr>
          <w:rFonts w:ascii="Microsoft YaHei" w:eastAsia="Microsoft YaHei" w:hAnsi="Microsoft YaHei" w:cs="Microsoft YaHei"/>
          <w:sz w:val="24"/>
          <w:szCs w:val="28"/>
        </w:rPr>
        <w:t>−</w:t>
      </w:r>
      <w:r>
        <w:rPr>
          <w:sz w:val="24"/>
          <w:szCs w:val="28"/>
        </w:rPr>
        <w:t xml:space="preserve">transfected cells for 24 </w:t>
      </w:r>
      <w:proofErr w:type="spellStart"/>
      <w:r>
        <w:rPr>
          <w:sz w:val="24"/>
          <w:szCs w:val="28"/>
        </w:rPr>
        <w:t>hr</w:t>
      </w:r>
      <w:proofErr w:type="spellEnd"/>
      <w:r>
        <w:rPr>
          <w:sz w:val="24"/>
          <w:szCs w:val="28"/>
        </w:rPr>
        <w:t xml:space="preserve"> of treatment, after which the cells were subjected to immunoblotting.</w:t>
      </w:r>
    </w:p>
    <w:p w14:paraId="26134296" w14:textId="77777777" w:rsidR="00800B96" w:rsidRDefault="00800B96">
      <w:pPr>
        <w:spacing w:line="480" w:lineRule="auto"/>
        <w:rPr>
          <w:sz w:val="24"/>
          <w:szCs w:val="28"/>
        </w:rPr>
      </w:pPr>
    </w:p>
    <w:p w14:paraId="4BEE3022" w14:textId="77777777" w:rsidR="00800B96" w:rsidRDefault="00800B96">
      <w:pPr>
        <w:spacing w:line="480" w:lineRule="auto"/>
        <w:rPr>
          <w:sz w:val="24"/>
          <w:szCs w:val="28"/>
        </w:rPr>
      </w:pPr>
    </w:p>
    <w:p w14:paraId="0BB978AC" w14:textId="77777777" w:rsidR="00800B96" w:rsidRDefault="00800B96">
      <w:pPr>
        <w:spacing w:line="480" w:lineRule="auto"/>
        <w:rPr>
          <w:bCs/>
          <w:sz w:val="24"/>
          <w:szCs w:val="28"/>
        </w:rPr>
      </w:pPr>
    </w:p>
    <w:p w14:paraId="65571CAC" w14:textId="77777777" w:rsidR="00800B96" w:rsidRDefault="00800B96">
      <w:pPr>
        <w:spacing w:line="480" w:lineRule="auto"/>
        <w:rPr>
          <w:bCs/>
          <w:sz w:val="24"/>
          <w:szCs w:val="28"/>
        </w:rPr>
      </w:pPr>
    </w:p>
    <w:p w14:paraId="59F3E98B" w14:textId="77777777" w:rsidR="00800B96" w:rsidRDefault="00800B96"/>
    <w:sectPr w:rsidR="00800B9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E3E6E" w14:textId="77777777" w:rsidR="00ED4DFB" w:rsidRDefault="00ED4DFB">
      <w:r>
        <w:separator/>
      </w:r>
    </w:p>
  </w:endnote>
  <w:endnote w:type="continuationSeparator" w:id="0">
    <w:p w14:paraId="28DF968F" w14:textId="77777777" w:rsidR="00ED4DFB" w:rsidRDefault="00ED4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9E1CC" w14:textId="77777777" w:rsidR="00ED4DFB" w:rsidRDefault="00ED4DFB">
      <w:r>
        <w:rPr>
          <w:color w:val="000000"/>
        </w:rPr>
        <w:separator/>
      </w:r>
    </w:p>
  </w:footnote>
  <w:footnote w:type="continuationSeparator" w:id="0">
    <w:p w14:paraId="0FAD87F2" w14:textId="77777777" w:rsidR="00ED4DFB" w:rsidRDefault="00ED4D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00B96"/>
    <w:rsid w:val="00800B96"/>
    <w:rsid w:val="00B7497A"/>
    <w:rsid w:val="00ED4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17FEC"/>
  <w15:docId w15:val="{B707B2A6-53F9-418F-B5FE-175B937F5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en-US"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spacing w:after="0" w:line="240" w:lineRule="auto"/>
      <w:jc w:val="both"/>
    </w:pPr>
    <w:rPr>
      <w:rFonts w:ascii="Times New Roman" w:eastAsia="SimSun" w:hAnsi="Times New Roman"/>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2026</Words>
  <Characters>11549</Characters>
  <Application>Microsoft Office Word</Application>
  <DocSecurity>0</DocSecurity>
  <Lines>96</Lines>
  <Paragraphs>27</Paragraphs>
  <ScaleCrop>false</ScaleCrop>
  <Company>Springer Nature</Company>
  <LinksUpToDate>false</LinksUpToDate>
  <CharactersWithSpaces>13548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dc:description/>
  <cp:lastModifiedBy>Bhushan Tandale</cp:lastModifiedBy>
  <cp:revision>2</cp:revision>
  <dcterms:created xsi:type="dcterms:W3CDTF">2024-11-05T11:20:00Z</dcterms:created>
  <dcterms:modified xsi:type="dcterms:W3CDTF">2024-11-05T11:20:00Z</dcterms:modified>
</cp:coreProperties>
</file>