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63589" w14:textId="77777777" w:rsidR="002E7FD1" w:rsidRDefault="00000000">
      <w:pPr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noProof/>
          <w:sz w:val="21"/>
          <w:szCs w:val="21"/>
        </w:rPr>
        <w:drawing>
          <wp:inline distT="0" distB="0" distL="114300" distR="114300" wp14:anchorId="2E3391A0" wp14:editId="0B666EFC">
            <wp:extent cx="4425950" cy="2642235"/>
            <wp:effectExtent l="0" t="0" r="19050" b="24765"/>
            <wp:docPr id="5" name="图片 5" descr="图片DDDD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DDDDD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9AD0" w14:textId="6C8DA519" w:rsidR="002E7FD1" w:rsidRDefault="00000000">
      <w:pPr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Figure 1 The characterizations of CD39-Diannexin. </w:t>
      </w:r>
      <w:r>
        <w:rPr>
          <w:rFonts w:ascii="Times New Roman" w:hAnsi="Times New Roman" w:cs="Times New Roman"/>
          <w:bCs/>
          <w:sz w:val="21"/>
          <w:szCs w:val="21"/>
        </w:rPr>
        <w:t>(A) The protein’s molecular weight in non-reducing state is 136.37kDa, and in reducing state, the molecular weight is 132.03kDa. The protein is stained with Coomassie bright blue. (B-D) We used activated platelets [</w:t>
      </w:r>
      <w:r w:rsidR="00C27DA0">
        <w:rPr>
          <w:rFonts w:ascii="Times New Roman" w:hAnsi="Times New Roman" w:cs="Times New Roman"/>
          <w:bCs/>
          <w:sz w:val="21"/>
          <w:szCs w:val="21"/>
        </w:rPr>
        <w:t>(D)</w:t>
      </w:r>
      <w:r w:rsidR="00C27DA0">
        <w:rPr>
          <w:rFonts w:ascii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w:t xml:space="preserve">Platelets </w:t>
      </w:r>
      <w:r w:rsidR="004A0853">
        <w:rPr>
          <w:rFonts w:ascii="Times New Roman" w:hAnsi="Times New Roman" w:cs="Times New Roman"/>
          <w:bCs/>
          <w:sz w:val="21"/>
          <w:szCs w:val="21"/>
        </w:rPr>
        <w:t xml:space="preserve">were </w:t>
      </w:r>
      <w:r>
        <w:rPr>
          <w:rFonts w:ascii="Times New Roman" w:hAnsi="Times New Roman" w:cs="Times New Roman"/>
          <w:bCs/>
          <w:sz w:val="21"/>
          <w:szCs w:val="21"/>
        </w:rPr>
        <w:t xml:space="preserve">activated by </w:t>
      </w:r>
      <w:r>
        <w:rPr>
          <w:rFonts w:ascii="Times New Roman" w:hAnsi="Times New Roman" w:cs="Times New Roman" w:hint="eastAsia"/>
          <w:bCs/>
          <w:sz w:val="21"/>
          <w:szCs w:val="21"/>
        </w:rPr>
        <w:t>calcium ionophore</w:t>
      </w:r>
      <w:r>
        <w:rPr>
          <w:rFonts w:ascii="Times New Roman" w:hAnsi="Times New Roman" w:cs="Times New Roman"/>
          <w:bCs/>
          <w:sz w:val="21"/>
          <w:szCs w:val="21"/>
        </w:rPr>
        <w:t xml:space="preserve"> A23187</w:t>
      </w:r>
      <w:r w:rsidR="004A0853">
        <w:rPr>
          <w:rFonts w:ascii="Times New Roman" w:hAnsi="Times New Roman" w:cs="Times New Roman"/>
          <w:bCs/>
          <w:sz w:val="21"/>
          <w:szCs w:val="21"/>
        </w:rPr>
        <w:t xml:space="preserve">, which can lead </w:t>
      </w:r>
      <w:r>
        <w:rPr>
          <w:rFonts w:ascii="Times New Roman" w:hAnsi="Times New Roman" w:cs="Times New Roman"/>
          <w:bCs/>
          <w:sz w:val="21"/>
          <w:szCs w:val="21"/>
        </w:rPr>
        <w:t>phosphatidylserine (PS)</w:t>
      </w:r>
      <w:r w:rsidR="004A0853">
        <w:rPr>
          <w:rFonts w:ascii="Times New Roman" w:hAnsi="Times New Roman" w:cs="Times New Roman"/>
          <w:bCs/>
          <w:sz w:val="21"/>
          <w:szCs w:val="21"/>
        </w:rPr>
        <w:t xml:space="preserve"> exposed to the outer face</w:t>
      </w:r>
      <w:r>
        <w:rPr>
          <w:rFonts w:ascii="Times New Roman" w:hAnsi="Times New Roman" w:cs="Times New Roman"/>
          <w:bCs/>
          <w:sz w:val="21"/>
          <w:szCs w:val="21"/>
        </w:rPr>
        <w:t>], resting platelets [</w:t>
      </w:r>
      <w:r w:rsidR="00C27DA0">
        <w:rPr>
          <w:rFonts w:ascii="Times New Roman" w:hAnsi="Times New Roman" w:cs="Times New Roman"/>
          <w:bCs/>
          <w:sz w:val="21"/>
          <w:szCs w:val="21"/>
        </w:rPr>
        <w:t>(E)</w:t>
      </w:r>
      <w:r w:rsidR="00C27DA0">
        <w:rPr>
          <w:rFonts w:ascii="Times New Roman" w:hAnsi="Times New Roman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1"/>
          <w:szCs w:val="21"/>
        </w:rPr>
        <w:t>PS mainly locate</w:t>
      </w:r>
      <w:r w:rsidR="004A0853">
        <w:rPr>
          <w:rFonts w:ascii="Times New Roman" w:hAnsi="Times New Roman" w:cs="Times New Roman"/>
          <w:bCs/>
          <w:sz w:val="21"/>
          <w:szCs w:val="21"/>
        </w:rPr>
        <w:t>s</w:t>
      </w:r>
      <w:r>
        <w:rPr>
          <w:rFonts w:ascii="Times New Roman" w:hAnsi="Times New Roman" w:cs="Times New Roman"/>
          <w:bCs/>
          <w:sz w:val="21"/>
          <w:szCs w:val="21"/>
        </w:rPr>
        <w:t xml:space="preserve"> in the inner face of membrane] to test whether the recombinant protein </w:t>
      </w:r>
      <w:r w:rsidR="004A0853">
        <w:rPr>
          <w:rFonts w:ascii="Times New Roman" w:hAnsi="Times New Roman" w:cs="Times New Roman"/>
          <w:bCs/>
          <w:sz w:val="21"/>
          <w:szCs w:val="21"/>
        </w:rPr>
        <w:t xml:space="preserve">CD39-Diannexin </w:t>
      </w:r>
      <w:r>
        <w:rPr>
          <w:rFonts w:ascii="Times New Roman" w:hAnsi="Times New Roman" w:cs="Times New Roman"/>
          <w:bCs/>
          <w:sz w:val="21"/>
          <w:szCs w:val="21"/>
        </w:rPr>
        <w:t xml:space="preserve">can specifically bind with PS. We can clearly see that after activation, platelets show high green fluorescence while in resting state, the green fluorescence is weak. (E) The </w:t>
      </w:r>
      <w:r>
        <w:rPr>
          <w:rFonts w:ascii="Times New Roman" w:hAnsi="Times New Roman" w:cs="Times New Roman" w:hint="eastAsia"/>
          <w:bCs/>
          <w:sz w:val="21"/>
          <w:szCs w:val="21"/>
        </w:rPr>
        <w:t>quantitative analysis</w:t>
      </w:r>
      <w:r>
        <w:rPr>
          <w:rFonts w:ascii="Times New Roman" w:hAnsi="Times New Roman" w:cs="Times New Roman"/>
          <w:bCs/>
          <w:sz w:val="21"/>
          <w:szCs w:val="21"/>
        </w:rPr>
        <w:t xml:space="preserve"> for the mean fluorescence intensity in activated and resting state. </w:t>
      </w:r>
    </w:p>
    <w:p w14:paraId="0E5019CC" w14:textId="77777777" w:rsidR="002E7FD1" w:rsidRDefault="00000000">
      <w:pPr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noProof/>
          <w:sz w:val="21"/>
          <w:szCs w:val="21"/>
        </w:rPr>
        <w:drawing>
          <wp:inline distT="0" distB="0" distL="114300" distR="114300" wp14:anchorId="73BC7470" wp14:editId="1FCBE40D">
            <wp:extent cx="4863465" cy="3434080"/>
            <wp:effectExtent l="0" t="0" r="13335" b="20320"/>
            <wp:docPr id="18" name="图片 18" descr="图片DD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DDD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60E1" w14:textId="7EACF4DB" w:rsidR="002E7FD1" w:rsidRDefault="00000000">
      <w:pPr>
        <w:rPr>
          <w:rFonts w:ascii="Times New Roman Regular" w:eastAsia="宋体" w:hAnsi="Times New Roman Regular" w:cs="Times New Roman Regular"/>
          <w:lang w:eastAsia="zh-Hans"/>
        </w:rPr>
        <w:sectPr w:rsidR="002E7FD1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  <w:r>
        <w:rPr>
          <w:rFonts w:ascii="Times New Roman" w:hAnsi="Times New Roman" w:cs="Times New Roman"/>
          <w:b/>
        </w:rPr>
        <w:t xml:space="preserve">Figure 2 </w:t>
      </w:r>
      <w:r>
        <w:rPr>
          <w:rFonts w:ascii="Times New Roman Bold" w:eastAsia="宋体" w:hAnsi="Times New Roman Bold" w:cs="Times New Roman Bold"/>
          <w:b/>
          <w:bCs/>
          <w:lang w:eastAsia="zh-Hans"/>
        </w:rPr>
        <w:t xml:space="preserve">Measurement procedure of procoagulant platelets by using FCM. </w:t>
      </w:r>
      <w:r>
        <w:rPr>
          <w:rFonts w:ascii="Times New Roman Regular" w:eastAsia="宋体" w:hAnsi="Times New Roman Regular" w:cs="Times New Roman Regular"/>
          <w:lang w:eastAsia="zh-Hans"/>
        </w:rPr>
        <w:t xml:space="preserve">(A-C) </w:t>
      </w:r>
      <w:r>
        <w:rPr>
          <w:rFonts w:ascii="Times New Roman Regular" w:eastAsia="宋体" w:hAnsi="Times New Roman Regular" w:cs="Times New Roman Regular"/>
          <w:lang w:eastAsia="zh-Hans"/>
        </w:rPr>
        <w:lastRenderedPageBreak/>
        <w:t>The results of using whole blood in measuring procoagulant platelets</w:t>
      </w:r>
      <w:r w:rsidR="004A0853">
        <w:rPr>
          <w:rFonts w:ascii="Times New Roman Regular" w:eastAsia="宋体" w:hAnsi="Times New Roman Regular" w:cs="Times New Roman Regular"/>
          <w:lang w:eastAsia="zh-Hans"/>
        </w:rPr>
        <w:t xml:space="preserve"> (PPs)</w:t>
      </w:r>
      <w:r>
        <w:rPr>
          <w:rFonts w:ascii="Times New Roman Regular" w:eastAsia="宋体" w:hAnsi="Times New Roman Regular" w:cs="Times New Roman Regular"/>
          <w:lang w:eastAsia="zh-Hans"/>
        </w:rPr>
        <w:t>. (A) Platelets locat</w:t>
      </w:r>
      <w:r w:rsidR="004A0853">
        <w:rPr>
          <w:rFonts w:ascii="Times New Roman Regular" w:eastAsia="宋体" w:hAnsi="Times New Roman Regular" w:cs="Times New Roman Regular"/>
          <w:lang w:eastAsia="zh-Hans"/>
        </w:rPr>
        <w:t>e</w:t>
      </w:r>
      <w:r>
        <w:rPr>
          <w:rFonts w:ascii="Times New Roman Regular" w:eastAsia="宋体" w:hAnsi="Times New Roman Regular" w:cs="Times New Roman Regular"/>
          <w:lang w:eastAsia="zh-Hans"/>
        </w:rPr>
        <w:t xml:space="preserve"> in P1 gate. (B) CD41a positive platelets locate in P2 gate. (C) P</w:t>
      </w:r>
      <w:r w:rsidR="004A0853">
        <w:rPr>
          <w:rFonts w:ascii="Times New Roman Regular" w:eastAsia="宋体" w:hAnsi="Times New Roman Regular" w:cs="Times New Roman Regular"/>
          <w:lang w:eastAsia="zh-Hans"/>
        </w:rPr>
        <w:t>Ps</w:t>
      </w:r>
      <w:r>
        <w:rPr>
          <w:rFonts w:ascii="Times New Roman Regular" w:eastAsia="宋体" w:hAnsi="Times New Roman Regular" w:cs="Times New Roman Regular"/>
          <w:lang w:eastAsia="zh-Hans"/>
        </w:rPr>
        <w:t xml:space="preserve"> locate in Q2 area. (D-F) </w:t>
      </w:r>
      <w:r>
        <w:rPr>
          <w:rFonts w:ascii="Times New Roman Regular" w:eastAsia="宋体" w:hAnsi="Times New Roman Regular" w:cs="Times New Roman Regular"/>
          <w:lang w:bidi="ar"/>
        </w:rPr>
        <w:t xml:space="preserve">The results of using washed platelets in measuring </w:t>
      </w:r>
      <w:r w:rsidR="004A0853">
        <w:rPr>
          <w:rFonts w:ascii="Times New Roman Regular" w:eastAsia="宋体" w:hAnsi="Times New Roman Regular" w:cs="Times New Roman Regular"/>
          <w:lang w:bidi="ar"/>
        </w:rPr>
        <w:t>PPs</w:t>
      </w:r>
      <w:r>
        <w:rPr>
          <w:rFonts w:ascii="Times New Roman Regular" w:eastAsia="宋体" w:hAnsi="Times New Roman Regular" w:cs="Times New Roman Regular"/>
          <w:lang w:bidi="ar"/>
        </w:rPr>
        <w:t xml:space="preserve">. (D) </w:t>
      </w:r>
      <w:r>
        <w:rPr>
          <w:rFonts w:ascii="Times New Roman Regular" w:eastAsia="宋体" w:hAnsi="Times New Roman Regular" w:cs="Times New Roman Regular"/>
          <w:lang w:eastAsia="zh-Hans"/>
        </w:rPr>
        <w:t>Platelets locat</w:t>
      </w:r>
      <w:r w:rsidR="004A0853">
        <w:rPr>
          <w:rFonts w:ascii="Times New Roman Regular" w:eastAsia="宋体" w:hAnsi="Times New Roman Regular" w:cs="Times New Roman Regular"/>
          <w:lang w:eastAsia="zh-Hans"/>
        </w:rPr>
        <w:t>e</w:t>
      </w:r>
      <w:r>
        <w:rPr>
          <w:rFonts w:ascii="Times New Roman Regular" w:eastAsia="宋体" w:hAnsi="Times New Roman Regular" w:cs="Times New Roman Regular"/>
          <w:lang w:eastAsia="zh-Hans"/>
        </w:rPr>
        <w:t xml:space="preserve"> in P1 gate. (E) CD41a positive platelets locat</w:t>
      </w:r>
      <w:r w:rsidR="004A0853">
        <w:rPr>
          <w:rFonts w:ascii="Times New Roman Regular" w:eastAsia="宋体" w:hAnsi="Times New Roman Regular" w:cs="Times New Roman Regular"/>
          <w:lang w:eastAsia="zh-Hans"/>
        </w:rPr>
        <w:t>e</w:t>
      </w:r>
      <w:r>
        <w:rPr>
          <w:rFonts w:ascii="Times New Roman Regular" w:eastAsia="宋体" w:hAnsi="Times New Roman Regular" w:cs="Times New Roman Regular"/>
          <w:lang w:eastAsia="zh-Hans"/>
        </w:rPr>
        <w:t xml:space="preserve"> in P2 gate. (F) P</w:t>
      </w:r>
      <w:r w:rsidR="004A0853">
        <w:rPr>
          <w:rFonts w:ascii="Times New Roman Regular" w:eastAsia="宋体" w:hAnsi="Times New Roman Regular" w:cs="Times New Roman Regular"/>
          <w:lang w:eastAsia="zh-Hans"/>
        </w:rPr>
        <w:t>P</w:t>
      </w:r>
      <w:r>
        <w:rPr>
          <w:rFonts w:ascii="Times New Roman Regular" w:eastAsia="宋体" w:hAnsi="Times New Roman Regular" w:cs="Times New Roman Regular"/>
          <w:lang w:eastAsia="zh-Hans"/>
        </w:rPr>
        <w:t>s located in Q2 area. FSC, forward scatter channel; SSC, side scatter channel. CD41a is a specific marker for platelets.</w:t>
      </w:r>
    </w:p>
    <w:p w14:paraId="6D63734C" w14:textId="77777777" w:rsidR="002E7FD1" w:rsidRDefault="00000000">
      <w:pPr>
        <w:rPr>
          <w:rFonts w:ascii="Times New Roman Regular" w:eastAsia="宋体" w:hAnsi="Times New Roman Regular" w:cs="Times New Roman Regular"/>
          <w:lang w:eastAsia="zh-Hans"/>
        </w:rPr>
      </w:pPr>
      <w:r>
        <w:rPr>
          <w:rFonts w:ascii="Times New Roman Regular" w:eastAsia="宋体" w:hAnsi="Times New Roman Regular" w:cs="Times New Roman Regular"/>
          <w:lang w:eastAsia="zh-Hans"/>
        </w:rPr>
        <w:lastRenderedPageBreak/>
        <w:t xml:space="preserve"> </w:t>
      </w:r>
    </w:p>
    <w:p w14:paraId="1B4B2977" w14:textId="77777777" w:rsidR="002E7FD1" w:rsidRDefault="00000000">
      <w:pPr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noProof/>
          <w:sz w:val="21"/>
          <w:szCs w:val="21"/>
        </w:rPr>
        <w:drawing>
          <wp:inline distT="0" distB="0" distL="114300" distR="114300" wp14:anchorId="6BF887D5" wp14:editId="387FF0AA">
            <wp:extent cx="5247005" cy="2096770"/>
            <wp:effectExtent l="0" t="0" r="10795" b="11430"/>
            <wp:docPr id="15" name="图片 15" descr="图片1.df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.df 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81A3" w14:textId="2B3901E3" w:rsidR="002E7FD1" w:rsidRDefault="00000000">
      <w:pPr>
        <w:rPr>
          <w:rFonts w:ascii="Times New Roman Regular" w:eastAsia="宋体" w:hAnsi="Times New Roman Regular" w:cs="Times New Roman Regular"/>
          <w:lang w:eastAsia="zh-Hans"/>
        </w:rPr>
        <w:sectPr w:rsidR="002E7FD1">
          <w:pgSz w:w="11900" w:h="16840"/>
          <w:pgMar w:top="1440" w:right="1800" w:bottom="1440" w:left="1800" w:header="851" w:footer="992" w:gutter="0"/>
          <w:cols w:space="425"/>
          <w:docGrid w:type="lines" w:linePitch="423"/>
        </w:sectPr>
      </w:pPr>
      <w:r>
        <w:rPr>
          <w:rFonts w:ascii="Times New Roman Bold" w:eastAsia="宋体" w:hAnsi="Times New Roman Bold" w:cs="Times New Roman Bold"/>
          <w:b/>
          <w:bCs/>
          <w:lang w:eastAsia="zh-Hans"/>
        </w:rPr>
        <w:t>Figure 3</w:t>
      </w:r>
      <w:r>
        <w:rPr>
          <w:rFonts w:ascii="Times New Roman Regular" w:eastAsia="宋体" w:hAnsi="Times New Roman Regular" w:cs="Times New Roman Regular"/>
          <w:lang w:eastAsia="zh-Hans"/>
        </w:rPr>
        <w:t xml:space="preserve"> </w:t>
      </w:r>
      <w:r>
        <w:rPr>
          <w:rFonts w:ascii="Times New Roman Bold" w:eastAsia="宋体" w:hAnsi="Times New Roman Bold" w:cs="Times New Roman Bold"/>
          <w:b/>
          <w:bCs/>
          <w:lang w:eastAsia="zh-Hans"/>
        </w:rPr>
        <w:t xml:space="preserve">The treatment of four groups. </w:t>
      </w:r>
      <w:r w:rsidR="00F300A4">
        <w:rPr>
          <w:rFonts w:ascii="Times New Roman Regular" w:eastAsia="宋体" w:hAnsi="Times New Roman Regular" w:cs="Times New Roman Regular"/>
          <w:lang w:eastAsia="zh-Hans"/>
        </w:rPr>
        <w:t>T</w:t>
      </w:r>
      <w:r>
        <w:rPr>
          <w:rFonts w:ascii="Times New Roman Regular" w:eastAsia="宋体" w:hAnsi="Times New Roman Regular" w:cs="Times New Roman Regular"/>
          <w:lang w:eastAsia="zh-Hans"/>
        </w:rPr>
        <w:t>he pregnant control group, pregnant PBS treatment group, PE model group and</w:t>
      </w:r>
      <w:r w:rsidR="00F300A4">
        <w:rPr>
          <w:rFonts w:ascii="Times New Roman Regular" w:eastAsia="宋体" w:hAnsi="Times New Roman Regular" w:cs="Times New Roman Regular"/>
          <w:lang w:eastAsia="zh-Hans"/>
        </w:rPr>
        <w:t xml:space="preserve"> </w:t>
      </w:r>
      <w:r>
        <w:rPr>
          <w:rFonts w:ascii="Times New Roman Regular" w:eastAsia="宋体" w:hAnsi="Times New Roman Regular" w:cs="Times New Roman Regular"/>
          <w:lang w:eastAsia="zh-Hans"/>
        </w:rPr>
        <w:t>CD39-Diannexin prevention group</w:t>
      </w:r>
      <w:r w:rsidR="00F300A4">
        <w:rPr>
          <w:rFonts w:ascii="Times New Roman Regular" w:eastAsia="宋体" w:hAnsi="Times New Roman Regular" w:cs="Times New Roman Regular"/>
          <w:lang w:eastAsia="zh-Hans"/>
        </w:rPr>
        <w:t xml:space="preserve"> were set</w:t>
      </w:r>
      <w:r>
        <w:rPr>
          <w:rFonts w:ascii="Times New Roman Regular" w:eastAsia="宋体" w:hAnsi="Times New Roman Regular" w:cs="Times New Roman Regular"/>
          <w:lang w:eastAsia="zh-Hans"/>
        </w:rPr>
        <w:t>, respectively. 10-12 week’s C57BL/6 mice were matched in a 1:1 ratio. Each group was treated by the above reagents. On E12.5, mice were anesthetized and urine, blood were acquired. P</w:t>
      </w:r>
      <w:r>
        <w:rPr>
          <w:rFonts w:ascii="Times New Roman Regular" w:eastAsia="宋体" w:hAnsi="Times New Roman Regular" w:cs="Times New Roman Regular" w:hint="eastAsia"/>
          <w:lang w:eastAsia="zh-Hans"/>
        </w:rPr>
        <w:t>la</w:t>
      </w:r>
      <w:r>
        <w:rPr>
          <w:rFonts w:ascii="Times New Roman Regular" w:eastAsia="宋体" w:hAnsi="Times New Roman Regular" w:cs="Times New Roman Regular"/>
          <w:lang w:eastAsia="zh-Hans"/>
        </w:rPr>
        <w:t>centas were separated. CD39-DA: CD39-Diannexin.</w:t>
      </w:r>
    </w:p>
    <w:p w14:paraId="02B42807" w14:textId="77777777" w:rsidR="002E7FD1" w:rsidRDefault="002E7FD1">
      <w:pPr>
        <w:rPr>
          <w:rFonts w:ascii="Times New Roman Regular" w:eastAsia="宋体" w:hAnsi="Times New Roman Regular" w:cs="Times New Roman Regular"/>
          <w:lang w:eastAsia="zh-Hans"/>
        </w:rPr>
      </w:pPr>
    </w:p>
    <w:p w14:paraId="547057E7" w14:textId="77777777" w:rsidR="002E7FD1" w:rsidRDefault="000000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06E05" wp14:editId="05C97B81">
                <wp:simplePos x="0" y="0"/>
                <wp:positionH relativeFrom="column">
                  <wp:posOffset>3187700</wp:posOffset>
                </wp:positionH>
                <wp:positionV relativeFrom="paragraph">
                  <wp:posOffset>1861185</wp:posOffset>
                </wp:positionV>
                <wp:extent cx="227330" cy="125730"/>
                <wp:effectExtent l="9525" t="9525" r="17145" b="1714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15" cy="125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51pt;margin-top:146.55pt;height:9.9pt;width:17.9pt;z-index:251661312;v-text-anchor:middle;mso-width-relative:page;mso-height-relative:page;" filled="f" stroked="t" coordsize="21600,21600" o:gfxdata="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CaTglLaAAAACwEAAA8AAAAAAAAAAQAgAAAAOAAAAGRycy9kb3ducmV2LnhtbFBLAQIU&#10;ABQAAAAIAIdO4kA3y68WTQIAAHwEAAAOAAAAAAAAAAEAIAAAAD8BAABkcnMvZTJvRG9jLnhtbFBL&#10;BQYAAAAABgAGAFkBAAD+BQAAAAA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3B47F" wp14:editId="46801B31">
                <wp:simplePos x="0" y="0"/>
                <wp:positionH relativeFrom="column">
                  <wp:posOffset>2787015</wp:posOffset>
                </wp:positionH>
                <wp:positionV relativeFrom="paragraph">
                  <wp:posOffset>1401445</wp:posOffset>
                </wp:positionV>
                <wp:extent cx="221615" cy="135255"/>
                <wp:effectExtent l="9525" t="9525" r="22860" b="330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135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9.45pt;margin-top:110.35pt;height:10.65pt;width:17.45pt;z-index:251659264;v-text-anchor:middle;mso-width-relative:page;mso-height-relative:page;" filled="f" stroked="t" coordsize="21600,21600" o:gfxdata="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HfOn1zaAAAACwEAAA8AAAAAAAAAAQAgAAAAOAAAAGRycy9kb3ducmV2LnhtbFBLAQIU&#10;ABQAAAAIAIdO4kAb+B/XTQIAAHwEAAAOAAAAAAAAAAEAIAAAAD8BAABkcnMvZTJvRG9jLnhtbFBL&#10;BQYAAAAABgAGAFkBAAD+BQAAAAA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00356" wp14:editId="04ACE099">
                <wp:simplePos x="0" y="0"/>
                <wp:positionH relativeFrom="column">
                  <wp:posOffset>1445260</wp:posOffset>
                </wp:positionH>
                <wp:positionV relativeFrom="paragraph">
                  <wp:posOffset>1212850</wp:posOffset>
                </wp:positionV>
                <wp:extent cx="243205" cy="131445"/>
                <wp:effectExtent l="9525" t="9525" r="2667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131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3.8pt;margin-top:95.5pt;height:10.35pt;width:19.15pt;z-index:251663360;v-text-anchor:middle;mso-width-relative:page;mso-height-relative:page;" filled="f" stroked="t" coordsize="21600,21600" o:gfxdata="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FgAAAGRycy9QSwECFAAUAAAA&#10;CACHTuJAOiudm9oAAAALAQAADwAAAAAAAAABACAAAAA4AAAAZHJzL2Rvd25yZXYueG1sUEsBAhQA&#10;FAAAAAgAh07iQGgt9A5MAgAAfAQAAA4AAAAAAAAAAQAgAAAAPwEAAGRycy9lMm9Eb2MueG1sUEsF&#10;BgAAAAAGAAYAWQEAAP0FAAAAAA==&#10;">
                <v:fill on="f" focussize="0,0"/>
                <v:stroke weight="1.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73105B3" wp14:editId="2EB4A61B">
            <wp:extent cx="5270500" cy="3289935"/>
            <wp:effectExtent l="0" t="0" r="1270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1E12" w14:textId="73309EF9" w:rsidR="002E7FD1" w:rsidRDefault="00000000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Figure 4 Complement and coagulation cascades. </w:t>
      </w:r>
      <w:r>
        <w:rPr>
          <w:rFonts w:ascii="Times New Roman" w:hAnsi="Times New Roman" w:cs="Times New Roman"/>
          <w:bCs/>
        </w:rPr>
        <w:t xml:space="preserve">Kininogen and complement C3, which were both detected in our proteomics analysis are </w:t>
      </w:r>
      <w:r w:rsidR="00953A69">
        <w:rPr>
          <w:rFonts w:ascii="Times New Roman" w:hAnsi="Times New Roman" w:cs="Times New Roman" w:hint="eastAsia"/>
          <w:bCs/>
        </w:rPr>
        <w:t>bo</w:t>
      </w:r>
      <w:r w:rsidR="00953A69">
        <w:rPr>
          <w:rFonts w:ascii="Times New Roman" w:hAnsi="Times New Roman" w:cs="Times New Roman"/>
          <w:bCs/>
        </w:rPr>
        <w:t xml:space="preserve">th </w:t>
      </w:r>
      <w:r>
        <w:rPr>
          <w:rFonts w:ascii="Times New Roman" w:hAnsi="Times New Roman" w:cs="Times New Roman"/>
          <w:bCs/>
        </w:rPr>
        <w:t xml:space="preserve">the elements in the complement and coagulation cascades. </w:t>
      </w:r>
    </w:p>
    <w:sectPr w:rsidR="002E7FD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Times New Roman Regular">
    <w:altName w:val="Times New Roman"/>
    <w:panose1 w:val="02020603050405020304"/>
    <w:charset w:val="00"/>
    <w:family w:val="roman"/>
    <w:pitch w:val="default"/>
    <w:sig w:usb0="E0000AFF" w:usb1="00007843" w:usb2="00000001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947"/>
    <w:rsid w:val="B57B1AD5"/>
    <w:rsid w:val="DCED8D7C"/>
    <w:rsid w:val="DDFB7A2E"/>
    <w:rsid w:val="FBF2984C"/>
    <w:rsid w:val="FBFF50F4"/>
    <w:rsid w:val="FD630960"/>
    <w:rsid w:val="FFEE6E2F"/>
    <w:rsid w:val="FFFF5DBB"/>
    <w:rsid w:val="00062254"/>
    <w:rsid w:val="001649AB"/>
    <w:rsid w:val="00165F23"/>
    <w:rsid w:val="002E7FD1"/>
    <w:rsid w:val="00395947"/>
    <w:rsid w:val="004A0853"/>
    <w:rsid w:val="00953A69"/>
    <w:rsid w:val="00B370F6"/>
    <w:rsid w:val="00C27DA0"/>
    <w:rsid w:val="00C5658D"/>
    <w:rsid w:val="00D174F8"/>
    <w:rsid w:val="00F300A4"/>
    <w:rsid w:val="1276D696"/>
    <w:rsid w:val="5FFE70FD"/>
    <w:rsid w:val="77772CEC"/>
    <w:rsid w:val="7D7F7F44"/>
    <w:rsid w:val="7F76C812"/>
    <w:rsid w:val="7FC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CE6577"/>
  <w14:defaultImageDpi w14:val="32767"/>
  <w15:docId w15:val="{1981C3E9-C157-7D47-8748-2911A1DD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1425048095@qq.com</dc:creator>
  <cp:lastModifiedBy>褚 雅歆</cp:lastModifiedBy>
  <cp:revision>3</cp:revision>
  <dcterms:created xsi:type="dcterms:W3CDTF">2022-03-25T21:33:00Z</dcterms:created>
  <dcterms:modified xsi:type="dcterms:W3CDTF">2022-09-02T06:18:00Z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