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BE1DC">
      <w:pPr>
        <w:spacing w:line="360" w:lineRule="auto"/>
        <w:ind w:firstLine="480" w:firstLineChars="200"/>
        <w:jc w:val="left"/>
        <w:rPr>
          <w:rFonts w:hint="eastAsia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38"/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 Key Resource Table</w:t>
      </w:r>
    </w:p>
    <w:tbl>
      <w:tblPr>
        <w:tblStyle w:val="5"/>
        <w:tblW w:w="82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5291"/>
      </w:tblGrid>
      <w:tr w14:paraId="41B6A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5" w:type="dxa"/>
            <w:tcBorders>
              <w:top w:val="single" w:color="auto" w:sz="6" w:space="0"/>
            </w:tcBorders>
            <w:vAlign w:val="center"/>
          </w:tcPr>
          <w:p w14:paraId="28DABE2B">
            <w:pPr>
              <w:jc w:val="both"/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Mouse anti-Sema7A polyclonal antibody</w:t>
            </w:r>
          </w:p>
        </w:tc>
        <w:tc>
          <w:tcPr>
            <w:tcW w:w="5291" w:type="dxa"/>
            <w:tcBorders>
              <w:top w:val="single" w:color="auto" w:sz="6" w:space="0"/>
            </w:tcBorders>
            <w:vAlign w:val="center"/>
          </w:tcPr>
          <w:p w14:paraId="1EEE94FF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1:1000, Santa Cruz Biotechnology, SC-374432</w:t>
            </w:r>
          </w:p>
        </w:tc>
      </w:tr>
      <w:tr w14:paraId="15BAA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center"/>
          </w:tcPr>
          <w:p w14:paraId="2F28E635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Rabbit anti-ITGβ1 monoclonal antibody</w:t>
            </w:r>
          </w:p>
        </w:tc>
        <w:tc>
          <w:tcPr>
            <w:tcW w:w="5291" w:type="dxa"/>
            <w:vAlign w:val="center"/>
          </w:tcPr>
          <w:p w14:paraId="61CA8942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 500, Affinity Biologicals, AF537</w:t>
            </w:r>
          </w:p>
        </w:tc>
      </w:tr>
      <w:tr w14:paraId="508B5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center"/>
          </w:tcPr>
          <w:p w14:paraId="4C9CC7C4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Rabbit anti-P65 monoclonal antibody</w:t>
            </w:r>
          </w:p>
        </w:tc>
        <w:tc>
          <w:tcPr>
            <w:tcW w:w="5291" w:type="dxa"/>
            <w:vAlign w:val="center"/>
          </w:tcPr>
          <w:p w14:paraId="35CA8B40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1:1000, Novus Biologicals, NB100-2176</w:t>
            </w:r>
          </w:p>
        </w:tc>
      </w:tr>
      <w:tr w14:paraId="60A10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center"/>
          </w:tcPr>
          <w:p w14:paraId="1EB279C4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Rabbit anti-p-P65 monoclonal antibody</w:t>
            </w:r>
          </w:p>
        </w:tc>
        <w:tc>
          <w:tcPr>
            <w:tcW w:w="5291" w:type="dxa"/>
            <w:vAlign w:val="center"/>
          </w:tcPr>
          <w:p w14:paraId="7FCF8235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1:500, Novus Biologicals, NB100-82088</w:t>
            </w:r>
          </w:p>
        </w:tc>
      </w:tr>
      <w:tr w14:paraId="5BC17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center"/>
          </w:tcPr>
          <w:p w14:paraId="18F02AB5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Mouse anti-IκBα monoclonal antibody</w:t>
            </w:r>
          </w:p>
        </w:tc>
        <w:tc>
          <w:tcPr>
            <w:tcW w:w="5291" w:type="dxa"/>
            <w:vAlign w:val="center"/>
          </w:tcPr>
          <w:p w14:paraId="78E88C46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1:100, Novus Biologicals, NB100-56507</w:t>
            </w:r>
          </w:p>
        </w:tc>
      </w:tr>
      <w:tr w14:paraId="3E83B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center"/>
          </w:tcPr>
          <w:p w14:paraId="7984784E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Mouse anti-p-IκBα monoclonal antibody</w:t>
            </w:r>
          </w:p>
        </w:tc>
        <w:tc>
          <w:tcPr>
            <w:tcW w:w="5291" w:type="dxa"/>
            <w:vAlign w:val="center"/>
          </w:tcPr>
          <w:p w14:paraId="086673CA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1:500, Santa Cruz Biotechnology, SC-8404</w:t>
            </w:r>
          </w:p>
        </w:tc>
      </w:tr>
      <w:tr w14:paraId="668CD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center"/>
          </w:tcPr>
          <w:p w14:paraId="7B7AF131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Mouse anti-β-actin monoclonal antibody</w:t>
            </w:r>
          </w:p>
        </w:tc>
        <w:tc>
          <w:tcPr>
            <w:tcW w:w="5291" w:type="dxa"/>
            <w:vAlign w:val="center"/>
          </w:tcPr>
          <w:p w14:paraId="1DCC888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1:1000, Santa Cruz Biotechnology, SC-47778</w:t>
            </w:r>
          </w:p>
        </w:tc>
      </w:tr>
      <w:tr w14:paraId="64327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center"/>
          </w:tcPr>
          <w:p w14:paraId="307823B0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Horseradish peroxidase-conjugated goat anti-rabbit IgG antibody</w:t>
            </w:r>
          </w:p>
        </w:tc>
        <w:tc>
          <w:tcPr>
            <w:tcW w:w="5291" w:type="dxa"/>
            <w:vAlign w:val="center"/>
          </w:tcPr>
          <w:p w14:paraId="0A0E8264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1:4000, Zhongshan Goldenbridge Biotechnology Co., Ltd., ZB-2301</w:t>
            </w:r>
          </w:p>
        </w:tc>
      </w:tr>
      <w:tr w14:paraId="5E08B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3621B0F9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Horseradish peroxidase-conjugated goat anti-mouse IgG antibody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0B15D2A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1:4000, Zhongshan Goldenbridge Biotechnology Co., Ltd., ZB-2305</w:t>
            </w:r>
          </w:p>
        </w:tc>
      </w:tr>
      <w:tr w14:paraId="27532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3D78B1A2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5% goat serum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7DB4D832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ZLI-9056, Zhongshan Golden Bridge Inc, China</w:t>
            </w:r>
          </w:p>
        </w:tc>
      </w:tr>
      <w:tr w14:paraId="5172E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36F3A0AA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Rabbit polyclonal anti-Sema7A antibody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0B3B43C1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1:50, AF5379, Affinity Biosciences, America</w:t>
            </w:r>
          </w:p>
        </w:tc>
      </w:tr>
      <w:tr w14:paraId="2F0F8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3E66A54A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Rabbit polyclonal anti-ITGβ1 antibody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506DE484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1:100, SC-374432, Santa Cruz Biotechnology, Dallas, TX, USA</w:t>
            </w:r>
          </w:p>
        </w:tc>
      </w:tr>
      <w:tr w14:paraId="45963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0C4E3E2A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Rabbit polyclonal anti-P65 antibody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2DDB3AA2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1:20, AF5078, Tongpai Shanghai Biotechnology Co., Ltd, China</w:t>
            </w:r>
          </w:p>
        </w:tc>
      </w:tr>
      <w:tr w14:paraId="7A242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78AD1DDA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Fluorescein isothiocyanate (FITC)-conjugated goat anti-rabbit IgG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2FAB9415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</w:p>
          <w:p w14:paraId="705113DC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1:100, Beyotime</w:t>
            </w:r>
          </w:p>
          <w:p w14:paraId="12543582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</w:p>
        </w:tc>
      </w:tr>
      <w:tr w14:paraId="087B9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3E6516BF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Cy3-labeled goat anti-mouse IgG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142A746E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1:200, Beyotime, Shanghai, China</w:t>
            </w:r>
          </w:p>
        </w:tc>
      </w:tr>
      <w:tr w14:paraId="521D6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14:paraId="77DF8078"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TRIzol reagent</w:t>
            </w:r>
          </w:p>
        </w:tc>
        <w:tc>
          <w:tcPr>
            <w:tcW w:w="5291" w:type="dxa"/>
            <w:tcBorders>
              <w:bottom w:val="nil"/>
            </w:tcBorders>
            <w:vAlign w:val="center"/>
          </w:tcPr>
          <w:p w14:paraId="5384CB20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Tiangen Biochemical Technology Co., Ltd; Beijing, China</w:t>
            </w:r>
          </w:p>
        </w:tc>
      </w:tr>
      <w:tr w14:paraId="7EF28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0F672">
            <w:pPr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Protein Extraction Kit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70E9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Biyuntian Biotechnology Co., Ltd, P8680; Solebao, China</w:t>
            </w:r>
          </w:p>
        </w:tc>
      </w:tr>
      <w:tr w14:paraId="2FAB1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F158"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Protein concentration assay kit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8C547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Tiangen Biochemical Technology Co., LTD, Beijing, China</w:t>
            </w:r>
          </w:p>
        </w:tc>
      </w:tr>
      <w:tr w14:paraId="51C4C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9D984"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Oil-Red O staining kit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1FA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G1261, Solebao, Beijing, China</w:t>
            </w:r>
          </w:p>
        </w:tc>
      </w:tr>
      <w:tr w14:paraId="579ED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7042"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ELISA Kit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93F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Shanghai Biyuntian Biotechnology Co., Ltd., Shanghai, China</w:t>
            </w:r>
          </w:p>
        </w:tc>
      </w:tr>
      <w:tr w14:paraId="66040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B017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  <w:t>ight microscope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222C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  <w:t>ZEISS Imager A2, Germany</w:t>
            </w:r>
          </w:p>
        </w:tc>
      </w:tr>
      <w:tr w14:paraId="1B20A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09265"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Laser scanning confocal microscopy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DFB7E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Affinity Biosciences</w:t>
            </w:r>
          </w:p>
        </w:tc>
      </w:tr>
      <w:tr w14:paraId="29AB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4A844"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4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icroplate reader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465E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4"/>
                <w:lang w:bidi="ar"/>
              </w:rPr>
              <w:t>Tanon, Shanghai, China</w:t>
            </w:r>
          </w:p>
        </w:tc>
      </w:tr>
      <w:tr w14:paraId="05B55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5BE78">
            <w:pPr>
              <w:jc w:val="left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1"/>
                <w:szCs w:val="24"/>
              </w:rPr>
              <w:t>Amino acids in PN solution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8CAC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  <w:t>China Resources Shuanghe Pharmaceutical Co., Ltd., China</w:t>
            </w:r>
          </w:p>
        </w:tc>
      </w:tr>
      <w:tr w14:paraId="6D070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E472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  <w:t>Glucose in PN solution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938B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  <w:t>Otsuka Pharmaceutical Co., Ltd., China</w:t>
            </w:r>
          </w:p>
        </w:tc>
      </w:tr>
      <w:tr w14:paraId="5F8D2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073ABD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  <w:t>at emulsionin PN solution</w:t>
            </w:r>
          </w:p>
        </w:tc>
        <w:tc>
          <w:tcPr>
            <w:tcW w:w="529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67C12A"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4"/>
              </w:rPr>
              <w:t>Fresenius Kabi Huarui Pharmaceutical Co., Ltd., China</w:t>
            </w:r>
          </w:p>
        </w:tc>
      </w:tr>
    </w:tbl>
    <w:p w14:paraId="261ABD17">
      <w:pPr>
        <w:spacing w:line="360" w:lineRule="auto"/>
        <w:ind w:firstLine="480" w:firstLineChars="200"/>
        <w:jc w:val="left"/>
        <w:rPr>
          <w:rFonts w:hint="default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95701E1">
      <w:pPr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bookmarkEnd w:id="0"/>
    <w:p w14:paraId="4761BB74">
      <w:pPr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0E91C14">
      <w:pPr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OLE_LINK1"/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Baseline clinical characteristics of </w:t>
      </w:r>
      <w:bookmarkStart w:id="2" w:name="OLE_LINK2"/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PNAC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and control groups</w:t>
      </w:r>
      <w:bookmarkEnd w:id="2"/>
    </w:p>
    <w:bookmarkEnd w:id="1"/>
    <w:tbl>
      <w:tblPr>
        <w:tblStyle w:val="5"/>
        <w:tblW w:w="90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2551"/>
        <w:gridCol w:w="2426"/>
        <w:gridCol w:w="1221"/>
      </w:tblGrid>
      <w:tr w14:paraId="39AD6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625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2FA9DDF">
            <w:pPr>
              <w:jc w:val="center"/>
              <w:rPr>
                <w:rFonts w:eastAsia="黑体"/>
                <w:bCs/>
                <w:color w:val="000000"/>
                <w:sz w:val="21"/>
                <w:szCs w:val="24"/>
              </w:rPr>
            </w:pPr>
            <w:bookmarkStart w:id="3" w:name="OLE_LINK3"/>
          </w:p>
        </w:tc>
        <w:tc>
          <w:tcPr>
            <w:tcW w:w="2330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25AD801">
            <w:pPr>
              <w:jc w:val="center"/>
              <w:rPr>
                <w:rFonts w:eastAsia="宋体"/>
                <w:bCs/>
                <w:color w:val="000000"/>
                <w:sz w:val="21"/>
                <w:szCs w:val="24"/>
              </w:rPr>
            </w:pPr>
            <w:bookmarkStart w:id="4" w:name="OLE_LINK4"/>
            <w:r>
              <w:rPr>
                <w:rFonts w:eastAsia="宋体"/>
                <w:bCs/>
                <w:color w:val="000000"/>
                <w:sz w:val="21"/>
                <w:szCs w:val="24"/>
              </w:rPr>
              <w:t>PNAC</w:t>
            </w:r>
            <w:r>
              <w:rPr>
                <w:rFonts w:hint="eastAsia"/>
                <w:bCs/>
                <w:color w:val="000000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宋体"/>
                <w:bCs/>
                <w:color w:val="000000"/>
                <w:sz w:val="21"/>
                <w:szCs w:val="24"/>
              </w:rPr>
              <w:t>group</w:t>
            </w:r>
            <w:bookmarkEnd w:id="4"/>
            <w:r>
              <w:rPr>
                <w:rFonts w:eastAsia="宋体"/>
                <w:bCs/>
                <w:color w:val="000000"/>
                <w:sz w:val="21"/>
                <w:szCs w:val="24"/>
              </w:rPr>
              <w:t>（n=10）</w:t>
            </w:r>
          </w:p>
        </w:tc>
        <w:tc>
          <w:tcPr>
            <w:tcW w:w="2216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37B5E272">
            <w:pPr>
              <w:jc w:val="center"/>
              <w:rPr>
                <w:rFonts w:eastAsia="宋体"/>
                <w:bCs/>
                <w:color w:val="000000"/>
                <w:sz w:val="21"/>
                <w:szCs w:val="24"/>
              </w:rPr>
            </w:pPr>
            <w:r>
              <w:rPr>
                <w:rFonts w:hint="eastAsia" w:eastAsia="宋体"/>
                <w:bCs/>
                <w:color w:val="000000"/>
                <w:sz w:val="21"/>
                <w:szCs w:val="24"/>
              </w:rPr>
              <w:t>control group</w:t>
            </w:r>
            <w:r>
              <w:rPr>
                <w:rFonts w:eastAsia="宋体"/>
                <w:bCs/>
                <w:color w:val="000000"/>
                <w:sz w:val="21"/>
                <w:szCs w:val="24"/>
              </w:rPr>
              <w:t>（n=10）</w:t>
            </w:r>
          </w:p>
        </w:tc>
        <w:tc>
          <w:tcPr>
            <w:tcW w:w="1115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759983BA">
            <w:pPr>
              <w:jc w:val="center"/>
              <w:rPr>
                <w:rFonts w:eastAsia="宋体"/>
                <w:bCs/>
                <w:color w:val="000000"/>
                <w:sz w:val="21"/>
                <w:szCs w:val="24"/>
              </w:rPr>
            </w:pPr>
            <w:r>
              <w:rPr>
                <w:rFonts w:eastAsia="宋体"/>
                <w:bCs/>
                <w:i/>
                <w:iCs w:val="0"/>
                <w:color w:val="000000"/>
                <w:sz w:val="21"/>
                <w:szCs w:val="24"/>
              </w:rPr>
              <w:t>P</w:t>
            </w:r>
          </w:p>
        </w:tc>
      </w:tr>
      <w:tr w14:paraId="7120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5" w:type="dxa"/>
            <w:tcBorders>
              <w:top w:val="single" w:color="auto" w:sz="6" w:space="0"/>
            </w:tcBorders>
            <w:vAlign w:val="center"/>
          </w:tcPr>
          <w:p w14:paraId="7B24AF93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sz w:val="21"/>
                <w:szCs w:val="24"/>
                <w:lang w:bidi="ar"/>
              </w:rPr>
              <w:t>Gestational age (week)</w:t>
            </w:r>
          </w:p>
        </w:tc>
        <w:tc>
          <w:tcPr>
            <w:tcW w:w="2330" w:type="dxa"/>
            <w:tcBorders>
              <w:top w:val="single" w:color="auto" w:sz="6" w:space="0"/>
            </w:tcBorders>
            <w:vAlign w:val="center"/>
          </w:tcPr>
          <w:p w14:paraId="4A14B783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30.01±3.89</w:t>
            </w:r>
          </w:p>
        </w:tc>
        <w:tc>
          <w:tcPr>
            <w:tcW w:w="2216" w:type="dxa"/>
            <w:tcBorders>
              <w:top w:val="single" w:color="auto" w:sz="6" w:space="0"/>
            </w:tcBorders>
            <w:vAlign w:val="center"/>
          </w:tcPr>
          <w:p w14:paraId="41E785DE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30.41±3.24</w:t>
            </w:r>
          </w:p>
        </w:tc>
        <w:tc>
          <w:tcPr>
            <w:tcW w:w="1115" w:type="dxa"/>
            <w:tcBorders>
              <w:top w:val="single" w:color="auto" w:sz="6" w:space="0"/>
            </w:tcBorders>
            <w:vAlign w:val="center"/>
          </w:tcPr>
          <w:p w14:paraId="0011FC8B">
            <w:pPr>
              <w:jc w:val="center"/>
              <w:rPr>
                <w:rFonts w:hint="default" w:eastAsia="宋体"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1"/>
                <w:szCs w:val="24"/>
                <w:lang w:val="en-US" w:eastAsia="zh-CN" w:bidi="ar"/>
              </w:rPr>
              <w:t>0.63</w:t>
            </w:r>
            <w:r>
              <w:rPr>
                <w:rFonts w:hint="eastAsia"/>
                <w:color w:val="000000"/>
                <w:sz w:val="21"/>
                <w:szCs w:val="24"/>
                <w:lang w:val="en-US" w:eastAsia="zh-CN" w:bidi="ar"/>
              </w:rPr>
              <w:t>0</w:t>
            </w:r>
          </w:p>
        </w:tc>
      </w:tr>
      <w:tr w14:paraId="5ACFB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5" w:type="dxa"/>
            <w:vAlign w:val="center"/>
          </w:tcPr>
          <w:p w14:paraId="07B81071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sz w:val="21"/>
                <w:szCs w:val="24"/>
                <w:lang w:bidi="ar"/>
              </w:rPr>
              <w:t>Birth weight (</w:t>
            </w:r>
            <w:r>
              <w:rPr>
                <w:rFonts w:hint="eastAsia"/>
                <w:color w:val="000000"/>
                <w:sz w:val="21"/>
                <w:szCs w:val="24"/>
                <w:lang w:val="en-US" w:eastAsia="zh-CN" w:bidi="ar"/>
              </w:rPr>
              <w:t>k</w:t>
            </w:r>
            <w:r>
              <w:rPr>
                <w:rFonts w:hint="eastAsia" w:eastAsia="宋体"/>
                <w:color w:val="000000"/>
                <w:sz w:val="21"/>
                <w:szCs w:val="24"/>
                <w:lang w:bidi="ar"/>
              </w:rPr>
              <w:t>g)</w:t>
            </w:r>
          </w:p>
        </w:tc>
        <w:tc>
          <w:tcPr>
            <w:tcW w:w="2330" w:type="dxa"/>
            <w:vAlign w:val="center"/>
          </w:tcPr>
          <w:p w14:paraId="52A30E84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1.31±0.49</w:t>
            </w:r>
          </w:p>
        </w:tc>
        <w:tc>
          <w:tcPr>
            <w:tcW w:w="2216" w:type="dxa"/>
            <w:vAlign w:val="center"/>
          </w:tcPr>
          <w:p w14:paraId="7CEE328A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1.36±0.48</w:t>
            </w:r>
          </w:p>
        </w:tc>
        <w:tc>
          <w:tcPr>
            <w:tcW w:w="1115" w:type="dxa"/>
            <w:vAlign w:val="center"/>
          </w:tcPr>
          <w:p w14:paraId="7B93AAB0">
            <w:pPr>
              <w:jc w:val="center"/>
              <w:rPr>
                <w:rFonts w:hint="default" w:eastAsia="宋体"/>
                <w:i w:val="0"/>
                <w:iCs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/>
                <w:color w:val="000000"/>
                <w:sz w:val="21"/>
                <w:szCs w:val="24"/>
                <w:lang w:val="en-US" w:eastAsia="zh-CN" w:bidi="ar"/>
              </w:rPr>
              <w:t>0.718</w:t>
            </w:r>
          </w:p>
        </w:tc>
      </w:tr>
      <w:tr w14:paraId="037E8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5" w:type="dxa"/>
            <w:vAlign w:val="center"/>
          </w:tcPr>
          <w:p w14:paraId="7F1DCCD3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sz w:val="21"/>
                <w:szCs w:val="24"/>
                <w:lang w:bidi="ar"/>
              </w:rPr>
              <w:t>Gender (male, n%)</w:t>
            </w:r>
          </w:p>
        </w:tc>
        <w:tc>
          <w:tcPr>
            <w:tcW w:w="2330" w:type="dxa"/>
            <w:vAlign w:val="center"/>
          </w:tcPr>
          <w:p w14:paraId="3AFC0C05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8（80%）</w:t>
            </w:r>
          </w:p>
        </w:tc>
        <w:tc>
          <w:tcPr>
            <w:tcW w:w="2216" w:type="dxa"/>
            <w:vAlign w:val="center"/>
          </w:tcPr>
          <w:p w14:paraId="09F68139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7（70.0%）</w:t>
            </w:r>
          </w:p>
        </w:tc>
        <w:tc>
          <w:tcPr>
            <w:tcW w:w="1115" w:type="dxa"/>
            <w:vAlign w:val="center"/>
          </w:tcPr>
          <w:p w14:paraId="29868BC7">
            <w:pPr>
              <w:jc w:val="center"/>
              <w:rPr>
                <w:rFonts w:hint="default" w:eastAsia="宋体"/>
                <w:i w:val="0"/>
                <w:iCs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/>
                <w:color w:val="000000"/>
                <w:sz w:val="21"/>
                <w:szCs w:val="24"/>
                <w:lang w:val="en-US" w:eastAsia="zh-CN" w:bidi="ar"/>
              </w:rPr>
              <w:t>0.606</w:t>
            </w:r>
          </w:p>
        </w:tc>
      </w:tr>
      <w:tr w14:paraId="59912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5" w:type="dxa"/>
            <w:tcBorders>
              <w:bottom w:val="single" w:color="auto" w:sz="8" w:space="0"/>
            </w:tcBorders>
            <w:vAlign w:val="center"/>
          </w:tcPr>
          <w:p w14:paraId="28D30478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sz w:val="21"/>
                <w:szCs w:val="24"/>
                <w:lang w:bidi="ar"/>
              </w:rPr>
              <w:t>duration of PN</w:t>
            </w: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（d</w:t>
            </w:r>
            <w:r>
              <w:rPr>
                <w:rFonts w:hint="eastAsia"/>
                <w:color w:val="000000"/>
                <w:sz w:val="21"/>
                <w:szCs w:val="24"/>
                <w:lang w:val="en-US" w:eastAsia="zh-CN" w:bidi="ar"/>
              </w:rPr>
              <w:t>ay</w:t>
            </w: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）</w:t>
            </w:r>
          </w:p>
        </w:tc>
        <w:tc>
          <w:tcPr>
            <w:tcW w:w="2330" w:type="dxa"/>
            <w:tcBorders>
              <w:bottom w:val="single" w:color="auto" w:sz="8" w:space="0"/>
            </w:tcBorders>
            <w:vAlign w:val="center"/>
          </w:tcPr>
          <w:p w14:paraId="3D54CA75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21.4±5.56</w:t>
            </w:r>
          </w:p>
        </w:tc>
        <w:tc>
          <w:tcPr>
            <w:tcW w:w="2216" w:type="dxa"/>
            <w:tcBorders>
              <w:bottom w:val="single" w:color="auto" w:sz="8" w:space="0"/>
            </w:tcBorders>
            <w:vAlign w:val="center"/>
          </w:tcPr>
          <w:p w14:paraId="6C702596">
            <w:pPr>
              <w:jc w:val="center"/>
              <w:rPr>
                <w:rFonts w:eastAsia="宋体"/>
                <w:color w:val="000000"/>
                <w:sz w:val="21"/>
                <w:szCs w:val="24"/>
                <w:lang w:bidi="ar"/>
              </w:rPr>
            </w:pPr>
            <w:r>
              <w:rPr>
                <w:rFonts w:eastAsia="宋体"/>
                <w:color w:val="000000"/>
                <w:sz w:val="21"/>
                <w:szCs w:val="24"/>
                <w:lang w:bidi="ar"/>
              </w:rPr>
              <w:t>18.1±3.18</w:t>
            </w:r>
          </w:p>
        </w:tc>
        <w:tc>
          <w:tcPr>
            <w:tcW w:w="1115" w:type="dxa"/>
            <w:tcBorders>
              <w:bottom w:val="single" w:color="auto" w:sz="8" w:space="0"/>
            </w:tcBorders>
            <w:vAlign w:val="center"/>
          </w:tcPr>
          <w:p w14:paraId="232D8E13">
            <w:pPr>
              <w:jc w:val="center"/>
              <w:rPr>
                <w:rFonts w:hint="default" w:eastAsia="宋体"/>
                <w:i w:val="0"/>
                <w:iCs/>
                <w:color w:val="000000"/>
                <w:sz w:val="21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/>
                <w:color w:val="000000"/>
                <w:sz w:val="21"/>
                <w:szCs w:val="24"/>
                <w:lang w:val="en-US" w:eastAsia="zh-CN" w:bidi="ar"/>
              </w:rPr>
              <w:t>0.057</w:t>
            </w:r>
          </w:p>
        </w:tc>
      </w:tr>
      <w:bookmarkEnd w:id="3"/>
    </w:tbl>
    <w:p w14:paraId="572D0FA4">
      <w:pPr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1E9795C">
      <w:pPr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5" w:name="_GoBack"/>
      <w:bookmarkEnd w:id="5"/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qRT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-PCR primer sequences used in this study.</w:t>
      </w:r>
    </w:p>
    <w:tbl>
      <w:tblPr>
        <w:tblStyle w:val="6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3672"/>
        <w:gridCol w:w="4104"/>
      </w:tblGrid>
      <w:tr w14:paraId="1BAE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32" w:type="dxa"/>
            <w:tcBorders>
              <w:left w:val="nil"/>
            </w:tcBorders>
          </w:tcPr>
          <w:p w14:paraId="7E1ACD4F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3672" w:type="dxa"/>
          </w:tcPr>
          <w:p w14:paraId="04951ABF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Sequence (5’‐ 3’)（rat）</w:t>
            </w:r>
          </w:p>
        </w:tc>
        <w:tc>
          <w:tcPr>
            <w:tcW w:w="4104" w:type="dxa"/>
            <w:tcBorders>
              <w:right w:val="nil"/>
            </w:tcBorders>
          </w:tcPr>
          <w:p w14:paraId="55DEE217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Sequence (5’‐ 3’)（human）</w:t>
            </w:r>
          </w:p>
        </w:tc>
      </w:tr>
      <w:tr w14:paraId="5722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32" w:type="dxa"/>
            <w:vMerge w:val="restart"/>
            <w:tcBorders>
              <w:left w:val="nil"/>
            </w:tcBorders>
          </w:tcPr>
          <w:p w14:paraId="284C3D3E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Sema7A</w:t>
            </w:r>
          </w:p>
        </w:tc>
        <w:tc>
          <w:tcPr>
            <w:tcW w:w="3672" w:type="dxa"/>
          </w:tcPr>
          <w:p w14:paraId="1B765425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F: 5'TCCCTGGTTCTGTTTGAAGG3'</w:t>
            </w:r>
          </w:p>
        </w:tc>
        <w:tc>
          <w:tcPr>
            <w:tcW w:w="4104" w:type="dxa"/>
            <w:tcBorders>
              <w:right w:val="nil"/>
            </w:tcBorders>
          </w:tcPr>
          <w:p w14:paraId="71CE39C5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F：5'CTCCGCCCAGGGCCACCTAA 3'</w:t>
            </w:r>
          </w:p>
        </w:tc>
      </w:tr>
      <w:tr w14:paraId="4CAF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Merge w:val="continue"/>
            <w:tcBorders>
              <w:left w:val="nil"/>
            </w:tcBorders>
          </w:tcPr>
          <w:p w14:paraId="6DC0A5F3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2" w:type="dxa"/>
          </w:tcPr>
          <w:p w14:paraId="3D3DE718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 5'GGCCTTGATGAACTGTGGAT3'</w:t>
            </w:r>
          </w:p>
        </w:tc>
        <w:tc>
          <w:tcPr>
            <w:tcW w:w="4104" w:type="dxa"/>
            <w:tcBorders>
              <w:right w:val="nil"/>
            </w:tcBorders>
          </w:tcPr>
          <w:p w14:paraId="6923C72A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R：5' ACATGGCCTTTCCAGACGGCG 3'</w:t>
            </w:r>
          </w:p>
        </w:tc>
      </w:tr>
      <w:tr w14:paraId="79EC0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Merge w:val="restart"/>
            <w:tcBorders>
              <w:left w:val="nil"/>
            </w:tcBorders>
          </w:tcPr>
          <w:p w14:paraId="4FE47257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ITGβ1</w:t>
            </w:r>
          </w:p>
        </w:tc>
        <w:tc>
          <w:tcPr>
            <w:tcW w:w="3672" w:type="dxa"/>
          </w:tcPr>
          <w:p w14:paraId="66E5A687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F: 5' GAGGTGGTCCTTCAGTT3'</w:t>
            </w:r>
          </w:p>
        </w:tc>
        <w:tc>
          <w:tcPr>
            <w:tcW w:w="4104" w:type="dxa"/>
            <w:tcBorders>
              <w:right w:val="nil"/>
            </w:tcBorders>
          </w:tcPr>
          <w:p w14:paraId="4AF53590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F：5' TTATTGGCCTTGCATTACTGCT 3'</w:t>
            </w:r>
          </w:p>
        </w:tc>
      </w:tr>
      <w:tr w14:paraId="1F0F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Merge w:val="continue"/>
            <w:tcBorders>
              <w:left w:val="nil"/>
            </w:tcBorders>
          </w:tcPr>
          <w:p w14:paraId="0D23AD4D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2" w:type="dxa"/>
          </w:tcPr>
          <w:p w14:paraId="442BA875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 5' GTGTAGTTGGGATAGCATT3'</w:t>
            </w:r>
          </w:p>
        </w:tc>
        <w:tc>
          <w:tcPr>
            <w:tcW w:w="4104" w:type="dxa"/>
            <w:tcBorders>
              <w:right w:val="nil"/>
            </w:tcBorders>
          </w:tcPr>
          <w:p w14:paraId="2D35C317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R：5' CCACAGTTGTTACGGCACTCT 3'</w:t>
            </w:r>
          </w:p>
        </w:tc>
      </w:tr>
      <w:tr w14:paraId="1ABB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032" w:type="dxa"/>
            <w:vMerge w:val="restart"/>
            <w:tcBorders>
              <w:left w:val="nil"/>
            </w:tcBorders>
          </w:tcPr>
          <w:p w14:paraId="55A30DBE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P65</w:t>
            </w:r>
          </w:p>
        </w:tc>
        <w:tc>
          <w:tcPr>
            <w:tcW w:w="3672" w:type="dxa"/>
          </w:tcPr>
          <w:p w14:paraId="01D195ED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F: 5' TGGCTACCTGGGCATCG3'</w:t>
            </w:r>
          </w:p>
        </w:tc>
        <w:tc>
          <w:tcPr>
            <w:tcW w:w="4104" w:type="dxa"/>
            <w:tcBorders>
              <w:right w:val="nil"/>
            </w:tcBorders>
          </w:tcPr>
          <w:p w14:paraId="10D660B9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F：5' ATCCCATCTTTGACAATCGTGC 3'</w:t>
            </w:r>
          </w:p>
        </w:tc>
      </w:tr>
      <w:tr w14:paraId="3BFF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Merge w:val="continue"/>
            <w:tcBorders>
              <w:left w:val="nil"/>
            </w:tcBorders>
          </w:tcPr>
          <w:p w14:paraId="50FE6797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2" w:type="dxa"/>
          </w:tcPr>
          <w:p w14:paraId="44FB3AD4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 5' CGTAGGGCAACTCATCTTCC3'</w:t>
            </w:r>
          </w:p>
        </w:tc>
        <w:tc>
          <w:tcPr>
            <w:tcW w:w="4104" w:type="dxa"/>
            <w:tcBorders>
              <w:right w:val="nil"/>
            </w:tcBorders>
          </w:tcPr>
          <w:p w14:paraId="3122B2E1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R：5' CTGGTCCCGTGAAATACACCTC 3'</w:t>
            </w:r>
          </w:p>
        </w:tc>
      </w:tr>
      <w:tr w14:paraId="7F41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Merge w:val="restart"/>
            <w:tcBorders>
              <w:left w:val="nil"/>
            </w:tcBorders>
          </w:tcPr>
          <w:p w14:paraId="69792CC2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3672" w:type="dxa"/>
          </w:tcPr>
          <w:p w14:paraId="01E61E2E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 5'GGCCTTCCGTGTTCCTACC3'</w:t>
            </w:r>
          </w:p>
        </w:tc>
        <w:tc>
          <w:tcPr>
            <w:tcW w:w="4104" w:type="dxa"/>
            <w:tcBorders>
              <w:right w:val="nil"/>
            </w:tcBorders>
          </w:tcPr>
          <w:p w14:paraId="58692844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F：5' GCACCGTCAAGGCTGAGAAC 3'</w:t>
            </w:r>
          </w:p>
        </w:tc>
      </w:tr>
      <w:tr w14:paraId="0820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Merge w:val="continue"/>
            <w:tcBorders>
              <w:left w:val="nil"/>
            </w:tcBorders>
          </w:tcPr>
          <w:p w14:paraId="3603FC73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2" w:type="dxa"/>
          </w:tcPr>
          <w:p w14:paraId="21BA7CA3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 5'CGCCTGCTTCACCACCTTC3'</w:t>
            </w:r>
          </w:p>
        </w:tc>
        <w:tc>
          <w:tcPr>
            <w:tcW w:w="4104" w:type="dxa"/>
            <w:tcBorders>
              <w:right w:val="nil"/>
            </w:tcBorders>
          </w:tcPr>
          <w:p w14:paraId="1968C194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R：5' TGGTGAAGACGCCAGTGGA 3'</w:t>
            </w:r>
          </w:p>
        </w:tc>
      </w:tr>
    </w:tbl>
    <w:p w14:paraId="77154E2F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7926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B8C4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BED5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3DBD7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6E9A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F4BC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lZjMwZWNkMDczNzQ4N2RjY2YzZmNlNGRlYjUwYmEifQ=="/>
    <w:docVar w:name="KY_MEDREF_DOCUID" w:val="{950EE9E1-2A9A-47F5-BA93-B887D1F8BEF9}"/>
    <w:docVar w:name="KY_MEDREF_VERSION" w:val="3"/>
  </w:docVars>
  <w:rsids>
    <w:rsidRoot w:val="49C412FB"/>
    <w:rsid w:val="084E6BDB"/>
    <w:rsid w:val="28B959F3"/>
    <w:rsid w:val="2AAF55C4"/>
    <w:rsid w:val="2D916FA4"/>
    <w:rsid w:val="34751E48"/>
    <w:rsid w:val="347E454F"/>
    <w:rsid w:val="3970697B"/>
    <w:rsid w:val="484112A9"/>
    <w:rsid w:val="49C412FB"/>
    <w:rsid w:val="6DFF0E02"/>
    <w:rsid w:val="73F3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8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385</Words>
  <Characters>2564</Characters>
  <Lines>0</Lines>
  <Paragraphs>0</Paragraphs>
  <TotalTime>0</TotalTime>
  <ScaleCrop>false</ScaleCrop>
  <LinksUpToDate>false</LinksUpToDate>
  <CharactersWithSpaces>2815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2024-04-01T01:48:00Z</dcterms:created>
  <dc:creator>安安蕾</dc:creator>
  <cp:lastModifiedBy>安安蕾</cp:lastModifiedBy>
  <dcterms:modified xsi:type="dcterms:W3CDTF">2024-09-24T14:35:45Z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12D631DA9E0B4A7FB3296AB348326CB5_11</vt:lpwstr>
  </property>
</Properties>
</file>