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ascii="Times New Roman" w:hAnsi="Times New Roman" w:eastAsia="Times New Roman" w:cs="Times New Roman"/>
          <w:color w:val="000000"/>
          <w:sz w:val="24"/>
          <w:szCs w:val="24"/>
        </w:rPr>
      </w:pPr>
      <w:bookmarkStart w:id="0" w:name="_Tocan0bfc"/>
      <w:r>
        <w:rPr>
          <w:rFonts w:hint="default" w:ascii="Times New Roman" w:hAnsi="Times New Roman" w:eastAsia="Times New Roman" w:cs="Times New Roman"/>
          <w:color w:val="000000"/>
          <w:sz w:val="24"/>
          <w:szCs w:val="24"/>
        </w:rPr>
        <w:t xml:space="preserve">A meta-study of the microbiome and related dysfunction of the brain reveals </w:t>
      </w:r>
      <w:r>
        <w:rPr>
          <w:rFonts w:hint="default" w:ascii="Times New Roman" w:hAnsi="Times New Roman" w:eastAsia="Times New Roman" w:cs="Times New Roman"/>
          <w:color w:val="000000"/>
          <w:sz w:val="24"/>
          <w:szCs w:val="24"/>
        </w:rPr>
        <w:t>distinct microbial signatures</w:t>
      </w:r>
      <w:r>
        <w:rPr>
          <w:rFonts w:hint="default" w:ascii="Times New Roman" w:hAnsi="Times New Roman" w:eastAsia="Times New Roman" w:cs="Times New Roman"/>
          <w:color w:val="000000"/>
          <w:sz w:val="24"/>
          <w:szCs w:val="24"/>
        </w:rPr>
        <w:t xml:space="preserve"> in the microbiota-gut-brain axis</w:t>
      </w:r>
      <w:bookmarkEnd w:id="0"/>
    </w:p>
    <w:p>
      <w:pPr>
        <w:spacing w:before="120" w:after="120"/>
        <w:jc w:val="center"/>
        <w:rPr>
          <w:rFonts w:hint="default" w:ascii="Times New Roman" w:hAnsi="Times New Roman" w:cs="Times New Roman"/>
          <w:sz w:val="24"/>
          <w:szCs w:val="24"/>
          <w:vertAlign w:val="superscript"/>
        </w:rPr>
      </w:pPr>
      <w:r>
        <w:rPr>
          <w:rFonts w:hint="default" w:ascii="Times New Roman" w:hAnsi="Times New Roman" w:cs="Times New Roman"/>
          <w:sz w:val="24"/>
          <w:szCs w:val="24"/>
        </w:rPr>
        <w:t xml:space="preserve">Yaru Liu </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Shitao Li</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Tiantian Liu</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Penghui Deng</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 Jiyang Dong</w:t>
      </w:r>
      <w:r>
        <w:rPr>
          <w:rFonts w:hint="default" w:ascii="Times New Roman" w:hAnsi="Times New Roman" w:cs="Times New Roman"/>
          <w:sz w:val="24"/>
          <w:szCs w:val="24"/>
          <w:vertAlign w:val="superscript"/>
        </w:rPr>
        <w:t xml:space="preserve"> 1*</w:t>
      </w:r>
      <w:r>
        <w:rPr>
          <w:rFonts w:hint="default" w:ascii="Times New Roman" w:hAnsi="Times New Roman" w:cs="Times New Roman"/>
          <w:sz w:val="24"/>
          <w:szCs w:val="24"/>
        </w:rPr>
        <w:t xml:space="preserve">, Xiangnan Xu </w:t>
      </w:r>
      <w:r>
        <w:rPr>
          <w:rFonts w:hint="default" w:ascii="Times New Roman" w:hAnsi="Times New Roman" w:cs="Times New Roman"/>
          <w:sz w:val="24"/>
          <w:szCs w:val="24"/>
          <w:vertAlign w:val="superscript"/>
        </w:rPr>
        <w:t>4*</w:t>
      </w:r>
    </w:p>
    <w:p>
      <w:pPr>
        <w:spacing w:before="120" w:after="120"/>
        <w:jc w:val="center"/>
        <w:rPr>
          <w:rFonts w:hint="default" w:ascii="Times New Roman" w:hAnsi="Times New Roman" w:cs="Times New Roman"/>
          <w:sz w:val="24"/>
          <w:szCs w:val="24"/>
          <w:vertAlign w:val="superscript"/>
        </w:rPr>
      </w:pPr>
    </w:p>
    <w:p>
      <w:pPr>
        <w:spacing w:before="120" w:after="120"/>
        <w:jc w:val="center"/>
        <w:rPr>
          <w:rFonts w:hint="default" w:ascii="Times New Roman" w:hAnsi="Times New Roman" w:cs="Times New Roman"/>
          <w:sz w:val="24"/>
          <w:szCs w:val="24"/>
          <w:vertAlign w:val="superscript"/>
        </w:rPr>
      </w:pPr>
    </w:p>
    <w:p>
      <w:pPr>
        <w:pStyle w:val="9"/>
        <w:numPr>
          <w:ilvl w:val="0"/>
          <w:numId w:val="1"/>
        </w:numPr>
        <w:ind w:firstLineChars="0"/>
        <w:rPr>
          <w:rFonts w:hint="default" w:ascii="Times New Roman" w:hAnsi="Times New Roman" w:cs="Times New Roman"/>
          <w:sz w:val="24"/>
          <w:szCs w:val="24"/>
        </w:rPr>
      </w:pPr>
      <w:r>
        <w:rPr>
          <w:rFonts w:hint="default" w:ascii="Times New Roman" w:hAnsi="Times New Roman" w:cs="Times New Roman"/>
          <w:sz w:val="24"/>
          <w:szCs w:val="24"/>
        </w:rPr>
        <w:t xml:space="preserve">Department of Electronic Science, </w:t>
      </w:r>
      <w:r>
        <w:rPr>
          <w:rFonts w:hint="default" w:ascii="Times New Roman" w:hAnsi="Times New Roman" w:cs="Times New Roman"/>
          <w:iCs/>
          <w:sz w:val="24"/>
          <w:szCs w:val="24"/>
        </w:rPr>
        <w:t>National Institute for Data Science in Health and Medicine,</w:t>
      </w:r>
      <w:r>
        <w:rPr>
          <w:rFonts w:hint="default" w:ascii="Times New Roman" w:hAnsi="Times New Roman" w:cs="Times New Roman"/>
          <w:sz w:val="24"/>
          <w:szCs w:val="24"/>
        </w:rPr>
        <w:t xml:space="preserve"> Xiamen University, Xiamen 361005, China</w:t>
      </w:r>
    </w:p>
    <w:p>
      <w:pPr>
        <w:pStyle w:val="9"/>
        <w:numPr>
          <w:ilvl w:val="0"/>
          <w:numId w:val="1"/>
        </w:numPr>
        <w:ind w:firstLineChars="0"/>
        <w:rPr>
          <w:rFonts w:hint="default" w:ascii="Times New Roman" w:hAnsi="Times New Roman" w:cs="Times New Roman"/>
          <w:sz w:val="24"/>
          <w:szCs w:val="24"/>
        </w:rPr>
      </w:pPr>
      <w:r>
        <w:rPr>
          <w:rFonts w:hint="default" w:ascii="Times New Roman" w:hAnsi="Times New Roman" w:cs="Times New Roman"/>
          <w:sz w:val="24"/>
          <w:szCs w:val="24"/>
        </w:rPr>
        <w:t>Research Center of Biostatistics and Computational Pharmacy, China Pharmaceutical University, 639 Longmian Dadao, 211198, Jiangsu, China</w:t>
      </w:r>
    </w:p>
    <w:p>
      <w:pPr>
        <w:pStyle w:val="9"/>
        <w:numPr>
          <w:ilvl w:val="0"/>
          <w:numId w:val="1"/>
        </w:numPr>
        <w:ind w:firstLineChars="0"/>
        <w:rPr>
          <w:rFonts w:hint="default" w:ascii="Times New Roman" w:hAnsi="Times New Roman" w:cs="Times New Roman"/>
          <w:sz w:val="24"/>
          <w:szCs w:val="24"/>
        </w:rPr>
      </w:pPr>
      <w:r>
        <w:rPr>
          <w:rFonts w:hint="default" w:ascii="Times New Roman" w:hAnsi="Times New Roman" w:cs="Times New Roman"/>
          <w:sz w:val="24"/>
          <w:szCs w:val="24"/>
        </w:rPr>
        <w:t>Institute of Cell Biology and Neurobiology, Charité-Universitätsmedizin Berlin, Charitéplatz 1, 10117, Berlin, Germany.</w:t>
      </w:r>
    </w:p>
    <w:p>
      <w:pPr>
        <w:pStyle w:val="9"/>
        <w:numPr>
          <w:ilvl w:val="0"/>
          <w:numId w:val="1"/>
        </w:numPr>
        <w:ind w:firstLineChars="0"/>
        <w:rPr>
          <w:rFonts w:hint="default" w:ascii="Times New Roman" w:hAnsi="Times New Roman" w:cs="Times New Roman"/>
          <w:sz w:val="24"/>
          <w:szCs w:val="24"/>
        </w:rPr>
      </w:pPr>
      <w:r>
        <w:rPr>
          <w:rFonts w:hint="default" w:ascii="Times New Roman" w:hAnsi="Times New Roman" w:cs="Times New Roman"/>
          <w:sz w:val="24"/>
          <w:szCs w:val="24"/>
        </w:rPr>
        <w:t>School of Business and Economics, Humboldt-Universitat zu Berlin, Berlin 10099, Germany</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293360" cy="5277485"/>
            <wp:effectExtent l="0" t="0" r="1016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5293360" cy="5277485"/>
                    </a:xfrm>
                    <a:prstGeom prst="rect">
                      <a:avLst/>
                    </a:prstGeom>
                    <a:noFill/>
                    <a:ln>
                      <a:noFill/>
                    </a:ln>
                  </pic:spPr>
                </pic:pic>
              </a:graphicData>
            </a:graphic>
          </wp:inline>
        </w:drawing>
      </w:r>
    </w:p>
    <w:p>
      <w:pPr>
        <w:rPr>
          <w:rFonts w:hint="default" w:ascii="Times New Roman" w:hAnsi="Times New Roman" w:cs="Times New Roman"/>
          <w:lang w:val="en-US" w:eastAsia="zh-CN"/>
        </w:rPr>
      </w:pPr>
      <w:r>
        <w:rPr>
          <w:rFonts w:hint="default" w:ascii="Times New Roman" w:hAnsi="Times New Roman" w:cs="Times New Roman"/>
          <w:lang w:eastAsia="zh-CN"/>
        </w:rPr>
        <w:t xml:space="preserve">Supplementary Figure </w:t>
      </w:r>
      <w:r>
        <w:rPr>
          <w:rFonts w:hint="default" w:ascii="Times New Roman" w:hAnsi="Times New Roman" w:cs="Times New Roman"/>
          <w:lang w:val="en-US" w:eastAsia="zh-CN"/>
        </w:rPr>
        <w:t>1</w:t>
      </w:r>
      <w:r>
        <w:rPr>
          <w:rFonts w:hint="default" w:ascii="Times New Roman" w:hAnsi="Times New Roman" w:cs="Times New Roman"/>
          <w:lang w:val="en-US" w:eastAsia="zh-CN"/>
        </w:rPr>
        <w:t xml:space="preserve">. Meta-analysis of alpha diversity indices in Alzheimer's disease studies. This forest plot illustrates the comparison of 21 alpha diversity measures between AD patients and healthy controls across six independent studies. For each study, effect sizes were calculated using log-generalized odds ratios, which were subsequently combined using a random-effects meta-analysis model. The vertical line at zero represents no difference between AD and control groups. Points to the left of this line indicate higher values in controls, while points to the right suggest higher values in AD patients. The size of each point corresponds to the weight assigned to that study in the meta-analysis, with larger points having greater influence on the pooled estimate. </w:t>
      </w: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5175250" cy="6110605"/>
            <wp:effectExtent l="0" t="0" r="635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5175250" cy="6110605"/>
                    </a:xfrm>
                    <a:prstGeom prst="rect">
                      <a:avLst/>
                    </a:prstGeom>
                    <a:noFill/>
                    <a:ln>
                      <a:noFill/>
                    </a:ln>
                  </pic:spPr>
                </pic:pic>
              </a:graphicData>
            </a:graphic>
          </wp:inline>
        </w:drawing>
      </w: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Supplementary Figure </w:t>
      </w:r>
      <w:r>
        <w:rPr>
          <w:rFonts w:hint="default" w:ascii="Times New Roman" w:hAnsi="Times New Roman" w:cs="Times New Roman"/>
          <w:lang w:val="en-US" w:eastAsia="zh-CN"/>
        </w:rPr>
        <w:t>2</w:t>
      </w:r>
      <w:r>
        <w:rPr>
          <w:rFonts w:hint="default" w:ascii="Times New Roman" w:hAnsi="Times New Roman" w:cs="Times New Roman"/>
          <w:lang w:val="en-US" w:eastAsia="zh-CN"/>
        </w:rPr>
        <w:t>. Meta-analysis of alpha diversity indices in Parkinson's disease studies.</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5172710" cy="6133465"/>
            <wp:effectExtent l="0" t="0" r="889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5172710" cy="6133465"/>
                    </a:xfrm>
                    <a:prstGeom prst="rect">
                      <a:avLst/>
                    </a:prstGeom>
                    <a:noFill/>
                    <a:ln>
                      <a:noFill/>
                    </a:ln>
                  </pic:spPr>
                </pic:pic>
              </a:graphicData>
            </a:graphic>
          </wp:inline>
        </w:drawing>
      </w: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Supplementary Figure </w:t>
      </w:r>
      <w:r>
        <w:rPr>
          <w:rFonts w:hint="default" w:ascii="Times New Roman" w:hAnsi="Times New Roman" w:cs="Times New Roman"/>
          <w:lang w:val="en-US" w:eastAsia="zh-CN"/>
        </w:rPr>
        <w:t>3</w:t>
      </w:r>
      <w:r>
        <w:rPr>
          <w:rFonts w:hint="default" w:ascii="Times New Roman" w:hAnsi="Times New Roman" w:cs="Times New Roman"/>
          <w:lang w:val="en-US" w:eastAsia="zh-CN"/>
        </w:rPr>
        <w:t>. Meta-analysis of alpha diversity indices in Autism Spectrum Disorder studies.</w:t>
      </w:r>
    </w:p>
    <w:p>
      <w:pPr>
        <w:rPr>
          <w:rFonts w:hint="default" w:ascii="Times New Roman" w:hAnsi="Times New Roman" w:cs="Times New Roman"/>
        </w:rPr>
      </w:pPr>
      <w:r>
        <w:rPr>
          <w:rFonts w:hint="default" w:ascii="Times New Roman" w:hAnsi="Times New Roman" w:cs="Times New Roman"/>
        </w:rPr>
        <w:drawing>
          <wp:inline distT="0" distB="0" distL="114300" distR="114300">
            <wp:extent cx="8924925" cy="3352800"/>
            <wp:effectExtent l="0" t="0" r="158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a:stretch>
                      <a:fillRect/>
                    </a:stretch>
                  </pic:blipFill>
                  <pic:spPr>
                    <a:xfrm>
                      <a:off x="0" y="0"/>
                      <a:ext cx="8924925" cy="3352800"/>
                    </a:xfrm>
                    <a:prstGeom prst="rect">
                      <a:avLst/>
                    </a:prstGeom>
                    <a:noFill/>
                    <a:ln>
                      <a:noFill/>
                    </a:ln>
                  </pic:spPr>
                </pic:pic>
              </a:graphicData>
            </a:graphic>
          </wp:inline>
        </w:drawing>
      </w: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Supplementary Figure </w:t>
      </w:r>
      <w:r>
        <w:rPr>
          <w:rFonts w:hint="default" w:ascii="Times New Roman" w:hAnsi="Times New Roman" w:cs="Times New Roman"/>
          <w:lang w:val="en-US" w:eastAsia="zh-CN"/>
        </w:rPr>
        <w:t>4</w:t>
      </w:r>
      <w:r>
        <w:rPr>
          <w:rFonts w:hint="default" w:ascii="Times New Roman" w:hAnsi="Times New Roman" w:cs="Times New Roman"/>
          <w:lang w:val="en-US" w:eastAsia="zh-CN"/>
        </w:rPr>
        <w:t>. Microbial co-abundance network in Alzheimer's disease based on the Li dataset. The figure shows the control group's network on the left and the AD group's network on the right. In both networks, each node represents a bacterial genus, with node colors indicating different phyla. The size of each node corresponds to its degree of connectivity within the network. Edges connecting the nodes represent significant co-abundance relationships between genera. Blue edges indicate positive correlations (genera that tend to increase or decrease in abundance together), while red edges represent negative correlations (genera with inverse abundance patterns). The thickness of each edge reflects the strength of the co-abundance relationship.</w:t>
      </w:r>
    </w:p>
    <w:p>
      <w:pPr>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8791575" cy="3419475"/>
            <wp:effectExtent l="0" t="0" r="222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6"/>
                    <a:stretch>
                      <a:fillRect/>
                    </a:stretch>
                  </pic:blipFill>
                  <pic:spPr>
                    <a:xfrm>
                      <a:off x="0" y="0"/>
                      <a:ext cx="8791575" cy="341947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lang w:eastAsia="zh-CN"/>
        </w:rPr>
        <w:t xml:space="preserve">Supplementary Figure </w:t>
      </w:r>
      <w:r>
        <w:rPr>
          <w:rFonts w:hint="default" w:ascii="Times New Roman" w:hAnsi="Times New Roman" w:eastAsia="宋体" w:cs="Times New Roman"/>
          <w:color w:val="000000"/>
          <w:sz w:val="22"/>
          <w:szCs w:val="22"/>
          <w:lang w:val="en-US" w:eastAsia="zh-CN"/>
        </w:rPr>
        <w:t>5</w:t>
      </w:r>
      <w:r>
        <w:rPr>
          <w:rFonts w:hint="default" w:ascii="Times New Roman" w:hAnsi="Times New Roman" w:eastAsia="宋体" w:cs="Times New Roman"/>
          <w:color w:val="000000"/>
          <w:sz w:val="22"/>
          <w:szCs w:val="22"/>
          <w:lang w:eastAsia="zh-CN"/>
        </w:rPr>
        <w:t>. Microbial co-abundance network in Parkinson's disease based on the Scheperjans dataset.</w:t>
      </w: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color w:val="000000"/>
          <w:sz w:val="22"/>
          <w:szCs w:val="22"/>
          <w:lang w:eastAsia="zh-CN"/>
        </w:rPr>
      </w:pPr>
      <w:r>
        <w:rPr>
          <w:rFonts w:hint="default" w:ascii="Times New Roman" w:hAnsi="Times New Roman" w:cs="Times New Roman"/>
        </w:rPr>
        <w:drawing>
          <wp:inline distT="0" distB="0" distL="114300" distR="114300">
            <wp:extent cx="8915400" cy="3457575"/>
            <wp:effectExtent l="0" t="0" r="0" b="222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7"/>
                    <a:stretch>
                      <a:fillRect/>
                    </a:stretch>
                  </pic:blipFill>
                  <pic:spPr>
                    <a:xfrm>
                      <a:off x="0" y="0"/>
                      <a:ext cx="8915400" cy="345757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lang w:eastAsia="zh-CN"/>
        </w:rPr>
        <w:t xml:space="preserve">Supplementary Figure </w:t>
      </w:r>
      <w:r>
        <w:rPr>
          <w:rFonts w:hint="default" w:ascii="Times New Roman" w:hAnsi="Times New Roman" w:eastAsia="宋体" w:cs="Times New Roman"/>
          <w:color w:val="000000"/>
          <w:sz w:val="22"/>
          <w:szCs w:val="22"/>
          <w:lang w:val="en-US" w:eastAsia="zh-CN"/>
        </w:rPr>
        <w:t>6</w:t>
      </w:r>
      <w:r>
        <w:rPr>
          <w:rFonts w:hint="default" w:ascii="Times New Roman" w:hAnsi="Times New Roman" w:eastAsia="宋体" w:cs="Times New Roman"/>
          <w:color w:val="000000"/>
          <w:sz w:val="22"/>
          <w:szCs w:val="22"/>
          <w:lang w:eastAsia="zh-CN"/>
        </w:rPr>
        <w:t>. Microbial co-abundance network in Autism Spectrum Disorder based on the Averina dataset.</w:t>
      </w:r>
    </w:p>
    <w:p>
      <w:pPr>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lang w:eastAsia="zh-CN"/>
        </w:rPr>
        <w:br w:type="page"/>
      </w:r>
    </w:p>
    <w:p>
      <w:pPr>
        <w:rPr>
          <w:rFonts w:hint="default" w:ascii="Times New Roman" w:hAnsi="Times New Roman" w:eastAsia="宋体" w:cs="Times New Roman"/>
          <w:color w:val="000000"/>
          <w:sz w:val="22"/>
          <w:szCs w:val="22"/>
          <w:lang w:eastAsia="zh-CN"/>
        </w:rPr>
      </w:pPr>
      <w:r>
        <w:rPr>
          <w:rFonts w:hint="default" w:ascii="Times New Roman" w:hAnsi="Times New Roman" w:cs="Times New Roman"/>
          <w:lang w:eastAsia="zh-CN"/>
        </w:rPr>
        <w:t xml:space="preserve">Supplementary Table 1. Overview of microbiome datasets for Alzheimer's disease (AD), Parkinson's disease (PD), and Autism Spectrum Disorder (ASD). The table provides details on each study, including authors, Digital Object Identifier (DOI), project number (PRJ), disease investigated, sequencing method (targeted or shotgun), country of origin, publication year, and number of sequencing runs. </w:t>
      </w:r>
      <w:bookmarkStart w:id="1" w:name="_GoBack"/>
      <w:bookmarkEnd w:id="1"/>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6049"/>
        <w:gridCol w:w="1581"/>
        <w:gridCol w:w="1009"/>
        <w:gridCol w:w="1152"/>
        <w:gridCol w:w="1441"/>
        <w:gridCol w:w="719"/>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Study</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DOI</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Disease</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Targeted</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National</w:t>
            </w:r>
          </w:p>
        </w:tc>
        <w:tc>
          <w:tcPr>
            <w:tcW w:w="246"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Year</w:t>
            </w:r>
          </w:p>
        </w:tc>
        <w:tc>
          <w:tcPr>
            <w:tcW w:w="27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Runs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Vogt</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https://doi.org/10.1038/s41598-017-13601-y</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PRJEB51982</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USA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2022</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Li</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https://doi.org/10.1016/j.jalz.2019.07.002</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PRJNA489760</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2018</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708" w:type="pct"/>
            <w:gridSpan w:val="2"/>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Third Military Medical University(TMMU)</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PRJNA554111</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Ling</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https://doi.org/10.3389/fcell.2020.634069</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PRJNA633959</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Kaiyrlykyzy</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https://doi.org/10.1038/s41598-022-19393-0</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PRJNA811324</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Kazakhstan</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708" w:type="pct"/>
            <w:gridSpan w:val="2"/>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University of British Columbia(UBC)</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PRJNA770746</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Canada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Aho</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https://doi.org/10.1016/j.ebiom.2019.05.064</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PRJEB27564</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Finland</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Scheperjans</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https://doi.org/10.1002/mds.26069</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PRJEB4927</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V1-V3</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Finland</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2014</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Heintz‐Buschart</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https://doi.org/10.1002/mds.27105</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PRJNA381395</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Germany</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2017</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222222"/>
                <w:sz w:val="24"/>
                <w:szCs w:val="24"/>
                <w:lang w:eastAsia="zh-CN"/>
              </w:rPr>
            </w:pPr>
            <w:r>
              <w:rPr>
                <w:rFonts w:hint="default" w:ascii="Times New Roman" w:hAnsi="Times New Roman" w:eastAsia="宋体" w:cs="Times New Roman"/>
                <w:color w:val="222222"/>
                <w:sz w:val="24"/>
                <w:szCs w:val="24"/>
                <w:lang w:eastAsia="zh-CN"/>
              </w:rPr>
              <w:t>Jin</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https://doi.org/10.3389/fnins.2019.01184</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PRJEB588834</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222222"/>
                <w:sz w:val="24"/>
                <w:szCs w:val="24"/>
                <w:lang w:eastAsia="zh-CN"/>
              </w:rPr>
            </w:pPr>
            <w:r>
              <w:rPr>
                <w:rFonts w:hint="default" w:ascii="Times New Roman" w:hAnsi="Times New Roman" w:eastAsia="宋体" w:cs="Times New Roman"/>
                <w:color w:val="222222"/>
                <w:sz w:val="24"/>
                <w:szCs w:val="24"/>
                <w:lang w:eastAsia="zh-CN"/>
              </w:rPr>
              <w:t>Weis</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https://doi.org/10.1038/s41531-019-0100-x</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PRJEB30615</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V4-V5</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Germany</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222222"/>
                <w:sz w:val="24"/>
                <w:szCs w:val="24"/>
                <w:lang w:eastAsia="zh-CN"/>
              </w:rPr>
            </w:pPr>
            <w:r>
              <w:rPr>
                <w:rFonts w:hint="default" w:ascii="Times New Roman" w:hAnsi="Times New Roman" w:eastAsia="宋体" w:cs="Times New Roman"/>
                <w:color w:val="222222"/>
                <w:sz w:val="24"/>
                <w:szCs w:val="24"/>
                <w:lang w:eastAsia="zh-CN"/>
              </w:rPr>
              <w:t>Lubomski</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https://doi.org/10.3389/fnagi.2022.881872</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PRJNA808166</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Australia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Wallen1</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https://doi.org/10.1038/s41531-020-0112-6</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PRJNA601994</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USA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Wallen2</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https://doi.org/10.1038/s41531-020-0112-6</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PRJNA601994</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USA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Cao</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https://doi.org/10.3389/fnins.2021.635925</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PRJNA642975</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Pulikkan</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https://doi.org/10.1007/s00248-018-1176-2</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PRJNA355023</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India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2016</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Kang</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https://doi.org/10.1016/j.anaerobe.2017.12.007</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PRJNA533120</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V2-V3</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USA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Kang</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https://doi.org/10.1371/journal.pone.0068322</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PRJNA168470</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V2-V3</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USA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2012</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Dan</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https://doi.org/10.1080/19490976.2020.1747329</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PRJNA453621</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2018</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Zou</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https://doi.org/10.1002/aur.2358</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PRJNA578223</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Ha</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https://doi.org/10.3390/nu13103300</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PRJEB45948</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Korean</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2021</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Chen</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https://doi.org/10.3389/fpsyt.2021.789864</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PRJNA769228</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2021</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Zurita</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https://doi.org/10.1080/19490976.2019.1662260</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PRJEB27306</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Ecuador</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Son</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https://doi.org/10.1371/journal.pone.0137725</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PRJNA282013</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V1-V2</w:t>
            </w:r>
            <w:r>
              <w:rPr>
                <w:rFonts w:hint="default" w:ascii="Times New Roman" w:hAnsi="Times New Roman" w:eastAsia="宋体" w:cs="Times New Roman"/>
                <w:color w:val="000000"/>
                <w:lang w:val="en-US" w:eastAsia="zh-CN"/>
              </w:rPr>
              <w:t xml:space="preserve"> </w:t>
            </w:r>
            <w:r>
              <w:rPr>
                <w:rFonts w:hint="default" w:ascii="Times New Roman" w:hAnsi="Times New Roman" w:eastAsia="宋体" w:cs="Times New Roman"/>
                <w:color w:val="000000"/>
                <w:lang w:eastAsia="zh-CN"/>
              </w:rPr>
              <w:t>&amp;</w:t>
            </w:r>
            <w:r>
              <w:rPr>
                <w:rFonts w:hint="default" w:ascii="Times New Roman" w:hAnsi="Times New Roman" w:eastAsia="宋体" w:cs="Times New Roman"/>
                <w:color w:val="000000"/>
                <w:lang w:val="en-US" w:eastAsia="zh-CN"/>
              </w:rPr>
              <w:t xml:space="preserve"> </w:t>
            </w:r>
            <w:r>
              <w:rPr>
                <w:rFonts w:hint="default" w:ascii="Times New Roman" w:hAnsi="Times New Roman" w:eastAsia="宋体" w:cs="Times New Roman"/>
                <w:color w:val="000000"/>
                <w:lang w:eastAsia="zh-CN"/>
              </w:rPr>
              <w:t>V1V3</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USA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2015</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Huang</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https://doi.org/10.3389/fpsyt.2021.682454</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PRJNA687773</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V4-V5</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Averina</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https://doi.org/10.1099/jmm.0.001178</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PRJNA516054</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Russia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Zhao</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https://doi.org/10.7499/j.issn.1008-8830.2019.07.009</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PRJNA624252</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V3-V4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2020</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3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Ding</w:t>
            </w:r>
          </w:p>
        </w:tc>
        <w:tc>
          <w:tcPr>
            <w:tcW w:w="2069"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https://doi.org/10.1016/j.jpsychires.2020.06.032</w:t>
            </w:r>
          </w:p>
        </w:tc>
        <w:tc>
          <w:tcPr>
            <w:tcW w:w="541"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PRJNA589343</w:t>
            </w:r>
          </w:p>
        </w:tc>
        <w:tc>
          <w:tcPr>
            <w:tcW w:w="345"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ASD</w:t>
            </w:r>
          </w:p>
        </w:tc>
        <w:tc>
          <w:tcPr>
            <w:tcW w:w="394"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V4</w:t>
            </w:r>
          </w:p>
        </w:tc>
        <w:tc>
          <w:tcPr>
            <w:tcW w:w="493" w:type="pct"/>
            <w:shd w:val="clear" w:color="auto" w:fill="auto"/>
            <w:noWrap/>
            <w:vAlign w:val="center"/>
          </w:tcPr>
          <w:p>
            <w:pPr>
              <w:spacing w:after="0" w:line="240" w:lineRule="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China</w:t>
            </w:r>
          </w:p>
        </w:tc>
        <w:tc>
          <w:tcPr>
            <w:tcW w:w="246"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2019</w:t>
            </w:r>
          </w:p>
        </w:tc>
        <w:tc>
          <w:tcPr>
            <w:tcW w:w="273" w:type="pct"/>
            <w:shd w:val="clear" w:color="auto" w:fill="auto"/>
            <w:noWrap/>
            <w:vAlign w:val="center"/>
          </w:tcPr>
          <w:p>
            <w:pPr>
              <w:spacing w:after="0" w:line="240" w:lineRule="auto"/>
              <w:jc w:val="right"/>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127</w:t>
            </w:r>
          </w:p>
        </w:tc>
      </w:tr>
    </w:tbl>
    <w:p>
      <w:pPr>
        <w:rPr>
          <w:rFonts w:hint="default" w:ascii="Times New Roman" w:hAnsi="Times New Roman" w:cs="Times New Roman"/>
          <w:lang w:eastAsia="zh-CN"/>
        </w:rPr>
      </w:pPr>
    </w:p>
    <w:sectPr>
      <w:headerReference r:id="rId7" w:type="first"/>
      <w:footerReference r:id="rId10" w:type="first"/>
      <w:headerReference r:id="rId5" w:type="default"/>
      <w:footerReference r:id="rId8" w:type="default"/>
      <w:headerReference r:id="rId6" w:type="even"/>
      <w:footerReference r:id="rId9" w:type="even"/>
      <w:pgSz w:w="15840" w:h="12240" w:orient="landscape"/>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norHAnsi">
    <w:altName w:val="Cambria"/>
    <w:panose1 w:val="00000000000000000000"/>
    <w:charset w:val="00"/>
    <w:family w:val="roman"/>
    <w:pitch w:val="default"/>
    <w:sig w:usb0="00000000" w:usb1="00000000" w:usb2="00000000" w:usb3="00000000" w:csb0="00000000" w:csb1="00000000"/>
  </w:font>
  <w:font w:name="Calibri Light">
    <w:panose1 w:val="020F0302020204030204"/>
    <w:charset w:val="00"/>
    <w:family w:val="auto"/>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华光中长宋_CNKI">
    <w:panose1 w:val="02000500000000000000"/>
    <w:charset w:val="86"/>
    <w:family w:val="auto"/>
    <w:pitch w:val="default"/>
    <w:sig w:usb0="A00002BF" w:usb1="38CF7CFA" w:usb2="00000016" w:usb3="00000000" w:csb0="0004000F" w:csb1="00000000"/>
  </w:font>
  <w:font w:name="华光中雅_CNKI">
    <w:panose1 w:val="02000500000000000000"/>
    <w:charset w:val="86"/>
    <w:family w:val="auto"/>
    <w:pitch w:val="default"/>
    <w:sig w:usb0="800002BF" w:usb1="18CF7CF8" w:usb2="00000036" w:usb3="00000000" w:csb0="0004000F" w:csb1="00000000"/>
  </w:font>
  <w:font w:name="华光书宋一_CNKI">
    <w:panose1 w:val="02000500000000000000"/>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2823C4"/>
    <w:multiLevelType w:val="multilevel"/>
    <w:tmpl w:val="5D2823C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removePersonalInformation/>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wYTNjZmFlMmQ3ZmZjMTMwNzczZDNmZTM1ZWE4MGEifQ=="/>
  </w:docVars>
  <w:rsids>
    <w:rsidRoot w:val="00562611"/>
    <w:rsid w:val="0002598E"/>
    <w:rsid w:val="002741D6"/>
    <w:rsid w:val="00521937"/>
    <w:rsid w:val="0052349C"/>
    <w:rsid w:val="00562611"/>
    <w:rsid w:val="00581E86"/>
    <w:rsid w:val="005D6383"/>
    <w:rsid w:val="00632984"/>
    <w:rsid w:val="006B25B3"/>
    <w:rsid w:val="00A337CD"/>
    <w:rsid w:val="00BE143B"/>
    <w:rsid w:val="00C406B7"/>
    <w:rsid w:val="00CA1E3E"/>
    <w:rsid w:val="00CF492E"/>
    <w:rsid w:val="569B5D88"/>
    <w:rsid w:val="65FE0FE0"/>
    <w:rsid w:val="7BDFE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680"/>
        <w:tab w:val="right" w:pos="9360"/>
      </w:tabs>
      <w:spacing w:after="0" w:line="240" w:lineRule="auto"/>
    </w:pPr>
  </w:style>
  <w:style w:type="paragraph" w:styleId="3">
    <w:name w:val="header"/>
    <w:basedOn w:val="1"/>
    <w:link w:val="7"/>
    <w:unhideWhenUsed/>
    <w:qFormat/>
    <w:uiPriority w:val="99"/>
    <w:pPr>
      <w:tabs>
        <w:tab w:val="center" w:pos="4680"/>
        <w:tab w:val="right" w:pos="9360"/>
      </w:tabs>
      <w:spacing w:after="0" w:line="240" w:lineRule="auto"/>
    </w:pPr>
  </w:style>
  <w:style w:type="paragraph" w:styleId="4">
    <w:name w:val="Title"/>
    <w:basedOn w:val="1"/>
    <w:next w:val="1"/>
    <w:qFormat/>
    <w:uiPriority w:val="10"/>
    <w:pPr>
      <w:widowControl/>
      <w:spacing w:before="0" w:after="0" w:line="408" w:lineRule="auto"/>
      <w:jc w:val="center"/>
      <w:outlineLvl w:val="0"/>
    </w:pPr>
    <w:rPr>
      <w:b/>
      <w:bCs/>
      <w:color w:val="1A1A1A"/>
      <w:sz w:val="48"/>
      <w:szCs w:val="48"/>
    </w:rPr>
  </w:style>
  <w:style w:type="character" w:customStyle="1" w:styleId="7">
    <w:name w:val="页眉 字符"/>
    <w:basedOn w:val="6"/>
    <w:link w:val="3"/>
    <w:qFormat/>
    <w:uiPriority w:val="99"/>
  </w:style>
  <w:style w:type="character" w:customStyle="1" w:styleId="8">
    <w:name w:val="页脚 字符"/>
    <w:basedOn w:val="6"/>
    <w:link w:val="2"/>
    <w:qFormat/>
    <w:uiPriority w:val="99"/>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356</Words>
  <Characters>2035</Characters>
  <Lines>16</Lines>
  <Paragraphs>4</Paragraphs>
  <TotalTime>1</TotalTime>
  <ScaleCrop>false</ScaleCrop>
  <LinksUpToDate>false</LinksUpToDate>
  <CharactersWithSpaces>2387</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2016-12-02T11:32:00Z</dcterms:created>
  <dcterms:modified xsi:type="dcterms:W3CDTF">2024-10-22T10:23:45Z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B5485EF3B36240B5873307686950842A_13</vt:lpwstr>
  </property>
</Properties>
</file>