
<file path=[Content_Types].xml><?xml version="1.0" encoding="utf-8"?>
<Types xmlns="http://schemas.openxmlformats.org/package/2006/content-types">
  <Default Extension="bin" ContentType="application/vnd.openxmlformats-officedocument.oleObject"/>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4B56138" w14:textId="77777777" w:rsidR="006F1AE3" w:rsidRDefault="006F1AE3" w:rsidP="006F1AE3">
      <w:pPr>
        <w:autoSpaceDE w:val="0"/>
        <w:autoSpaceDN w:val="0"/>
        <w:adjustRightInd w:val="0"/>
        <w:spacing w:after="240" w:line="360" w:lineRule="auto"/>
        <w:jc w:val="both"/>
        <w:rPr>
          <w:rFonts w:ascii="Times New Roman" w:hAnsi="Times New Roman" w:cs="Times New Roman"/>
          <w:bCs/>
          <w:sz w:val="24"/>
          <w:szCs w:val="24"/>
        </w:rPr>
      </w:pPr>
      <w:r w:rsidRPr="0006266A">
        <w:rPr>
          <w:rFonts w:ascii="Times New Roman" w:hAnsi="Times New Roman" w:cs="Times New Roman"/>
          <w:b/>
          <w:sz w:val="24"/>
          <w:szCs w:val="24"/>
        </w:rPr>
        <w:t>Table 2</w:t>
      </w:r>
      <w:r>
        <w:rPr>
          <w:rFonts w:ascii="Times New Roman" w:hAnsi="Times New Roman" w:cs="Times New Roman"/>
          <w:bCs/>
          <w:sz w:val="24"/>
          <w:szCs w:val="24"/>
        </w:rPr>
        <w:t>. Literature comparison of CN</w:t>
      </w:r>
      <w:r w:rsidRPr="0006266A">
        <w:rPr>
          <w:rFonts w:ascii="Times New Roman" w:hAnsi="Times New Roman" w:cs="Times New Roman"/>
          <w:bCs/>
          <w:sz w:val="24"/>
          <w:szCs w:val="24"/>
          <w:vertAlign w:val="superscript"/>
        </w:rPr>
        <w:t>-</w:t>
      </w:r>
      <w:r>
        <w:rPr>
          <w:rFonts w:ascii="Times New Roman" w:hAnsi="Times New Roman" w:cs="Times New Roman"/>
          <w:bCs/>
          <w:sz w:val="24"/>
          <w:szCs w:val="24"/>
        </w:rPr>
        <w:t xml:space="preserve"> detection probes</w:t>
      </w:r>
    </w:p>
    <w:tbl>
      <w:tblPr>
        <w:tblStyle w:val="TableGrid"/>
        <w:tblW w:w="9595" w:type="dxa"/>
        <w:tblInd w:w="-162" w:type="dxa"/>
        <w:tblLook w:val="04A0" w:firstRow="1" w:lastRow="0" w:firstColumn="1" w:lastColumn="0" w:noHBand="0" w:noVBand="1"/>
      </w:tblPr>
      <w:tblGrid>
        <w:gridCol w:w="2708"/>
        <w:gridCol w:w="1121"/>
        <w:gridCol w:w="669"/>
        <w:gridCol w:w="581"/>
        <w:gridCol w:w="631"/>
        <w:gridCol w:w="693"/>
        <w:gridCol w:w="1011"/>
        <w:gridCol w:w="1317"/>
        <w:gridCol w:w="864"/>
      </w:tblGrid>
      <w:tr w:rsidR="006F1AE3" w:rsidRPr="00632EDB" w14:paraId="2DAC61F6" w14:textId="77777777" w:rsidTr="00AC3BE7">
        <w:tc>
          <w:tcPr>
            <w:tcW w:w="2708" w:type="dxa"/>
            <w:vAlign w:val="center"/>
          </w:tcPr>
          <w:p w14:paraId="1D5F89CC" w14:textId="77777777" w:rsidR="006F1AE3" w:rsidRPr="00632EDB" w:rsidRDefault="006F1AE3" w:rsidP="00AC3BE7">
            <w:pPr>
              <w:autoSpaceDE w:val="0"/>
              <w:autoSpaceDN w:val="0"/>
              <w:adjustRightInd w:val="0"/>
              <w:spacing w:after="0"/>
              <w:jc w:val="center"/>
              <w:rPr>
                <w:rFonts w:ascii="Times New Roman" w:hAnsi="Times New Roman" w:cs="Times New Roman"/>
                <w:b/>
              </w:rPr>
            </w:pPr>
            <w:r w:rsidRPr="00632EDB">
              <w:rPr>
                <w:rFonts w:ascii="Times New Roman" w:hAnsi="Times New Roman" w:cs="Times New Roman"/>
                <w:b/>
              </w:rPr>
              <w:t>Probe</w:t>
            </w:r>
          </w:p>
        </w:tc>
        <w:tc>
          <w:tcPr>
            <w:tcW w:w="1121" w:type="dxa"/>
            <w:vAlign w:val="center"/>
          </w:tcPr>
          <w:p w14:paraId="75361286" w14:textId="77777777" w:rsidR="006F1AE3" w:rsidRPr="00632EDB" w:rsidRDefault="006F1AE3" w:rsidP="00AC3BE7">
            <w:pPr>
              <w:autoSpaceDE w:val="0"/>
              <w:autoSpaceDN w:val="0"/>
              <w:adjustRightInd w:val="0"/>
              <w:spacing w:after="0"/>
              <w:jc w:val="center"/>
              <w:rPr>
                <w:rFonts w:ascii="Times New Roman" w:hAnsi="Times New Roman" w:cs="Times New Roman"/>
                <w:b/>
              </w:rPr>
            </w:pPr>
            <w:r w:rsidRPr="00632EDB">
              <w:rPr>
                <w:rFonts w:ascii="Times New Roman" w:hAnsi="Times New Roman" w:cs="Times New Roman"/>
                <w:b/>
              </w:rPr>
              <w:t>Methods (Abs/Em)</w:t>
            </w:r>
          </w:p>
        </w:tc>
        <w:tc>
          <w:tcPr>
            <w:tcW w:w="669" w:type="dxa"/>
            <w:vAlign w:val="center"/>
          </w:tcPr>
          <w:p w14:paraId="3671A075" w14:textId="77777777" w:rsidR="006F1AE3" w:rsidRPr="00632EDB" w:rsidRDefault="006F1AE3" w:rsidP="00AC3BE7">
            <w:pPr>
              <w:autoSpaceDE w:val="0"/>
              <w:autoSpaceDN w:val="0"/>
              <w:adjustRightInd w:val="0"/>
              <w:spacing w:after="0"/>
              <w:jc w:val="center"/>
              <w:rPr>
                <w:rFonts w:ascii="Times New Roman" w:hAnsi="Times New Roman" w:cs="Times New Roman"/>
                <w:b/>
              </w:rPr>
            </w:pPr>
            <w:r w:rsidRPr="00632EDB">
              <w:rPr>
                <w:rFonts w:ascii="Times New Roman" w:hAnsi="Times New Roman" w:cs="Times New Roman"/>
                <w:b/>
              </w:rPr>
              <w:t>λ</w:t>
            </w:r>
            <w:r w:rsidRPr="00632EDB">
              <w:rPr>
                <w:rFonts w:ascii="Times New Roman" w:hAnsi="Times New Roman" w:cs="Times New Roman"/>
                <w:b/>
                <w:vertAlign w:val="subscript"/>
              </w:rPr>
              <w:t>abs</w:t>
            </w:r>
            <w:r w:rsidRPr="00632EDB">
              <w:rPr>
                <w:rFonts w:ascii="Times New Roman" w:hAnsi="Times New Roman" w:cs="Times New Roman"/>
                <w:b/>
              </w:rPr>
              <w:t xml:space="preserve"> / λ</w:t>
            </w:r>
            <w:r w:rsidRPr="00632EDB">
              <w:rPr>
                <w:rFonts w:ascii="Times New Roman" w:hAnsi="Times New Roman" w:cs="Times New Roman"/>
                <w:b/>
                <w:vertAlign w:val="subscript"/>
              </w:rPr>
              <w:t>em</w:t>
            </w:r>
            <w:r w:rsidRPr="00632EDB">
              <w:rPr>
                <w:rFonts w:ascii="Times New Roman" w:hAnsi="Times New Roman" w:cs="Times New Roman"/>
                <w:b/>
              </w:rPr>
              <w:t xml:space="preserve"> (nm)</w:t>
            </w:r>
          </w:p>
        </w:tc>
        <w:tc>
          <w:tcPr>
            <w:tcW w:w="581" w:type="dxa"/>
            <w:vAlign w:val="center"/>
          </w:tcPr>
          <w:p w14:paraId="4025730F" w14:textId="77777777" w:rsidR="006F1AE3" w:rsidRPr="00632EDB" w:rsidRDefault="006F1AE3" w:rsidP="00AC3BE7">
            <w:pPr>
              <w:autoSpaceDE w:val="0"/>
              <w:autoSpaceDN w:val="0"/>
              <w:adjustRightInd w:val="0"/>
              <w:spacing w:after="0"/>
              <w:jc w:val="center"/>
              <w:rPr>
                <w:rFonts w:ascii="Times New Roman" w:hAnsi="Times New Roman" w:cs="Times New Roman"/>
                <w:b/>
              </w:rPr>
            </w:pPr>
            <w:r w:rsidRPr="00632EDB">
              <w:rPr>
                <w:rFonts w:ascii="Times New Roman" w:hAnsi="Times New Roman" w:cs="Times New Roman"/>
                <w:b/>
              </w:rPr>
              <w:t>P: CN</w:t>
            </w:r>
            <w:r w:rsidRPr="00632EDB">
              <w:rPr>
                <w:rFonts w:ascii="Times New Roman" w:hAnsi="Times New Roman" w:cs="Times New Roman"/>
                <w:b/>
                <w:vertAlign w:val="superscript"/>
              </w:rPr>
              <w:t>-</w:t>
            </w:r>
          </w:p>
        </w:tc>
        <w:tc>
          <w:tcPr>
            <w:tcW w:w="631" w:type="dxa"/>
            <w:vAlign w:val="center"/>
          </w:tcPr>
          <w:p w14:paraId="77BBD605" w14:textId="77777777" w:rsidR="006F1AE3" w:rsidRPr="00632EDB" w:rsidRDefault="006F1AE3" w:rsidP="00AC3BE7">
            <w:pPr>
              <w:autoSpaceDE w:val="0"/>
              <w:autoSpaceDN w:val="0"/>
              <w:adjustRightInd w:val="0"/>
              <w:spacing w:after="0"/>
              <w:jc w:val="center"/>
              <w:rPr>
                <w:rFonts w:ascii="Times New Roman" w:hAnsi="Times New Roman" w:cs="Times New Roman"/>
                <w:b/>
              </w:rPr>
            </w:pPr>
            <w:r w:rsidRPr="00632EDB">
              <w:rPr>
                <w:rFonts w:ascii="Times New Roman" w:hAnsi="Times New Roman" w:cs="Times New Roman"/>
                <w:b/>
              </w:rPr>
              <w:t>Ka</w:t>
            </w:r>
          </w:p>
          <w:p w14:paraId="7C0E7A45" w14:textId="77777777" w:rsidR="006F1AE3" w:rsidRPr="00632EDB" w:rsidRDefault="006F1AE3" w:rsidP="00AC3BE7">
            <w:pPr>
              <w:autoSpaceDE w:val="0"/>
              <w:autoSpaceDN w:val="0"/>
              <w:adjustRightInd w:val="0"/>
              <w:spacing w:after="0"/>
              <w:jc w:val="center"/>
              <w:rPr>
                <w:rFonts w:ascii="Times New Roman" w:hAnsi="Times New Roman" w:cs="Times New Roman"/>
                <w:b/>
              </w:rPr>
            </w:pPr>
            <w:r w:rsidRPr="00632EDB">
              <w:rPr>
                <w:rFonts w:ascii="Times New Roman" w:hAnsi="Times New Roman" w:cs="Times New Roman"/>
                <w:b/>
              </w:rPr>
              <w:t>(M</w:t>
            </w:r>
            <w:r w:rsidRPr="00632EDB">
              <w:rPr>
                <w:rFonts w:ascii="Times New Roman" w:hAnsi="Times New Roman" w:cs="Times New Roman"/>
                <w:b/>
                <w:vertAlign w:val="superscript"/>
              </w:rPr>
              <w:t>-1/2</w:t>
            </w:r>
            <w:r w:rsidRPr="00632EDB">
              <w:rPr>
                <w:rFonts w:ascii="Times New Roman" w:hAnsi="Times New Roman" w:cs="Times New Roman"/>
                <w:b/>
              </w:rPr>
              <w:t>)</w:t>
            </w:r>
          </w:p>
        </w:tc>
        <w:tc>
          <w:tcPr>
            <w:tcW w:w="693" w:type="dxa"/>
            <w:vAlign w:val="center"/>
          </w:tcPr>
          <w:p w14:paraId="52759E07" w14:textId="77777777" w:rsidR="006F1AE3" w:rsidRPr="00632EDB" w:rsidRDefault="006F1AE3" w:rsidP="00AC3BE7">
            <w:pPr>
              <w:autoSpaceDE w:val="0"/>
              <w:autoSpaceDN w:val="0"/>
              <w:adjustRightInd w:val="0"/>
              <w:spacing w:after="0"/>
              <w:jc w:val="center"/>
              <w:rPr>
                <w:rFonts w:ascii="Times New Roman" w:hAnsi="Times New Roman" w:cs="Times New Roman"/>
                <w:b/>
              </w:rPr>
            </w:pPr>
            <w:r w:rsidRPr="00632EDB">
              <w:rPr>
                <w:rFonts w:ascii="Times New Roman" w:hAnsi="Times New Roman" w:cs="Times New Roman"/>
                <w:b/>
              </w:rPr>
              <w:t>LOD</w:t>
            </w:r>
          </w:p>
        </w:tc>
        <w:tc>
          <w:tcPr>
            <w:tcW w:w="1011" w:type="dxa"/>
            <w:vAlign w:val="center"/>
          </w:tcPr>
          <w:p w14:paraId="053C6137" w14:textId="77777777" w:rsidR="006F1AE3" w:rsidRPr="00632EDB" w:rsidRDefault="006F1AE3" w:rsidP="00AC3BE7">
            <w:pPr>
              <w:autoSpaceDE w:val="0"/>
              <w:autoSpaceDN w:val="0"/>
              <w:adjustRightInd w:val="0"/>
              <w:spacing w:after="0"/>
              <w:jc w:val="center"/>
              <w:rPr>
                <w:rFonts w:ascii="Times New Roman" w:hAnsi="Times New Roman" w:cs="Times New Roman"/>
                <w:b/>
              </w:rPr>
            </w:pPr>
            <w:r w:rsidRPr="00632EDB">
              <w:rPr>
                <w:rFonts w:ascii="Times New Roman" w:hAnsi="Times New Roman" w:cs="Times New Roman"/>
                <w:b/>
              </w:rPr>
              <w:t>Medium</w:t>
            </w:r>
          </w:p>
        </w:tc>
        <w:tc>
          <w:tcPr>
            <w:tcW w:w="1317" w:type="dxa"/>
            <w:vAlign w:val="center"/>
          </w:tcPr>
          <w:p w14:paraId="786A3951" w14:textId="77777777" w:rsidR="006F1AE3" w:rsidRPr="00632EDB" w:rsidRDefault="006F1AE3" w:rsidP="00AC3BE7">
            <w:pPr>
              <w:autoSpaceDE w:val="0"/>
              <w:autoSpaceDN w:val="0"/>
              <w:adjustRightInd w:val="0"/>
              <w:spacing w:after="0"/>
              <w:jc w:val="center"/>
              <w:rPr>
                <w:rFonts w:ascii="Times New Roman" w:hAnsi="Times New Roman" w:cs="Times New Roman"/>
                <w:b/>
              </w:rPr>
            </w:pPr>
            <w:r w:rsidRPr="00632EDB">
              <w:rPr>
                <w:rFonts w:ascii="Times New Roman" w:hAnsi="Times New Roman" w:cs="Times New Roman"/>
                <w:b/>
              </w:rPr>
              <w:t>Application</w:t>
            </w:r>
          </w:p>
        </w:tc>
        <w:tc>
          <w:tcPr>
            <w:tcW w:w="864" w:type="dxa"/>
            <w:vAlign w:val="center"/>
          </w:tcPr>
          <w:p w14:paraId="1E25DD6D" w14:textId="77777777" w:rsidR="006F1AE3" w:rsidRPr="00632EDB" w:rsidRDefault="006F1AE3" w:rsidP="00AC3BE7">
            <w:pPr>
              <w:autoSpaceDE w:val="0"/>
              <w:autoSpaceDN w:val="0"/>
              <w:adjustRightInd w:val="0"/>
              <w:spacing w:after="0"/>
              <w:jc w:val="center"/>
              <w:rPr>
                <w:rFonts w:ascii="Times New Roman" w:hAnsi="Times New Roman" w:cs="Times New Roman"/>
                <w:b/>
              </w:rPr>
            </w:pPr>
            <w:r w:rsidRPr="00632EDB">
              <w:rPr>
                <w:rFonts w:ascii="Times New Roman" w:hAnsi="Times New Roman" w:cs="Times New Roman"/>
                <w:b/>
              </w:rPr>
              <w:t>Ref</w:t>
            </w:r>
            <w:r>
              <w:rPr>
                <w:rFonts w:ascii="Times New Roman" w:hAnsi="Times New Roman" w:cs="Times New Roman"/>
                <w:b/>
              </w:rPr>
              <w:t>.</w:t>
            </w:r>
          </w:p>
        </w:tc>
      </w:tr>
      <w:tr w:rsidR="006F1AE3" w:rsidRPr="00632EDB" w14:paraId="7106B2EE" w14:textId="77777777" w:rsidTr="00AC3BE7">
        <w:tc>
          <w:tcPr>
            <w:tcW w:w="2708" w:type="dxa"/>
            <w:vAlign w:val="center"/>
          </w:tcPr>
          <w:p w14:paraId="4936D928" w14:textId="77777777" w:rsidR="006F1AE3" w:rsidRPr="00632EDB" w:rsidRDefault="006F1AE3" w:rsidP="00AC3BE7">
            <w:pPr>
              <w:autoSpaceDE w:val="0"/>
              <w:autoSpaceDN w:val="0"/>
              <w:adjustRightInd w:val="0"/>
              <w:spacing w:after="0"/>
              <w:jc w:val="center"/>
              <w:rPr>
                <w:rFonts w:ascii="Times New Roman" w:hAnsi="Times New Roman" w:cs="Times New Roman"/>
                <w:bCs/>
              </w:rPr>
            </w:pPr>
            <w:r>
              <w:object w:dxaOrig="2364" w:dyaOrig="1846" w14:anchorId="625A464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89.25pt;height:69pt" o:ole="">
                  <v:imagedata r:id="rId4" o:title=""/>
                </v:shape>
                <o:OLEObject Type="Embed" ProgID="ChemDraw.Document.6.0" ShapeID="_x0000_i1025" DrawAspect="Content" ObjectID="_1792922385" r:id="rId5"/>
              </w:object>
            </w:r>
          </w:p>
        </w:tc>
        <w:tc>
          <w:tcPr>
            <w:tcW w:w="1121" w:type="dxa"/>
            <w:vAlign w:val="center"/>
          </w:tcPr>
          <w:p w14:paraId="5835B59C" w14:textId="77777777" w:rsidR="006F1AE3" w:rsidRPr="00632EDB" w:rsidRDefault="006F1AE3" w:rsidP="00AC3BE7">
            <w:pPr>
              <w:autoSpaceDE w:val="0"/>
              <w:autoSpaceDN w:val="0"/>
              <w:adjustRightInd w:val="0"/>
              <w:spacing w:after="0"/>
              <w:jc w:val="center"/>
              <w:rPr>
                <w:rFonts w:ascii="Times New Roman" w:hAnsi="Times New Roman" w:cs="Times New Roman"/>
                <w:bCs/>
              </w:rPr>
            </w:pPr>
            <w:r>
              <w:rPr>
                <w:rFonts w:ascii="Times New Roman" w:hAnsi="Times New Roman" w:cs="Times New Roman"/>
                <w:bCs/>
              </w:rPr>
              <w:t>UV-Vis</w:t>
            </w:r>
          </w:p>
        </w:tc>
        <w:tc>
          <w:tcPr>
            <w:tcW w:w="669" w:type="dxa"/>
            <w:vAlign w:val="center"/>
          </w:tcPr>
          <w:p w14:paraId="1F8518F6" w14:textId="77777777" w:rsidR="006F1AE3" w:rsidRPr="00632EDB" w:rsidRDefault="006F1AE3" w:rsidP="00AC3BE7">
            <w:pPr>
              <w:autoSpaceDE w:val="0"/>
              <w:autoSpaceDN w:val="0"/>
              <w:adjustRightInd w:val="0"/>
              <w:spacing w:after="0"/>
              <w:jc w:val="center"/>
              <w:rPr>
                <w:rFonts w:ascii="Times New Roman" w:hAnsi="Times New Roman" w:cs="Times New Roman"/>
                <w:bCs/>
              </w:rPr>
            </w:pPr>
            <w:r>
              <w:rPr>
                <w:rFonts w:ascii="Times New Roman" w:hAnsi="Times New Roman" w:cs="Times New Roman"/>
                <w:bCs/>
              </w:rPr>
              <w:t>468</w:t>
            </w:r>
          </w:p>
        </w:tc>
        <w:tc>
          <w:tcPr>
            <w:tcW w:w="581" w:type="dxa"/>
            <w:vAlign w:val="center"/>
          </w:tcPr>
          <w:p w14:paraId="501B4F70" w14:textId="77777777" w:rsidR="006F1AE3" w:rsidRPr="00632EDB" w:rsidRDefault="006F1AE3" w:rsidP="00AC3BE7">
            <w:pPr>
              <w:autoSpaceDE w:val="0"/>
              <w:autoSpaceDN w:val="0"/>
              <w:adjustRightInd w:val="0"/>
              <w:spacing w:after="0"/>
              <w:jc w:val="center"/>
              <w:rPr>
                <w:rFonts w:ascii="Times New Roman" w:hAnsi="Times New Roman" w:cs="Times New Roman"/>
                <w:bCs/>
              </w:rPr>
            </w:pPr>
            <w:r>
              <w:rPr>
                <w:rFonts w:ascii="Times New Roman" w:hAnsi="Times New Roman" w:cs="Times New Roman"/>
                <w:bCs/>
              </w:rPr>
              <w:t>1:1</w:t>
            </w:r>
          </w:p>
        </w:tc>
        <w:tc>
          <w:tcPr>
            <w:tcW w:w="631" w:type="dxa"/>
            <w:vAlign w:val="center"/>
          </w:tcPr>
          <w:p w14:paraId="42C34CC3" w14:textId="77777777" w:rsidR="006F1AE3" w:rsidRPr="00632EDB" w:rsidRDefault="006F1AE3" w:rsidP="00AC3BE7">
            <w:pPr>
              <w:autoSpaceDE w:val="0"/>
              <w:autoSpaceDN w:val="0"/>
              <w:adjustRightInd w:val="0"/>
              <w:spacing w:after="0"/>
              <w:jc w:val="center"/>
              <w:rPr>
                <w:rFonts w:ascii="Times New Roman" w:hAnsi="Times New Roman" w:cs="Times New Roman"/>
                <w:bCs/>
              </w:rPr>
            </w:pPr>
            <w:r>
              <w:rPr>
                <w:rFonts w:ascii="Times New Roman" w:hAnsi="Times New Roman" w:cs="Times New Roman"/>
                <w:bCs/>
              </w:rPr>
              <w:t>4.14 ×10</w:t>
            </w:r>
            <w:r w:rsidRPr="006B18E1">
              <w:rPr>
                <w:rFonts w:ascii="Times New Roman" w:hAnsi="Times New Roman" w:cs="Times New Roman"/>
                <w:bCs/>
                <w:vertAlign w:val="superscript"/>
              </w:rPr>
              <w:t>6</w:t>
            </w:r>
          </w:p>
        </w:tc>
        <w:tc>
          <w:tcPr>
            <w:tcW w:w="693" w:type="dxa"/>
            <w:vAlign w:val="center"/>
          </w:tcPr>
          <w:p w14:paraId="59649CD8" w14:textId="77777777" w:rsidR="006F1AE3" w:rsidRPr="00632EDB" w:rsidRDefault="006F1AE3" w:rsidP="00AC3BE7">
            <w:pPr>
              <w:autoSpaceDE w:val="0"/>
              <w:autoSpaceDN w:val="0"/>
              <w:adjustRightInd w:val="0"/>
              <w:spacing w:after="0"/>
              <w:jc w:val="center"/>
              <w:rPr>
                <w:rFonts w:ascii="Times New Roman" w:hAnsi="Times New Roman" w:cs="Times New Roman"/>
                <w:bCs/>
              </w:rPr>
            </w:pPr>
            <w:r>
              <w:rPr>
                <w:rFonts w:ascii="Times New Roman" w:hAnsi="Times New Roman" w:cs="Times New Roman"/>
                <w:bCs/>
              </w:rPr>
              <w:t>21 µM</w:t>
            </w:r>
          </w:p>
        </w:tc>
        <w:tc>
          <w:tcPr>
            <w:tcW w:w="1011" w:type="dxa"/>
            <w:vAlign w:val="center"/>
          </w:tcPr>
          <w:p w14:paraId="03E1F9AB" w14:textId="77777777" w:rsidR="006F1AE3" w:rsidRPr="00632EDB" w:rsidRDefault="006F1AE3" w:rsidP="00AC3BE7">
            <w:pPr>
              <w:autoSpaceDE w:val="0"/>
              <w:autoSpaceDN w:val="0"/>
              <w:adjustRightInd w:val="0"/>
              <w:spacing w:after="0"/>
              <w:jc w:val="center"/>
              <w:rPr>
                <w:rFonts w:ascii="Times New Roman" w:hAnsi="Times New Roman" w:cs="Times New Roman"/>
                <w:bCs/>
              </w:rPr>
            </w:pPr>
            <w:r>
              <w:rPr>
                <w:rFonts w:ascii="Times New Roman" w:hAnsi="Times New Roman" w:cs="Times New Roman"/>
                <w:bCs/>
              </w:rPr>
              <w:t>CH</w:t>
            </w:r>
            <w:r w:rsidRPr="00265907">
              <w:rPr>
                <w:rFonts w:ascii="Times New Roman" w:hAnsi="Times New Roman" w:cs="Times New Roman"/>
                <w:bCs/>
                <w:vertAlign w:val="subscript"/>
              </w:rPr>
              <w:t>3</w:t>
            </w:r>
            <w:r>
              <w:rPr>
                <w:rFonts w:ascii="Times New Roman" w:hAnsi="Times New Roman" w:cs="Times New Roman"/>
                <w:bCs/>
              </w:rPr>
              <w:t>CN</w:t>
            </w:r>
          </w:p>
        </w:tc>
        <w:tc>
          <w:tcPr>
            <w:tcW w:w="1317" w:type="dxa"/>
            <w:vAlign w:val="center"/>
          </w:tcPr>
          <w:p w14:paraId="0F33B784" w14:textId="77777777" w:rsidR="006F1AE3" w:rsidRPr="00632EDB" w:rsidRDefault="006F1AE3" w:rsidP="00AC3BE7">
            <w:pPr>
              <w:autoSpaceDE w:val="0"/>
              <w:autoSpaceDN w:val="0"/>
              <w:adjustRightInd w:val="0"/>
              <w:spacing w:after="0"/>
              <w:jc w:val="center"/>
              <w:rPr>
                <w:rFonts w:ascii="Times New Roman" w:hAnsi="Times New Roman" w:cs="Times New Roman"/>
                <w:bCs/>
              </w:rPr>
            </w:pPr>
            <w:r>
              <w:rPr>
                <w:rFonts w:ascii="Times New Roman" w:hAnsi="Times New Roman" w:cs="Times New Roman"/>
                <w:bCs/>
              </w:rPr>
              <w:t>Test strip</w:t>
            </w:r>
          </w:p>
        </w:tc>
        <w:tc>
          <w:tcPr>
            <w:tcW w:w="864" w:type="dxa"/>
            <w:vAlign w:val="center"/>
          </w:tcPr>
          <w:p w14:paraId="4E1404BD" w14:textId="77777777" w:rsidR="006F1AE3" w:rsidRPr="00632EDB" w:rsidRDefault="006F1AE3" w:rsidP="00AC3BE7">
            <w:pPr>
              <w:autoSpaceDE w:val="0"/>
              <w:autoSpaceDN w:val="0"/>
              <w:adjustRightInd w:val="0"/>
              <w:spacing w:after="0"/>
              <w:jc w:val="center"/>
              <w:rPr>
                <w:rFonts w:ascii="Times New Roman" w:hAnsi="Times New Roman" w:cs="Times New Roman"/>
                <w:bCs/>
              </w:rPr>
            </w:pPr>
            <w:r>
              <w:rPr>
                <w:rFonts w:ascii="Times New Roman" w:hAnsi="Times New Roman" w:cs="Times New Roman"/>
                <w:bCs/>
              </w:rPr>
              <w:fldChar w:fldCharType="begin" w:fldLock="1"/>
            </w:r>
            <w:r>
              <w:rPr>
                <w:rFonts w:ascii="Times New Roman" w:hAnsi="Times New Roman" w:cs="Times New Roman"/>
                <w:bCs/>
              </w:rPr>
              <w:instrText>ADDIN CSL_CITATION {"citationItems":[{"id":"ITEM-1","itemData":{"DOI":"10.1016/j.molstruc.2024.138082","ISSN":"00222860","abstract":"Cyanide ion is very toxic for both environment and human being, so it is necessary to design a chemosensor for cyanide ion detection. For this purpose, Two novel chemosensors based on 3-hydrazinylquinoxalin-2(1H)-one and aromatic aldehydes were synthesized named as (E)-3-(2-(5-fluoro-2-oxo-1H-indol-3(2H,3aH,7aH)-ylidene)hydrazinyl)quinoxalin-2(1H)-one (HG-1) and (Z)-3-(2-(4-morpholinobenzylidene)hydrazinyl)quinoxalin-2(1H)-one (HG-2) for selective detection of cyanide ion. The structural characterization was done by analytical techniques such as UV/Visible, FTIR, 1HNMR, 13CNMR, EI-MS and UPLC. Further confirmation of chemosensor sensing was done by DFT and TDDFT calculations with B3LYP/6-31G (d, p) method by performing QTAIM, FMO, UV/Vis and global reactivity parameters (GRPs) elucidation. The binding constant was calculated as 4.14 × 106 M−1 and detection limit was calculated as 21 × 10−6 M. In the presence of CN͞ ion, chemosensor HG-1 generated a noticeable color change from light yellow to orange. To build a combinatorial logic circuit gate, the reverse reaction of chemosensor with methanol is useful. Overall results shows that chemosensor HG-1 has greater selectivity for CN͞ ion than HG-2. Test strips were made for CN͞ ion detection.","author":[{"dropping-particle":"","family":"Ghafoor","given":"Hina","non-dropping-particle":"","parse-names":false,"suffix":""},{"dropping-particle":"","family":"Hussain","given":"Ajaz","non-dropping-particle":"","parse-names":false,"suffix":""},{"dropping-particle":"","family":"Hussain","given":"Saghir","non-dropping-particle":"","parse-names":false,"suffix":""},{"dropping-particle":"","family":"Shafiq","given":"Zahid","non-dropping-particle":"","parse-names":false,"suffix":""},{"dropping-particle":"","family":"Mahmood","given":"Khalid","non-dropping-particle":"","parse-names":false,"suffix":""},{"dropping-particle":"","family":"Ahmed","given":"Nadeem","non-dropping-particle":"","parse-names":false,"suffix":""},{"dropping-particle":"","family":"Yar","given":"Muhammad","non-dropping-particle":"","parse-names":false,"suffix":""},{"dropping-particle":"","family":"Ayub","given":"Khurshid","non-dropping-particle":"","parse-names":false,"suffix":""},{"dropping-particle":"","family":"Hao","given":"Xin","non-dropping-particle":"","parse-names":false,"suffix":""},{"dropping-particle":"","family":"Changjin","given":"Zhu","non-dropping-particle":"","parse-names":false,"suffix":""},{"dropping-particle":"","family":"Ali","given":"Asfar","non-dropping-particle":"","parse-names":false,"suffix":""}],"container-title":"Journal of Molecular Structure","id":"ITEM-1","issued":{"date-parts":[["2024"]]},"page":"138082","publisher":"Elsevier","title":"Quinoxaline based Schiff bases: An effective calorimetric chemosensor for cyanide ion detection, application in logic gate and DFT studies","type":"article-journal","volume":"1308"},"uris":["http://www.mendeley.com/documents/?uuid=46760a77-2bbd-4d8d-8569-acdf6a80d942"]}],"mendeley":{"formattedCitation":"[32]","plainTextFormattedCitation":"[32]","previouslyFormattedCitation":"[32]"},"properties":{"noteIndex":0},"schema":"https://github.com/citation-style-language/schema/raw/master/csl-citation.json"}</w:instrText>
            </w:r>
            <w:r>
              <w:rPr>
                <w:rFonts w:ascii="Times New Roman" w:hAnsi="Times New Roman" w:cs="Times New Roman"/>
                <w:bCs/>
              </w:rPr>
              <w:fldChar w:fldCharType="separate"/>
            </w:r>
            <w:r w:rsidRPr="00760468">
              <w:rPr>
                <w:rFonts w:ascii="Times New Roman" w:hAnsi="Times New Roman" w:cs="Times New Roman"/>
                <w:bCs/>
                <w:noProof/>
              </w:rPr>
              <w:t>[32]</w:t>
            </w:r>
            <w:r>
              <w:rPr>
                <w:rFonts w:ascii="Times New Roman" w:hAnsi="Times New Roman" w:cs="Times New Roman"/>
                <w:bCs/>
              </w:rPr>
              <w:fldChar w:fldCharType="end"/>
            </w:r>
          </w:p>
        </w:tc>
      </w:tr>
      <w:tr w:rsidR="006F1AE3" w:rsidRPr="00632EDB" w14:paraId="7A0C26D8" w14:textId="77777777" w:rsidTr="00AC3BE7">
        <w:tc>
          <w:tcPr>
            <w:tcW w:w="2708" w:type="dxa"/>
            <w:vAlign w:val="center"/>
          </w:tcPr>
          <w:p w14:paraId="290B405C" w14:textId="77777777" w:rsidR="006F1AE3" w:rsidRPr="00632EDB" w:rsidRDefault="006F1AE3" w:rsidP="00AC3BE7">
            <w:pPr>
              <w:autoSpaceDE w:val="0"/>
              <w:autoSpaceDN w:val="0"/>
              <w:adjustRightInd w:val="0"/>
              <w:spacing w:after="0"/>
              <w:jc w:val="center"/>
              <w:rPr>
                <w:rFonts w:ascii="Times New Roman" w:hAnsi="Times New Roman" w:cs="Times New Roman"/>
                <w:bCs/>
              </w:rPr>
            </w:pPr>
            <w:r>
              <w:object w:dxaOrig="3130" w:dyaOrig="2131" w14:anchorId="3C48165F">
                <v:shape id="_x0000_i1026" type="#_x0000_t75" style="width:108.75pt;height:75pt" o:ole="">
                  <v:imagedata r:id="rId6" o:title=""/>
                </v:shape>
                <o:OLEObject Type="Embed" ProgID="ChemDraw.Document.6.0" ShapeID="_x0000_i1026" DrawAspect="Content" ObjectID="_1792922386" r:id="rId7"/>
              </w:object>
            </w:r>
          </w:p>
        </w:tc>
        <w:tc>
          <w:tcPr>
            <w:tcW w:w="1121" w:type="dxa"/>
            <w:vAlign w:val="center"/>
          </w:tcPr>
          <w:p w14:paraId="2FB0D27A" w14:textId="77777777" w:rsidR="006F1AE3" w:rsidRPr="00632EDB" w:rsidRDefault="006F1AE3" w:rsidP="00AC3BE7">
            <w:pPr>
              <w:autoSpaceDE w:val="0"/>
              <w:autoSpaceDN w:val="0"/>
              <w:adjustRightInd w:val="0"/>
              <w:spacing w:after="0"/>
              <w:jc w:val="center"/>
              <w:rPr>
                <w:rFonts w:ascii="Times New Roman" w:hAnsi="Times New Roman" w:cs="Times New Roman"/>
                <w:bCs/>
              </w:rPr>
            </w:pPr>
            <w:r>
              <w:rPr>
                <w:rFonts w:ascii="Times New Roman" w:hAnsi="Times New Roman" w:cs="Times New Roman"/>
                <w:bCs/>
              </w:rPr>
              <w:t>UV-Vis</w:t>
            </w:r>
          </w:p>
        </w:tc>
        <w:tc>
          <w:tcPr>
            <w:tcW w:w="669" w:type="dxa"/>
            <w:vAlign w:val="center"/>
          </w:tcPr>
          <w:p w14:paraId="2D876FFB" w14:textId="77777777" w:rsidR="006F1AE3" w:rsidRPr="00632EDB" w:rsidRDefault="006F1AE3" w:rsidP="00AC3BE7">
            <w:pPr>
              <w:autoSpaceDE w:val="0"/>
              <w:autoSpaceDN w:val="0"/>
              <w:adjustRightInd w:val="0"/>
              <w:spacing w:after="0"/>
              <w:jc w:val="center"/>
              <w:rPr>
                <w:rFonts w:ascii="Times New Roman" w:hAnsi="Times New Roman" w:cs="Times New Roman"/>
                <w:bCs/>
              </w:rPr>
            </w:pPr>
            <w:r>
              <w:rPr>
                <w:rFonts w:ascii="Times New Roman" w:hAnsi="Times New Roman" w:cs="Times New Roman"/>
                <w:bCs/>
              </w:rPr>
              <w:t>580</w:t>
            </w:r>
          </w:p>
        </w:tc>
        <w:tc>
          <w:tcPr>
            <w:tcW w:w="581" w:type="dxa"/>
            <w:vAlign w:val="center"/>
          </w:tcPr>
          <w:p w14:paraId="3FDFCBF9" w14:textId="77777777" w:rsidR="006F1AE3" w:rsidRPr="00632EDB" w:rsidRDefault="006F1AE3" w:rsidP="00AC3BE7">
            <w:pPr>
              <w:autoSpaceDE w:val="0"/>
              <w:autoSpaceDN w:val="0"/>
              <w:adjustRightInd w:val="0"/>
              <w:spacing w:after="0"/>
              <w:jc w:val="center"/>
              <w:rPr>
                <w:rFonts w:ascii="Times New Roman" w:hAnsi="Times New Roman" w:cs="Times New Roman"/>
                <w:bCs/>
              </w:rPr>
            </w:pPr>
            <w:r>
              <w:rPr>
                <w:rFonts w:ascii="Times New Roman" w:hAnsi="Times New Roman" w:cs="Times New Roman"/>
                <w:bCs/>
              </w:rPr>
              <w:t>1:1</w:t>
            </w:r>
          </w:p>
        </w:tc>
        <w:tc>
          <w:tcPr>
            <w:tcW w:w="631" w:type="dxa"/>
            <w:vAlign w:val="center"/>
          </w:tcPr>
          <w:p w14:paraId="07A0D67E" w14:textId="77777777" w:rsidR="006F1AE3" w:rsidRPr="00632EDB" w:rsidRDefault="006F1AE3" w:rsidP="00AC3BE7">
            <w:pPr>
              <w:autoSpaceDE w:val="0"/>
              <w:autoSpaceDN w:val="0"/>
              <w:adjustRightInd w:val="0"/>
              <w:spacing w:after="0"/>
              <w:jc w:val="center"/>
              <w:rPr>
                <w:rFonts w:ascii="Times New Roman" w:hAnsi="Times New Roman" w:cs="Times New Roman"/>
                <w:bCs/>
              </w:rPr>
            </w:pPr>
            <w:r>
              <w:rPr>
                <w:rFonts w:ascii="Times New Roman" w:hAnsi="Times New Roman" w:cs="Times New Roman"/>
                <w:bCs/>
              </w:rPr>
              <w:t>2.42 ×10</w:t>
            </w:r>
            <w:r w:rsidRPr="006B18E1">
              <w:rPr>
                <w:rFonts w:ascii="Times New Roman" w:hAnsi="Times New Roman" w:cs="Times New Roman"/>
                <w:bCs/>
                <w:vertAlign w:val="superscript"/>
              </w:rPr>
              <w:t>6</w:t>
            </w:r>
          </w:p>
        </w:tc>
        <w:tc>
          <w:tcPr>
            <w:tcW w:w="693" w:type="dxa"/>
            <w:vAlign w:val="center"/>
          </w:tcPr>
          <w:p w14:paraId="40515ABE" w14:textId="77777777" w:rsidR="006F1AE3" w:rsidRPr="00632EDB" w:rsidRDefault="006F1AE3" w:rsidP="00AC3BE7">
            <w:pPr>
              <w:autoSpaceDE w:val="0"/>
              <w:autoSpaceDN w:val="0"/>
              <w:adjustRightInd w:val="0"/>
              <w:spacing w:after="0"/>
              <w:jc w:val="center"/>
              <w:rPr>
                <w:rFonts w:ascii="Times New Roman" w:hAnsi="Times New Roman" w:cs="Times New Roman"/>
                <w:bCs/>
              </w:rPr>
            </w:pPr>
            <w:r>
              <w:rPr>
                <w:rFonts w:ascii="Times New Roman" w:hAnsi="Times New Roman" w:cs="Times New Roman"/>
                <w:bCs/>
              </w:rPr>
              <w:t>0.54 µM</w:t>
            </w:r>
          </w:p>
        </w:tc>
        <w:tc>
          <w:tcPr>
            <w:tcW w:w="1011" w:type="dxa"/>
            <w:vAlign w:val="center"/>
          </w:tcPr>
          <w:p w14:paraId="0C1302FE" w14:textId="77777777" w:rsidR="006F1AE3" w:rsidRPr="00632EDB" w:rsidRDefault="006F1AE3" w:rsidP="00AC3BE7">
            <w:pPr>
              <w:autoSpaceDE w:val="0"/>
              <w:autoSpaceDN w:val="0"/>
              <w:adjustRightInd w:val="0"/>
              <w:spacing w:after="0"/>
              <w:jc w:val="center"/>
              <w:rPr>
                <w:rFonts w:ascii="Times New Roman" w:hAnsi="Times New Roman" w:cs="Times New Roman"/>
                <w:bCs/>
              </w:rPr>
            </w:pPr>
            <w:r>
              <w:rPr>
                <w:rFonts w:ascii="Times New Roman" w:hAnsi="Times New Roman" w:cs="Times New Roman"/>
                <w:bCs/>
              </w:rPr>
              <w:t>CH</w:t>
            </w:r>
            <w:r w:rsidRPr="000D1734">
              <w:rPr>
                <w:rFonts w:ascii="Times New Roman" w:hAnsi="Times New Roman" w:cs="Times New Roman"/>
                <w:bCs/>
                <w:vertAlign w:val="subscript"/>
              </w:rPr>
              <w:t>3</w:t>
            </w:r>
            <w:r>
              <w:rPr>
                <w:rFonts w:ascii="Times New Roman" w:hAnsi="Times New Roman" w:cs="Times New Roman"/>
                <w:bCs/>
              </w:rPr>
              <w:t>CN</w:t>
            </w:r>
          </w:p>
        </w:tc>
        <w:tc>
          <w:tcPr>
            <w:tcW w:w="1317" w:type="dxa"/>
            <w:vAlign w:val="center"/>
          </w:tcPr>
          <w:p w14:paraId="50668731" w14:textId="77777777" w:rsidR="006F1AE3" w:rsidRPr="00632EDB" w:rsidRDefault="006F1AE3" w:rsidP="00AC3BE7">
            <w:pPr>
              <w:autoSpaceDE w:val="0"/>
              <w:autoSpaceDN w:val="0"/>
              <w:adjustRightInd w:val="0"/>
              <w:spacing w:after="0"/>
              <w:jc w:val="center"/>
              <w:rPr>
                <w:rFonts w:ascii="Times New Roman" w:hAnsi="Times New Roman" w:cs="Times New Roman"/>
                <w:bCs/>
              </w:rPr>
            </w:pPr>
            <w:r w:rsidRPr="00A72A2D">
              <w:rPr>
                <w:rFonts w:ascii="Times New Roman" w:hAnsi="Times New Roman" w:cs="Times New Roman"/>
                <w:bCs/>
              </w:rPr>
              <w:t>Dip-stick</w:t>
            </w:r>
            <w:r>
              <w:rPr>
                <w:rFonts w:ascii="Times New Roman" w:hAnsi="Times New Roman" w:cs="Times New Roman"/>
                <w:bCs/>
              </w:rPr>
              <w:t xml:space="preserve"> &amp; Real sample analysis</w:t>
            </w:r>
          </w:p>
        </w:tc>
        <w:tc>
          <w:tcPr>
            <w:tcW w:w="864" w:type="dxa"/>
            <w:vAlign w:val="center"/>
          </w:tcPr>
          <w:p w14:paraId="085D3021" w14:textId="77777777" w:rsidR="006F1AE3" w:rsidRPr="00632EDB" w:rsidRDefault="006F1AE3" w:rsidP="00AC3BE7">
            <w:pPr>
              <w:autoSpaceDE w:val="0"/>
              <w:autoSpaceDN w:val="0"/>
              <w:adjustRightInd w:val="0"/>
              <w:spacing w:after="0"/>
              <w:jc w:val="center"/>
              <w:rPr>
                <w:rFonts w:ascii="Times New Roman" w:hAnsi="Times New Roman" w:cs="Times New Roman"/>
                <w:bCs/>
              </w:rPr>
            </w:pPr>
            <w:r>
              <w:rPr>
                <w:rFonts w:ascii="Times New Roman" w:hAnsi="Times New Roman" w:cs="Times New Roman"/>
                <w:bCs/>
              </w:rPr>
              <w:fldChar w:fldCharType="begin" w:fldLock="1"/>
            </w:r>
            <w:r>
              <w:rPr>
                <w:rFonts w:ascii="Times New Roman" w:hAnsi="Times New Roman" w:cs="Times New Roman"/>
                <w:bCs/>
              </w:rPr>
              <w:instrText>ADDIN CSL_CITATION {"citationItems":[{"id":"ITEM-1","itemData":{"DOI":"10.1016/j.inoche.2023.111973","ISSN":"13877003","abstract":"A simple, cost-effective, and highly selective colorimetric chemosensor was designed and synthesized (E)-2-(4-chlorophenoxy)-3-((2-(4-nitrophenyl) hydrazono) methyl) quinoline SS-2 from 2-(4-Chlorophenoxy) quinolin-3-carbaldehyde and 4-Nitrophenylhydrazine and confirmed by spectral techniques. The receptor SS-2 was found to exhibit a colorimetric response of the colour change from yellow to blue towards CN− ion, due to de-protonation and intra-ligand charge transfer. The receptor SS-2 interacts with cyanide in a 1:1 stoichiometric manner with a detection limit of 5.39 × 10−7 M. Receptor SS-2 could be recyclable by treatment of Tri fluoro acetic acid. The sensing behaviour of the receptor was further enunciated by computational studies and found to efficiently detect even the trace amounts of cyanide present in food samples such as flax seeds, apple seeds, kidney beans, sprout potatoes, and almond skin. In further SS-2 can be used for practical applications like visible colorimetric test kits such as dipsticks.","author":[{"dropping-particle":"","family":"Sunitha","given":"M. S.","non-dropping-particle":"","parse-names":false,"suffix":""},{"dropping-particle":"","family":"Sarveswari","given":"S.","non-dropping-particle":"","parse-names":false,"suffix":""}],"container-title":"Inorganic Chemistry Communications","id":"ITEM-1","issued":{"date-parts":[["2024"]]},"page":"111973","publisher":"Elsevier","title":"A simple and coast effective quinoline based Schiff's base SS-2 as a colorimetric chemosensor for highly selective detection of cyanide ion in food samples","type":"article-journal","volume":"160"},"uris":["http://www.mendeley.com/documents/?uuid=aa545d15-aa0b-444c-ab4a-98d22e215753"]}],"mendeley":{"formattedCitation":"[33]","plainTextFormattedCitation":"[33]","previouslyFormattedCitation":"[33]"},"properties":{"noteIndex":0},"schema":"https://github.com/citation-style-language/schema/raw/master/csl-citation.json"}</w:instrText>
            </w:r>
            <w:r>
              <w:rPr>
                <w:rFonts w:ascii="Times New Roman" w:hAnsi="Times New Roman" w:cs="Times New Roman"/>
                <w:bCs/>
              </w:rPr>
              <w:fldChar w:fldCharType="separate"/>
            </w:r>
            <w:r w:rsidRPr="00760468">
              <w:rPr>
                <w:rFonts w:ascii="Times New Roman" w:hAnsi="Times New Roman" w:cs="Times New Roman"/>
                <w:bCs/>
                <w:noProof/>
              </w:rPr>
              <w:t>[33]</w:t>
            </w:r>
            <w:r>
              <w:rPr>
                <w:rFonts w:ascii="Times New Roman" w:hAnsi="Times New Roman" w:cs="Times New Roman"/>
                <w:bCs/>
              </w:rPr>
              <w:fldChar w:fldCharType="end"/>
            </w:r>
          </w:p>
        </w:tc>
      </w:tr>
      <w:tr w:rsidR="006F1AE3" w:rsidRPr="00632EDB" w14:paraId="218F2F77" w14:textId="77777777" w:rsidTr="00AC3BE7">
        <w:tc>
          <w:tcPr>
            <w:tcW w:w="2708" w:type="dxa"/>
            <w:vAlign w:val="center"/>
          </w:tcPr>
          <w:p w14:paraId="3F3B29E6" w14:textId="77777777" w:rsidR="006F1AE3" w:rsidRPr="00632EDB" w:rsidRDefault="006F1AE3" w:rsidP="00AC3BE7">
            <w:pPr>
              <w:autoSpaceDE w:val="0"/>
              <w:autoSpaceDN w:val="0"/>
              <w:adjustRightInd w:val="0"/>
              <w:spacing w:after="0"/>
              <w:jc w:val="center"/>
              <w:rPr>
                <w:rFonts w:ascii="Times New Roman" w:hAnsi="Times New Roman" w:cs="Times New Roman"/>
                <w:bCs/>
              </w:rPr>
            </w:pPr>
            <w:r>
              <w:object w:dxaOrig="2813" w:dyaOrig="1515" w14:anchorId="348F13E7">
                <v:shape id="_x0000_i1027" type="#_x0000_t75" style="width:102pt;height:54.75pt" o:ole="">
                  <v:imagedata r:id="rId8" o:title=""/>
                </v:shape>
                <o:OLEObject Type="Embed" ProgID="ChemDraw.Document.6.0" ShapeID="_x0000_i1027" DrawAspect="Content" ObjectID="_1792922387" r:id="rId9"/>
              </w:object>
            </w:r>
          </w:p>
        </w:tc>
        <w:tc>
          <w:tcPr>
            <w:tcW w:w="1121" w:type="dxa"/>
            <w:vAlign w:val="center"/>
          </w:tcPr>
          <w:p w14:paraId="5BC33917" w14:textId="77777777" w:rsidR="006F1AE3" w:rsidRPr="00632EDB" w:rsidRDefault="006F1AE3" w:rsidP="00AC3BE7">
            <w:pPr>
              <w:autoSpaceDE w:val="0"/>
              <w:autoSpaceDN w:val="0"/>
              <w:adjustRightInd w:val="0"/>
              <w:spacing w:after="0"/>
              <w:jc w:val="center"/>
              <w:rPr>
                <w:rFonts w:ascii="Times New Roman" w:hAnsi="Times New Roman" w:cs="Times New Roman"/>
                <w:bCs/>
              </w:rPr>
            </w:pPr>
            <w:r>
              <w:rPr>
                <w:rFonts w:ascii="Times New Roman" w:hAnsi="Times New Roman" w:cs="Times New Roman"/>
                <w:bCs/>
              </w:rPr>
              <w:t>UV-Vis / FL</w:t>
            </w:r>
          </w:p>
        </w:tc>
        <w:tc>
          <w:tcPr>
            <w:tcW w:w="669" w:type="dxa"/>
            <w:vAlign w:val="center"/>
          </w:tcPr>
          <w:p w14:paraId="6B720DB5" w14:textId="77777777" w:rsidR="006F1AE3" w:rsidRPr="00632EDB" w:rsidRDefault="006F1AE3" w:rsidP="00AC3BE7">
            <w:pPr>
              <w:autoSpaceDE w:val="0"/>
              <w:autoSpaceDN w:val="0"/>
              <w:adjustRightInd w:val="0"/>
              <w:spacing w:after="0"/>
              <w:jc w:val="center"/>
              <w:rPr>
                <w:rFonts w:ascii="Times New Roman" w:hAnsi="Times New Roman" w:cs="Times New Roman"/>
                <w:bCs/>
              </w:rPr>
            </w:pPr>
            <w:r>
              <w:rPr>
                <w:rFonts w:ascii="Times New Roman" w:hAnsi="Times New Roman" w:cs="Times New Roman"/>
                <w:bCs/>
              </w:rPr>
              <w:t>431/ 608</w:t>
            </w:r>
          </w:p>
        </w:tc>
        <w:tc>
          <w:tcPr>
            <w:tcW w:w="581" w:type="dxa"/>
            <w:vAlign w:val="center"/>
          </w:tcPr>
          <w:p w14:paraId="1184B73E" w14:textId="77777777" w:rsidR="006F1AE3" w:rsidRPr="00632EDB" w:rsidRDefault="006F1AE3" w:rsidP="00AC3BE7">
            <w:pPr>
              <w:autoSpaceDE w:val="0"/>
              <w:autoSpaceDN w:val="0"/>
              <w:adjustRightInd w:val="0"/>
              <w:spacing w:after="0"/>
              <w:jc w:val="center"/>
              <w:rPr>
                <w:rFonts w:ascii="Times New Roman" w:hAnsi="Times New Roman" w:cs="Times New Roman"/>
                <w:bCs/>
              </w:rPr>
            </w:pPr>
            <w:r>
              <w:rPr>
                <w:rFonts w:ascii="Times New Roman" w:hAnsi="Times New Roman" w:cs="Times New Roman"/>
                <w:bCs/>
              </w:rPr>
              <w:t>1:1</w:t>
            </w:r>
          </w:p>
        </w:tc>
        <w:tc>
          <w:tcPr>
            <w:tcW w:w="631" w:type="dxa"/>
            <w:vAlign w:val="center"/>
          </w:tcPr>
          <w:p w14:paraId="2B767AF3" w14:textId="77777777" w:rsidR="006F1AE3" w:rsidRPr="00632EDB" w:rsidRDefault="006F1AE3" w:rsidP="00AC3BE7">
            <w:pPr>
              <w:autoSpaceDE w:val="0"/>
              <w:autoSpaceDN w:val="0"/>
              <w:adjustRightInd w:val="0"/>
              <w:spacing w:after="0"/>
              <w:jc w:val="center"/>
              <w:rPr>
                <w:rFonts w:ascii="Times New Roman" w:hAnsi="Times New Roman" w:cs="Times New Roman"/>
                <w:bCs/>
              </w:rPr>
            </w:pPr>
            <w:r>
              <w:rPr>
                <w:rFonts w:ascii="Times New Roman" w:hAnsi="Times New Roman" w:cs="Times New Roman"/>
                <w:bCs/>
              </w:rPr>
              <w:t>3.41 ×10</w:t>
            </w:r>
            <w:r w:rsidRPr="004B2F33">
              <w:rPr>
                <w:rFonts w:ascii="Times New Roman" w:hAnsi="Times New Roman" w:cs="Times New Roman"/>
                <w:bCs/>
                <w:vertAlign w:val="superscript"/>
              </w:rPr>
              <w:t>3</w:t>
            </w:r>
          </w:p>
        </w:tc>
        <w:tc>
          <w:tcPr>
            <w:tcW w:w="693" w:type="dxa"/>
            <w:vAlign w:val="center"/>
          </w:tcPr>
          <w:p w14:paraId="7B57834E" w14:textId="77777777" w:rsidR="006F1AE3" w:rsidRPr="00632EDB" w:rsidRDefault="006F1AE3" w:rsidP="00AC3BE7">
            <w:pPr>
              <w:autoSpaceDE w:val="0"/>
              <w:autoSpaceDN w:val="0"/>
              <w:adjustRightInd w:val="0"/>
              <w:spacing w:after="0"/>
              <w:jc w:val="center"/>
              <w:rPr>
                <w:rFonts w:ascii="Times New Roman" w:hAnsi="Times New Roman" w:cs="Times New Roman"/>
                <w:bCs/>
              </w:rPr>
            </w:pPr>
            <w:r>
              <w:rPr>
                <w:rFonts w:ascii="Times New Roman" w:hAnsi="Times New Roman" w:cs="Times New Roman"/>
                <w:bCs/>
              </w:rPr>
              <w:t>6.42 µM/ 87 nM</w:t>
            </w:r>
          </w:p>
        </w:tc>
        <w:tc>
          <w:tcPr>
            <w:tcW w:w="1011" w:type="dxa"/>
            <w:vAlign w:val="center"/>
          </w:tcPr>
          <w:p w14:paraId="67554F07" w14:textId="77777777" w:rsidR="006F1AE3" w:rsidRPr="00632EDB" w:rsidRDefault="006F1AE3" w:rsidP="00AC3BE7">
            <w:pPr>
              <w:autoSpaceDE w:val="0"/>
              <w:autoSpaceDN w:val="0"/>
              <w:adjustRightInd w:val="0"/>
              <w:spacing w:after="0"/>
              <w:jc w:val="center"/>
              <w:rPr>
                <w:rFonts w:ascii="Times New Roman" w:hAnsi="Times New Roman" w:cs="Times New Roman"/>
                <w:bCs/>
              </w:rPr>
            </w:pPr>
            <w:r>
              <w:rPr>
                <w:rFonts w:ascii="Times New Roman" w:hAnsi="Times New Roman" w:cs="Times New Roman"/>
                <w:bCs/>
              </w:rPr>
              <w:t>DMSO</w:t>
            </w:r>
          </w:p>
        </w:tc>
        <w:tc>
          <w:tcPr>
            <w:tcW w:w="1317" w:type="dxa"/>
            <w:vAlign w:val="center"/>
          </w:tcPr>
          <w:p w14:paraId="4EC5BDF2" w14:textId="77777777" w:rsidR="006F1AE3" w:rsidRPr="00632EDB" w:rsidRDefault="006F1AE3" w:rsidP="00AC3BE7">
            <w:pPr>
              <w:autoSpaceDE w:val="0"/>
              <w:autoSpaceDN w:val="0"/>
              <w:adjustRightInd w:val="0"/>
              <w:spacing w:after="0"/>
              <w:jc w:val="center"/>
              <w:rPr>
                <w:rFonts w:ascii="Times New Roman" w:hAnsi="Times New Roman" w:cs="Times New Roman"/>
                <w:bCs/>
              </w:rPr>
            </w:pPr>
            <w:r>
              <w:rPr>
                <w:rFonts w:ascii="Times New Roman" w:hAnsi="Times New Roman" w:cs="Times New Roman"/>
                <w:bCs/>
              </w:rPr>
              <w:t>A549 cell imaging</w:t>
            </w:r>
          </w:p>
        </w:tc>
        <w:tc>
          <w:tcPr>
            <w:tcW w:w="864" w:type="dxa"/>
            <w:vAlign w:val="center"/>
          </w:tcPr>
          <w:p w14:paraId="1314D72A" w14:textId="77777777" w:rsidR="006F1AE3" w:rsidRPr="00632EDB" w:rsidRDefault="006F1AE3" w:rsidP="00AC3BE7">
            <w:pPr>
              <w:autoSpaceDE w:val="0"/>
              <w:autoSpaceDN w:val="0"/>
              <w:adjustRightInd w:val="0"/>
              <w:spacing w:after="0"/>
              <w:jc w:val="center"/>
              <w:rPr>
                <w:rFonts w:ascii="Times New Roman" w:hAnsi="Times New Roman" w:cs="Times New Roman"/>
                <w:bCs/>
              </w:rPr>
            </w:pPr>
            <w:r>
              <w:rPr>
                <w:rFonts w:ascii="Times New Roman" w:hAnsi="Times New Roman" w:cs="Times New Roman"/>
                <w:bCs/>
              </w:rPr>
              <w:fldChar w:fldCharType="begin" w:fldLock="1"/>
            </w:r>
            <w:r>
              <w:rPr>
                <w:rFonts w:ascii="Times New Roman" w:hAnsi="Times New Roman" w:cs="Times New Roman"/>
                <w:bCs/>
              </w:rPr>
              <w:instrText>ADDIN CSL_CITATION {"citationItems":[{"id":"ITEM-1","itemData":{"DOI":"10.1016/j.jphotochem.2023.115213","ISSN":"10106030","abstract":"A phenothiazine-linked pyridine acetonitrile with a cyanoethylene bond PZ-PY has been synthesized by Knoevenagel condensation reaction and characterized by spectroscopic and analytical techniques. The structure of PZ-PY was confirmed through single-crystal X-ray diffraction studies; revealing its monoclinic crystal system with a P21/c space group. The absorption maximum and emission spectrum of the PZ-PY receptor were observed at 431 and 608 nm respectively. Cyanide anion is one of the most prevalent chemicals in the environment, its toxic nature poses a constant threat to human daily life. The PZ-PY receptor's recognition of cyanide ions is associated with remarkable photophysical properties. The binding stoichiometry of PZ-PY-CN- was confirmed by Job's plot, B-H studies, 1H NMR titration, TD-DFT, and ESI-mass spectroscopy. The relatively low limit of detection was determined to be 8.79 × 10 -8 M in a linear range between 0 and 120 µL. PZ-PY receptor exhibits an aggregation-caused quenching (ACQ) nature with the increase in water fraction; it is stable between pH 2 to 11. Moreover, the practical applicability of PZ-PY was investigated through the test strip, solid-state, bioimaging (A547 cell line), detection of cyanide in diverse water samples (tap water, distilled water, and lake water), and food samples (sprouted potatoes, bitter almonds, and cassava).","author":[{"dropping-particle":"","family":"Ilakiyalakshmi","given":"Mohan","non-dropping-particle":"","parse-names":false,"suffix":""},{"dropping-particle":"","family":"Arumugam Napoleon","given":"Ayyakannu","non-dropping-particle":"","parse-names":false,"suffix":""}],"container-title":"Journal of Photochemistry and Photobiology A: Chemistry","id":"ITEM-1","issued":{"date-parts":[["2024"]]},"page":"115213","publisher":"Elsevier","title":"Phenothiazine-derived fluorescent chemosensor: A versatile platform enabling swift cyanide ion detection and its multifaceted utility in paper strips, environmental water, food samples and living cells","type":"article-journal","volume":"447"},"uris":["http://www.mendeley.com/documents/?uuid=4feb8a7b-5299-4577-a36e-ac1d0428e429"]}],"mendeley":{"formattedCitation":"[34]","plainTextFormattedCitation":"[34]","previouslyFormattedCitation":"[34]"},"properties":{"noteIndex":0},"schema":"https://github.com/citation-style-language/schema/raw/master/csl-citation.json"}</w:instrText>
            </w:r>
            <w:r>
              <w:rPr>
                <w:rFonts w:ascii="Times New Roman" w:hAnsi="Times New Roman" w:cs="Times New Roman"/>
                <w:bCs/>
              </w:rPr>
              <w:fldChar w:fldCharType="separate"/>
            </w:r>
            <w:r w:rsidRPr="00760468">
              <w:rPr>
                <w:rFonts w:ascii="Times New Roman" w:hAnsi="Times New Roman" w:cs="Times New Roman"/>
                <w:bCs/>
                <w:noProof/>
              </w:rPr>
              <w:t>[34]</w:t>
            </w:r>
            <w:r>
              <w:rPr>
                <w:rFonts w:ascii="Times New Roman" w:hAnsi="Times New Roman" w:cs="Times New Roman"/>
                <w:bCs/>
              </w:rPr>
              <w:fldChar w:fldCharType="end"/>
            </w:r>
          </w:p>
        </w:tc>
      </w:tr>
      <w:tr w:rsidR="006F1AE3" w:rsidRPr="00632EDB" w14:paraId="098D20BB" w14:textId="77777777" w:rsidTr="00AC3BE7">
        <w:tc>
          <w:tcPr>
            <w:tcW w:w="2708" w:type="dxa"/>
            <w:vAlign w:val="center"/>
          </w:tcPr>
          <w:p w14:paraId="0D1CAD78" w14:textId="77777777" w:rsidR="006F1AE3" w:rsidRDefault="006F1AE3" w:rsidP="00AC3BE7">
            <w:pPr>
              <w:autoSpaceDE w:val="0"/>
              <w:autoSpaceDN w:val="0"/>
              <w:adjustRightInd w:val="0"/>
              <w:spacing w:after="0"/>
              <w:jc w:val="center"/>
            </w:pPr>
            <w:r>
              <w:object w:dxaOrig="3771" w:dyaOrig="1598" w14:anchorId="6FFB5324">
                <v:shape id="_x0000_i1028" type="#_x0000_t75" style="width:123.75pt;height:52.5pt" o:ole="">
                  <v:imagedata r:id="rId10" o:title=""/>
                </v:shape>
                <o:OLEObject Type="Embed" ProgID="ChemDraw.Document.6.0" ShapeID="_x0000_i1028" DrawAspect="Content" ObjectID="_1792922388" r:id="rId11"/>
              </w:object>
            </w:r>
          </w:p>
        </w:tc>
        <w:tc>
          <w:tcPr>
            <w:tcW w:w="1121" w:type="dxa"/>
            <w:vAlign w:val="center"/>
          </w:tcPr>
          <w:p w14:paraId="203781C7" w14:textId="77777777" w:rsidR="006F1AE3" w:rsidRDefault="006F1AE3" w:rsidP="00AC3BE7">
            <w:pPr>
              <w:autoSpaceDE w:val="0"/>
              <w:autoSpaceDN w:val="0"/>
              <w:adjustRightInd w:val="0"/>
              <w:spacing w:after="0"/>
              <w:jc w:val="center"/>
              <w:rPr>
                <w:rFonts w:ascii="Times New Roman" w:hAnsi="Times New Roman" w:cs="Times New Roman"/>
                <w:bCs/>
              </w:rPr>
            </w:pPr>
            <w:r>
              <w:rPr>
                <w:rFonts w:ascii="Times New Roman" w:hAnsi="Times New Roman" w:cs="Times New Roman"/>
                <w:bCs/>
              </w:rPr>
              <w:t xml:space="preserve"> Turn-Off FL</w:t>
            </w:r>
          </w:p>
        </w:tc>
        <w:tc>
          <w:tcPr>
            <w:tcW w:w="669" w:type="dxa"/>
            <w:vAlign w:val="center"/>
          </w:tcPr>
          <w:p w14:paraId="0C7A7714" w14:textId="77777777" w:rsidR="006F1AE3" w:rsidRDefault="006F1AE3" w:rsidP="00AC3BE7">
            <w:pPr>
              <w:autoSpaceDE w:val="0"/>
              <w:autoSpaceDN w:val="0"/>
              <w:adjustRightInd w:val="0"/>
              <w:spacing w:after="0"/>
              <w:jc w:val="center"/>
              <w:rPr>
                <w:rFonts w:ascii="Times New Roman" w:hAnsi="Times New Roman" w:cs="Times New Roman"/>
                <w:bCs/>
              </w:rPr>
            </w:pPr>
            <w:r>
              <w:rPr>
                <w:rFonts w:ascii="Times New Roman" w:hAnsi="Times New Roman" w:cs="Times New Roman"/>
                <w:bCs/>
              </w:rPr>
              <w:t>420/ 488</w:t>
            </w:r>
          </w:p>
        </w:tc>
        <w:tc>
          <w:tcPr>
            <w:tcW w:w="581" w:type="dxa"/>
            <w:vAlign w:val="center"/>
          </w:tcPr>
          <w:p w14:paraId="5136EE31" w14:textId="77777777" w:rsidR="006F1AE3" w:rsidRDefault="006F1AE3" w:rsidP="00AC3BE7">
            <w:pPr>
              <w:autoSpaceDE w:val="0"/>
              <w:autoSpaceDN w:val="0"/>
              <w:adjustRightInd w:val="0"/>
              <w:spacing w:after="0"/>
              <w:jc w:val="center"/>
              <w:rPr>
                <w:rFonts w:ascii="Times New Roman" w:hAnsi="Times New Roman" w:cs="Times New Roman"/>
                <w:bCs/>
              </w:rPr>
            </w:pPr>
            <w:r>
              <w:rPr>
                <w:rFonts w:ascii="Times New Roman" w:hAnsi="Times New Roman" w:cs="Times New Roman"/>
                <w:bCs/>
              </w:rPr>
              <w:t>1:1</w:t>
            </w:r>
          </w:p>
        </w:tc>
        <w:tc>
          <w:tcPr>
            <w:tcW w:w="631" w:type="dxa"/>
            <w:vAlign w:val="center"/>
          </w:tcPr>
          <w:p w14:paraId="435CA2EB" w14:textId="77777777" w:rsidR="006F1AE3" w:rsidRDefault="006F1AE3" w:rsidP="00AC3BE7">
            <w:pPr>
              <w:autoSpaceDE w:val="0"/>
              <w:autoSpaceDN w:val="0"/>
              <w:adjustRightInd w:val="0"/>
              <w:spacing w:after="0"/>
              <w:jc w:val="center"/>
              <w:rPr>
                <w:rFonts w:ascii="Times New Roman" w:hAnsi="Times New Roman" w:cs="Times New Roman"/>
                <w:bCs/>
              </w:rPr>
            </w:pPr>
            <w:r>
              <w:rPr>
                <w:rFonts w:ascii="Times New Roman" w:hAnsi="Times New Roman" w:cs="Times New Roman"/>
                <w:bCs/>
              </w:rPr>
              <w:t>-</w:t>
            </w:r>
          </w:p>
        </w:tc>
        <w:tc>
          <w:tcPr>
            <w:tcW w:w="693" w:type="dxa"/>
            <w:vAlign w:val="center"/>
          </w:tcPr>
          <w:p w14:paraId="53E2F866" w14:textId="77777777" w:rsidR="006F1AE3" w:rsidRDefault="006F1AE3" w:rsidP="00AC3BE7">
            <w:pPr>
              <w:autoSpaceDE w:val="0"/>
              <w:autoSpaceDN w:val="0"/>
              <w:adjustRightInd w:val="0"/>
              <w:spacing w:after="0"/>
              <w:jc w:val="center"/>
              <w:rPr>
                <w:rFonts w:ascii="Times New Roman" w:hAnsi="Times New Roman" w:cs="Times New Roman"/>
                <w:bCs/>
              </w:rPr>
            </w:pPr>
            <w:r>
              <w:rPr>
                <w:rFonts w:ascii="Times New Roman" w:hAnsi="Times New Roman" w:cs="Times New Roman"/>
                <w:bCs/>
              </w:rPr>
              <w:t>0.25 µM</w:t>
            </w:r>
          </w:p>
        </w:tc>
        <w:tc>
          <w:tcPr>
            <w:tcW w:w="1011" w:type="dxa"/>
            <w:vAlign w:val="center"/>
          </w:tcPr>
          <w:p w14:paraId="45603187" w14:textId="77777777" w:rsidR="006F1AE3" w:rsidRDefault="006F1AE3" w:rsidP="00AC3BE7">
            <w:pPr>
              <w:autoSpaceDE w:val="0"/>
              <w:autoSpaceDN w:val="0"/>
              <w:adjustRightInd w:val="0"/>
              <w:spacing w:after="0"/>
              <w:jc w:val="center"/>
              <w:rPr>
                <w:rFonts w:ascii="Times New Roman" w:hAnsi="Times New Roman" w:cs="Times New Roman"/>
                <w:bCs/>
              </w:rPr>
            </w:pPr>
            <w:r>
              <w:rPr>
                <w:rFonts w:ascii="Times New Roman" w:hAnsi="Times New Roman" w:cs="Times New Roman"/>
                <w:bCs/>
              </w:rPr>
              <w:t>DMSO: H</w:t>
            </w:r>
            <w:r w:rsidRPr="005222EA">
              <w:rPr>
                <w:rFonts w:ascii="Times New Roman" w:hAnsi="Times New Roman" w:cs="Times New Roman"/>
                <w:bCs/>
                <w:vertAlign w:val="subscript"/>
              </w:rPr>
              <w:t>2</w:t>
            </w:r>
            <w:r>
              <w:rPr>
                <w:rFonts w:ascii="Times New Roman" w:hAnsi="Times New Roman" w:cs="Times New Roman"/>
                <w:bCs/>
              </w:rPr>
              <w:t>O (8:2, v/v)</w:t>
            </w:r>
          </w:p>
        </w:tc>
        <w:tc>
          <w:tcPr>
            <w:tcW w:w="1317" w:type="dxa"/>
            <w:vAlign w:val="center"/>
          </w:tcPr>
          <w:p w14:paraId="1658E508" w14:textId="77777777" w:rsidR="006F1AE3" w:rsidRDefault="006F1AE3" w:rsidP="00AC3BE7">
            <w:pPr>
              <w:autoSpaceDE w:val="0"/>
              <w:autoSpaceDN w:val="0"/>
              <w:adjustRightInd w:val="0"/>
              <w:spacing w:after="0"/>
              <w:jc w:val="center"/>
              <w:rPr>
                <w:rFonts w:ascii="Times New Roman" w:hAnsi="Times New Roman" w:cs="Times New Roman"/>
                <w:bCs/>
              </w:rPr>
            </w:pPr>
            <w:r>
              <w:rPr>
                <w:rFonts w:ascii="Times New Roman" w:hAnsi="Times New Roman" w:cs="Times New Roman"/>
                <w:bCs/>
              </w:rPr>
              <w:t>Test strip</w:t>
            </w:r>
          </w:p>
        </w:tc>
        <w:tc>
          <w:tcPr>
            <w:tcW w:w="864" w:type="dxa"/>
            <w:vAlign w:val="center"/>
          </w:tcPr>
          <w:p w14:paraId="6B572757" w14:textId="77777777" w:rsidR="006F1AE3" w:rsidRDefault="006F1AE3" w:rsidP="00AC3BE7">
            <w:pPr>
              <w:autoSpaceDE w:val="0"/>
              <w:autoSpaceDN w:val="0"/>
              <w:adjustRightInd w:val="0"/>
              <w:spacing w:after="0"/>
              <w:jc w:val="center"/>
              <w:rPr>
                <w:rFonts w:ascii="Times New Roman" w:hAnsi="Times New Roman" w:cs="Times New Roman"/>
                <w:bCs/>
              </w:rPr>
            </w:pPr>
            <w:r>
              <w:rPr>
                <w:rFonts w:ascii="Times New Roman" w:hAnsi="Times New Roman" w:cs="Times New Roman"/>
                <w:bCs/>
              </w:rPr>
              <w:fldChar w:fldCharType="begin" w:fldLock="1"/>
            </w:r>
            <w:r>
              <w:rPr>
                <w:rFonts w:ascii="Times New Roman" w:hAnsi="Times New Roman" w:cs="Times New Roman"/>
                <w:bCs/>
              </w:rPr>
              <w:instrText>ADDIN CSL_CITATION {"citationItems":[{"id":"ITEM-1","itemData":{"DOI":"10.1016/j.jphotochem.2023.115227","ISSN":"10106030","abstract":"Novel chemosensors, including coumarin hydrazide, were designed and synthesized by a three-step synthesis sequence starting from 7-(diethylamino)-2-oxo-2H-chromene-3-carbohydrazide. General spectroscopic methods (FT-IR, 1H/13C NMR, and HRMS) were used to characterize all produced chemosensors. These chemosensors demonstrate the ability to detect cyanide (CN–) anion by shifting absorption and fluorescence turn-off response in DMSO. The reaction mechanism between the synthesized chemosensors and the CN– anion involves deprotonation and addition processes; as determined by dipole-dipole interactions, reversibility, 1H NMR experiments, and theoretical studies. With limit of detection (LOD) values of 0.25 μM and 0.15 μM for 3a and 3b, respectively, these chemosensors exhibit exceptional detection ability and demonstrate the high effectiveness of their use for CN– anion determination.","author":[{"dropping-particle":"","family":"Bouali","given":"Wiem","non-dropping-particle":"","parse-names":false,"suffix":""},{"dropping-particle":"","family":"Yaman","given":"Müjgan","non-dropping-particle":"","parse-names":false,"suffix":""},{"dropping-particle":"","family":"Seferoğlu","given":"Nurgül","non-dropping-particle":"","parse-names":false,"suffix":""},{"dropping-particle":"","family":"Seferoğlu","given":"Zeynel","non-dropping-particle":"","parse-names":false,"suffix":""}],"container-title":"Journal of Photochemistry and Photobiology A: Chemistry","id":"ITEM-1","issued":{"date-parts":[["2024"]]},"page":"115227","publisher":"Elsevier","title":"Colorimetric and fluorimetric detection of CN– ion using a highly selective and sensitive chemosensor derived from coumarin-hydrazone","type":"article-journal","volume":"448"},"uris":["http://www.mendeley.com/documents/?uuid=1a04ecf4-029e-47b7-b87f-6461b0f44d73"]}],"mendeley":{"formattedCitation":"[35]","plainTextFormattedCitation":"[35]","previouslyFormattedCitation":"[35]"},"properties":{"noteIndex":0},"schema":"https://github.com/citation-style-language/schema/raw/master/csl-citation.json"}</w:instrText>
            </w:r>
            <w:r>
              <w:rPr>
                <w:rFonts w:ascii="Times New Roman" w:hAnsi="Times New Roman" w:cs="Times New Roman"/>
                <w:bCs/>
              </w:rPr>
              <w:fldChar w:fldCharType="separate"/>
            </w:r>
            <w:r w:rsidRPr="00760468">
              <w:rPr>
                <w:rFonts w:ascii="Times New Roman" w:hAnsi="Times New Roman" w:cs="Times New Roman"/>
                <w:bCs/>
                <w:noProof/>
              </w:rPr>
              <w:t>[35]</w:t>
            </w:r>
            <w:r>
              <w:rPr>
                <w:rFonts w:ascii="Times New Roman" w:hAnsi="Times New Roman" w:cs="Times New Roman"/>
                <w:bCs/>
              </w:rPr>
              <w:fldChar w:fldCharType="end"/>
            </w:r>
          </w:p>
        </w:tc>
      </w:tr>
      <w:tr w:rsidR="006F1AE3" w:rsidRPr="00632EDB" w14:paraId="3EB10F92" w14:textId="77777777" w:rsidTr="00AC3BE7">
        <w:tc>
          <w:tcPr>
            <w:tcW w:w="2708" w:type="dxa"/>
            <w:vAlign w:val="center"/>
          </w:tcPr>
          <w:p w14:paraId="062D5D9C" w14:textId="77777777" w:rsidR="006F1AE3" w:rsidRDefault="006F1AE3" w:rsidP="00AC3BE7">
            <w:pPr>
              <w:autoSpaceDE w:val="0"/>
              <w:autoSpaceDN w:val="0"/>
              <w:adjustRightInd w:val="0"/>
              <w:spacing w:after="0"/>
              <w:jc w:val="center"/>
            </w:pPr>
            <w:r>
              <w:object w:dxaOrig="3216" w:dyaOrig="1915" w14:anchorId="17B17E32">
                <v:shape id="_x0000_i1029" type="#_x0000_t75" style="width:115.5pt;height:69pt" o:ole="">
                  <v:imagedata r:id="rId12" o:title=""/>
                </v:shape>
                <o:OLEObject Type="Embed" ProgID="ChemDraw.Document.6.0" ShapeID="_x0000_i1029" DrawAspect="Content" ObjectID="_1792922389" r:id="rId13"/>
              </w:object>
            </w:r>
          </w:p>
        </w:tc>
        <w:tc>
          <w:tcPr>
            <w:tcW w:w="1121" w:type="dxa"/>
            <w:vAlign w:val="center"/>
          </w:tcPr>
          <w:p w14:paraId="156CDB94" w14:textId="77777777" w:rsidR="006F1AE3" w:rsidRDefault="006F1AE3" w:rsidP="00AC3BE7">
            <w:pPr>
              <w:autoSpaceDE w:val="0"/>
              <w:autoSpaceDN w:val="0"/>
              <w:adjustRightInd w:val="0"/>
              <w:spacing w:after="0"/>
              <w:jc w:val="center"/>
              <w:rPr>
                <w:rFonts w:ascii="Times New Roman" w:hAnsi="Times New Roman" w:cs="Times New Roman"/>
                <w:bCs/>
              </w:rPr>
            </w:pPr>
            <w:r>
              <w:rPr>
                <w:rFonts w:ascii="Times New Roman" w:hAnsi="Times New Roman" w:cs="Times New Roman"/>
                <w:bCs/>
              </w:rPr>
              <w:t>Turn-Off FL</w:t>
            </w:r>
          </w:p>
        </w:tc>
        <w:tc>
          <w:tcPr>
            <w:tcW w:w="669" w:type="dxa"/>
            <w:vAlign w:val="center"/>
          </w:tcPr>
          <w:p w14:paraId="0C306F32" w14:textId="77777777" w:rsidR="006F1AE3" w:rsidRDefault="006F1AE3" w:rsidP="00AC3BE7">
            <w:pPr>
              <w:autoSpaceDE w:val="0"/>
              <w:autoSpaceDN w:val="0"/>
              <w:adjustRightInd w:val="0"/>
              <w:spacing w:after="0"/>
              <w:jc w:val="center"/>
              <w:rPr>
                <w:rFonts w:ascii="Times New Roman" w:hAnsi="Times New Roman" w:cs="Times New Roman"/>
                <w:bCs/>
              </w:rPr>
            </w:pPr>
            <w:r>
              <w:rPr>
                <w:rFonts w:ascii="Times New Roman" w:hAnsi="Times New Roman" w:cs="Times New Roman"/>
                <w:bCs/>
              </w:rPr>
              <w:t>350/ 438</w:t>
            </w:r>
          </w:p>
        </w:tc>
        <w:tc>
          <w:tcPr>
            <w:tcW w:w="581" w:type="dxa"/>
            <w:vAlign w:val="center"/>
          </w:tcPr>
          <w:p w14:paraId="39268E02" w14:textId="77777777" w:rsidR="006F1AE3" w:rsidRDefault="006F1AE3" w:rsidP="00AC3BE7">
            <w:pPr>
              <w:autoSpaceDE w:val="0"/>
              <w:autoSpaceDN w:val="0"/>
              <w:adjustRightInd w:val="0"/>
              <w:spacing w:after="0"/>
              <w:jc w:val="center"/>
              <w:rPr>
                <w:rFonts w:ascii="Times New Roman" w:hAnsi="Times New Roman" w:cs="Times New Roman"/>
                <w:bCs/>
              </w:rPr>
            </w:pPr>
            <w:r>
              <w:rPr>
                <w:rFonts w:ascii="Times New Roman" w:hAnsi="Times New Roman" w:cs="Times New Roman"/>
                <w:bCs/>
              </w:rPr>
              <w:t>1:1</w:t>
            </w:r>
          </w:p>
        </w:tc>
        <w:tc>
          <w:tcPr>
            <w:tcW w:w="631" w:type="dxa"/>
            <w:vAlign w:val="center"/>
          </w:tcPr>
          <w:p w14:paraId="1722A916" w14:textId="77777777" w:rsidR="006F1AE3" w:rsidRDefault="006F1AE3" w:rsidP="00AC3BE7">
            <w:pPr>
              <w:autoSpaceDE w:val="0"/>
              <w:autoSpaceDN w:val="0"/>
              <w:adjustRightInd w:val="0"/>
              <w:spacing w:after="0"/>
              <w:jc w:val="center"/>
              <w:rPr>
                <w:rFonts w:ascii="Times New Roman" w:hAnsi="Times New Roman" w:cs="Times New Roman"/>
                <w:bCs/>
              </w:rPr>
            </w:pPr>
            <w:r>
              <w:rPr>
                <w:rFonts w:ascii="Times New Roman" w:hAnsi="Times New Roman" w:cs="Times New Roman"/>
                <w:bCs/>
              </w:rPr>
              <w:t>-</w:t>
            </w:r>
          </w:p>
        </w:tc>
        <w:tc>
          <w:tcPr>
            <w:tcW w:w="693" w:type="dxa"/>
            <w:vAlign w:val="center"/>
          </w:tcPr>
          <w:p w14:paraId="27BD79F9" w14:textId="77777777" w:rsidR="006F1AE3" w:rsidRDefault="006F1AE3" w:rsidP="00AC3BE7">
            <w:pPr>
              <w:autoSpaceDE w:val="0"/>
              <w:autoSpaceDN w:val="0"/>
              <w:adjustRightInd w:val="0"/>
              <w:spacing w:after="0"/>
              <w:jc w:val="center"/>
              <w:rPr>
                <w:rFonts w:ascii="Times New Roman" w:hAnsi="Times New Roman" w:cs="Times New Roman"/>
                <w:bCs/>
              </w:rPr>
            </w:pPr>
            <w:r>
              <w:rPr>
                <w:rFonts w:ascii="Times New Roman" w:hAnsi="Times New Roman" w:cs="Times New Roman"/>
                <w:bCs/>
              </w:rPr>
              <w:t>7.87 nM</w:t>
            </w:r>
          </w:p>
        </w:tc>
        <w:tc>
          <w:tcPr>
            <w:tcW w:w="1011" w:type="dxa"/>
            <w:vAlign w:val="center"/>
          </w:tcPr>
          <w:p w14:paraId="2AFD1C27" w14:textId="77777777" w:rsidR="006F1AE3" w:rsidRDefault="006F1AE3" w:rsidP="00AC3BE7">
            <w:pPr>
              <w:autoSpaceDE w:val="0"/>
              <w:autoSpaceDN w:val="0"/>
              <w:adjustRightInd w:val="0"/>
              <w:spacing w:after="0"/>
              <w:jc w:val="center"/>
              <w:rPr>
                <w:rFonts w:ascii="Times New Roman" w:hAnsi="Times New Roman" w:cs="Times New Roman"/>
                <w:bCs/>
              </w:rPr>
            </w:pPr>
            <w:r>
              <w:rPr>
                <w:rFonts w:ascii="Times New Roman" w:hAnsi="Times New Roman" w:cs="Times New Roman"/>
                <w:bCs/>
              </w:rPr>
              <w:t>CH</w:t>
            </w:r>
            <w:r w:rsidRPr="00441915">
              <w:rPr>
                <w:rFonts w:ascii="Times New Roman" w:hAnsi="Times New Roman" w:cs="Times New Roman"/>
                <w:bCs/>
                <w:vertAlign w:val="subscript"/>
              </w:rPr>
              <w:t>3</w:t>
            </w:r>
            <w:r>
              <w:rPr>
                <w:rFonts w:ascii="Times New Roman" w:hAnsi="Times New Roman" w:cs="Times New Roman"/>
                <w:bCs/>
              </w:rPr>
              <w:t>CN: H</w:t>
            </w:r>
            <w:r w:rsidRPr="00D00325">
              <w:rPr>
                <w:rFonts w:ascii="Times New Roman" w:hAnsi="Times New Roman" w:cs="Times New Roman"/>
                <w:bCs/>
                <w:vertAlign w:val="subscript"/>
              </w:rPr>
              <w:t>2</w:t>
            </w:r>
            <w:r>
              <w:rPr>
                <w:rFonts w:ascii="Times New Roman" w:hAnsi="Times New Roman" w:cs="Times New Roman"/>
                <w:bCs/>
              </w:rPr>
              <w:t>O (7:3, v/v)</w:t>
            </w:r>
          </w:p>
        </w:tc>
        <w:tc>
          <w:tcPr>
            <w:tcW w:w="1317" w:type="dxa"/>
            <w:vAlign w:val="center"/>
          </w:tcPr>
          <w:p w14:paraId="4B2DBDB6" w14:textId="77777777" w:rsidR="006F1AE3" w:rsidRDefault="006F1AE3" w:rsidP="00AC3BE7">
            <w:pPr>
              <w:autoSpaceDE w:val="0"/>
              <w:autoSpaceDN w:val="0"/>
              <w:adjustRightInd w:val="0"/>
              <w:spacing w:after="0"/>
              <w:jc w:val="center"/>
              <w:rPr>
                <w:rFonts w:ascii="Times New Roman" w:hAnsi="Times New Roman" w:cs="Times New Roman"/>
                <w:bCs/>
              </w:rPr>
            </w:pPr>
            <w:r>
              <w:rPr>
                <w:rFonts w:ascii="Times New Roman" w:hAnsi="Times New Roman" w:cs="Times New Roman"/>
                <w:bCs/>
              </w:rPr>
              <w:t>Test strips, E.coli imaging</w:t>
            </w:r>
          </w:p>
        </w:tc>
        <w:tc>
          <w:tcPr>
            <w:tcW w:w="864" w:type="dxa"/>
            <w:vAlign w:val="center"/>
          </w:tcPr>
          <w:p w14:paraId="34D3DC24" w14:textId="77777777" w:rsidR="006F1AE3" w:rsidRDefault="006F1AE3" w:rsidP="00AC3BE7">
            <w:pPr>
              <w:autoSpaceDE w:val="0"/>
              <w:autoSpaceDN w:val="0"/>
              <w:adjustRightInd w:val="0"/>
              <w:spacing w:after="0"/>
              <w:jc w:val="center"/>
              <w:rPr>
                <w:rFonts w:ascii="Times New Roman" w:hAnsi="Times New Roman" w:cs="Times New Roman"/>
                <w:bCs/>
              </w:rPr>
            </w:pPr>
            <w:r>
              <w:rPr>
                <w:rFonts w:ascii="Times New Roman" w:hAnsi="Times New Roman" w:cs="Times New Roman"/>
                <w:bCs/>
              </w:rPr>
              <w:fldChar w:fldCharType="begin" w:fldLock="1"/>
            </w:r>
            <w:r>
              <w:rPr>
                <w:rFonts w:ascii="Times New Roman" w:hAnsi="Times New Roman" w:cs="Times New Roman"/>
                <w:bCs/>
              </w:rPr>
              <w:instrText>ADDIN CSL_CITATION {"citationItems":[{"id":"ITEM-1","itemData":{"DOI":"10.1016/j.jphotochem.2022.114269","ISSN":"10106030","abstract":"On account of the supreme toxicity of CN− ions in the physiological systems, it is essential to develop a sensitive chemosensor to detect cyanide ions. Herein, we designed a new 5-(3-(4,5-diphenyl-1H-imidazol-2-yl)-2-hydroxybenzylidene)-2,2-dimethyl-1,3-dioxane-4,6-dione (BMA) sensor, which exhibits tremendous colorimetric as well as fluorometric behaviour towards CN− ions. This could be due to the nucleophilic attack of CN− ions on the dione-vinyl site, which induces intramolecular charge transfer (ICT) capabilities. The cyanide recognition mechanism of BMA was verified by optical experiments such as UV–visible and fluorescence spectroscopy, NMR, and mass analysis. Moreover, the structural characterization was done by 1H NMR titration and HRMS analysis, and the molecular orbital interactions were studied by TDDFT calculations. The sensor BMA exhibited a rapid response towards CN− ions (10 sec) with low detection limit (7.87 nM), great pH stability in the physiologically applicable pH range (6–12) and had good sensitivity and selectivity towards CN− ions. Encouraged by these detection properties, we successfully used sensor BMA to determine CN− ions in real water and food samples. To validate the colorimetric behavior of the sensor BMA, test paper strip experiments were carried out in the laboratory. We also extensively studied the effect of the sensor in Escherichia coli (E.coli) bacterial cells.","author":[{"dropping-particle":"","family":"Manoj Kumar","given":"Selin","non-dropping-particle":"","parse-names":false,"suffix":""},{"dropping-particle":"","family":"Jothi","given":"Dhanapal","non-dropping-particle":"","parse-names":false,"suffix":""},{"dropping-particle":"","family":"Munusamy","given":"Sathishkumar","non-dropping-particle":"","parse-names":false,"suffix":""},{"dropping-particle":"","family":"Enbanathan","given":"Saravanan","non-dropping-particle":"","parse-names":false,"suffix":""},{"dropping-particle":"","family":"Kulathu Iyer","given":"Sathiyanarayanan","non-dropping-particle":"","parse-names":false,"suffix":""}],"container-title":"Journal of Photochemistry and Photobiology A: Chemistry","id":"ITEM-1","issued":{"date-parts":[["2023"]]},"page":"114269","publisher":"Elsevier","title":"Imidazole-derived new colorimetric/fluorometric chemosensor for the sensitive recognition of CN− ions: Real-time application in food samples and fluorescence bio-imaging","type":"article-journal","volume":"434"},"uris":["http://www.mendeley.com/documents/?uuid=69fd7d15-45b3-4738-9a97-0f8b95e297f5"]}],"mendeley":{"formattedCitation":"[36]","plainTextFormattedCitation":"[36]","previouslyFormattedCitation":"[36]"},"properties":{"noteIndex":0},"schema":"https://github.com/citation-style-language/schema/raw/master/csl-citation.json"}</w:instrText>
            </w:r>
            <w:r>
              <w:rPr>
                <w:rFonts w:ascii="Times New Roman" w:hAnsi="Times New Roman" w:cs="Times New Roman"/>
                <w:bCs/>
              </w:rPr>
              <w:fldChar w:fldCharType="separate"/>
            </w:r>
            <w:r w:rsidRPr="00760468">
              <w:rPr>
                <w:rFonts w:ascii="Times New Roman" w:hAnsi="Times New Roman" w:cs="Times New Roman"/>
                <w:bCs/>
                <w:noProof/>
              </w:rPr>
              <w:t>[36]</w:t>
            </w:r>
            <w:r>
              <w:rPr>
                <w:rFonts w:ascii="Times New Roman" w:hAnsi="Times New Roman" w:cs="Times New Roman"/>
                <w:bCs/>
              </w:rPr>
              <w:fldChar w:fldCharType="end"/>
            </w:r>
          </w:p>
        </w:tc>
      </w:tr>
      <w:tr w:rsidR="006F1AE3" w:rsidRPr="00632EDB" w14:paraId="59FDE659" w14:textId="77777777" w:rsidTr="00AC3BE7">
        <w:tc>
          <w:tcPr>
            <w:tcW w:w="2708" w:type="dxa"/>
            <w:vAlign w:val="center"/>
          </w:tcPr>
          <w:p w14:paraId="29AF1A40" w14:textId="77777777" w:rsidR="006F1AE3" w:rsidRDefault="006F1AE3" w:rsidP="00AC3BE7">
            <w:pPr>
              <w:autoSpaceDE w:val="0"/>
              <w:autoSpaceDN w:val="0"/>
              <w:adjustRightInd w:val="0"/>
              <w:spacing w:after="0"/>
              <w:jc w:val="center"/>
            </w:pPr>
            <w:r>
              <w:object w:dxaOrig="4783" w:dyaOrig="2100" w14:anchorId="0F431038">
                <v:shape id="_x0000_i1030" type="#_x0000_t75" style="width:124.5pt;height:54.75pt" o:ole="">
                  <v:imagedata r:id="rId14" o:title=""/>
                </v:shape>
                <o:OLEObject Type="Embed" ProgID="ChemDraw.Document.6.0" ShapeID="_x0000_i1030" DrawAspect="Content" ObjectID="_1792922390" r:id="rId15"/>
              </w:object>
            </w:r>
          </w:p>
        </w:tc>
        <w:tc>
          <w:tcPr>
            <w:tcW w:w="1121" w:type="dxa"/>
            <w:vAlign w:val="center"/>
          </w:tcPr>
          <w:p w14:paraId="3D8EC44B" w14:textId="77777777" w:rsidR="006F1AE3" w:rsidRDefault="006F1AE3" w:rsidP="00AC3BE7">
            <w:pPr>
              <w:autoSpaceDE w:val="0"/>
              <w:autoSpaceDN w:val="0"/>
              <w:adjustRightInd w:val="0"/>
              <w:spacing w:after="0"/>
              <w:jc w:val="center"/>
              <w:rPr>
                <w:rFonts w:ascii="Times New Roman" w:hAnsi="Times New Roman" w:cs="Times New Roman"/>
                <w:bCs/>
              </w:rPr>
            </w:pPr>
            <w:r>
              <w:rPr>
                <w:rFonts w:ascii="Times New Roman" w:hAnsi="Times New Roman" w:cs="Times New Roman"/>
                <w:bCs/>
              </w:rPr>
              <w:t>FL</w:t>
            </w:r>
          </w:p>
        </w:tc>
        <w:tc>
          <w:tcPr>
            <w:tcW w:w="669" w:type="dxa"/>
            <w:vAlign w:val="center"/>
          </w:tcPr>
          <w:p w14:paraId="290D502F" w14:textId="77777777" w:rsidR="006F1AE3" w:rsidRDefault="006F1AE3" w:rsidP="00AC3BE7">
            <w:pPr>
              <w:autoSpaceDE w:val="0"/>
              <w:autoSpaceDN w:val="0"/>
              <w:adjustRightInd w:val="0"/>
              <w:spacing w:after="0"/>
              <w:jc w:val="center"/>
              <w:rPr>
                <w:rFonts w:ascii="Times New Roman" w:hAnsi="Times New Roman" w:cs="Times New Roman"/>
                <w:bCs/>
              </w:rPr>
            </w:pPr>
            <w:r>
              <w:rPr>
                <w:rFonts w:ascii="Times New Roman" w:hAnsi="Times New Roman" w:cs="Times New Roman"/>
                <w:bCs/>
              </w:rPr>
              <w:t>430/ 570</w:t>
            </w:r>
          </w:p>
        </w:tc>
        <w:tc>
          <w:tcPr>
            <w:tcW w:w="581" w:type="dxa"/>
            <w:vAlign w:val="center"/>
          </w:tcPr>
          <w:p w14:paraId="7EC9D3DE" w14:textId="77777777" w:rsidR="006F1AE3" w:rsidRDefault="006F1AE3" w:rsidP="00AC3BE7">
            <w:pPr>
              <w:autoSpaceDE w:val="0"/>
              <w:autoSpaceDN w:val="0"/>
              <w:adjustRightInd w:val="0"/>
              <w:spacing w:after="0"/>
              <w:jc w:val="center"/>
              <w:rPr>
                <w:rFonts w:ascii="Times New Roman" w:hAnsi="Times New Roman" w:cs="Times New Roman"/>
                <w:bCs/>
              </w:rPr>
            </w:pPr>
            <w:r>
              <w:rPr>
                <w:rFonts w:ascii="Times New Roman" w:hAnsi="Times New Roman" w:cs="Times New Roman"/>
                <w:bCs/>
              </w:rPr>
              <w:t>1:2</w:t>
            </w:r>
          </w:p>
        </w:tc>
        <w:tc>
          <w:tcPr>
            <w:tcW w:w="631" w:type="dxa"/>
            <w:vAlign w:val="center"/>
          </w:tcPr>
          <w:p w14:paraId="1FD1DFB7" w14:textId="77777777" w:rsidR="006F1AE3" w:rsidRDefault="006F1AE3" w:rsidP="00AC3BE7">
            <w:pPr>
              <w:autoSpaceDE w:val="0"/>
              <w:autoSpaceDN w:val="0"/>
              <w:adjustRightInd w:val="0"/>
              <w:spacing w:after="0"/>
              <w:jc w:val="center"/>
              <w:rPr>
                <w:rFonts w:ascii="Times New Roman" w:hAnsi="Times New Roman" w:cs="Times New Roman"/>
                <w:bCs/>
              </w:rPr>
            </w:pPr>
            <w:r>
              <w:rPr>
                <w:rFonts w:ascii="Times New Roman" w:hAnsi="Times New Roman" w:cs="Times New Roman"/>
                <w:bCs/>
              </w:rPr>
              <w:t>1.16 ×10</w:t>
            </w:r>
            <w:r w:rsidRPr="009F4204">
              <w:rPr>
                <w:rFonts w:ascii="Times New Roman" w:hAnsi="Times New Roman" w:cs="Times New Roman"/>
                <w:bCs/>
                <w:vertAlign w:val="superscript"/>
              </w:rPr>
              <w:t>3</w:t>
            </w:r>
          </w:p>
        </w:tc>
        <w:tc>
          <w:tcPr>
            <w:tcW w:w="693" w:type="dxa"/>
            <w:vAlign w:val="center"/>
          </w:tcPr>
          <w:p w14:paraId="518030E4" w14:textId="77777777" w:rsidR="006F1AE3" w:rsidRDefault="006F1AE3" w:rsidP="00AC3BE7">
            <w:pPr>
              <w:autoSpaceDE w:val="0"/>
              <w:autoSpaceDN w:val="0"/>
              <w:adjustRightInd w:val="0"/>
              <w:spacing w:after="0"/>
              <w:jc w:val="center"/>
              <w:rPr>
                <w:rFonts w:ascii="Times New Roman" w:hAnsi="Times New Roman" w:cs="Times New Roman"/>
                <w:bCs/>
              </w:rPr>
            </w:pPr>
            <w:r>
              <w:rPr>
                <w:rFonts w:ascii="Times New Roman" w:hAnsi="Times New Roman" w:cs="Times New Roman"/>
                <w:bCs/>
              </w:rPr>
              <w:t>65.6 nM</w:t>
            </w:r>
          </w:p>
        </w:tc>
        <w:tc>
          <w:tcPr>
            <w:tcW w:w="1011" w:type="dxa"/>
            <w:vAlign w:val="center"/>
          </w:tcPr>
          <w:p w14:paraId="3DE08A9F" w14:textId="77777777" w:rsidR="006F1AE3" w:rsidRDefault="006F1AE3" w:rsidP="00AC3BE7">
            <w:pPr>
              <w:autoSpaceDE w:val="0"/>
              <w:autoSpaceDN w:val="0"/>
              <w:adjustRightInd w:val="0"/>
              <w:spacing w:after="0"/>
              <w:jc w:val="center"/>
              <w:rPr>
                <w:rFonts w:ascii="Times New Roman" w:hAnsi="Times New Roman" w:cs="Times New Roman"/>
                <w:bCs/>
              </w:rPr>
            </w:pPr>
            <w:r>
              <w:rPr>
                <w:rFonts w:ascii="Times New Roman" w:hAnsi="Times New Roman" w:cs="Times New Roman"/>
                <w:bCs/>
              </w:rPr>
              <w:t>DMSO</w:t>
            </w:r>
          </w:p>
        </w:tc>
        <w:tc>
          <w:tcPr>
            <w:tcW w:w="1317" w:type="dxa"/>
            <w:vAlign w:val="center"/>
          </w:tcPr>
          <w:p w14:paraId="6A32CFE6" w14:textId="77777777" w:rsidR="006F1AE3" w:rsidRDefault="006F1AE3" w:rsidP="00AC3BE7">
            <w:pPr>
              <w:autoSpaceDE w:val="0"/>
              <w:autoSpaceDN w:val="0"/>
              <w:adjustRightInd w:val="0"/>
              <w:spacing w:after="0"/>
              <w:jc w:val="center"/>
              <w:rPr>
                <w:rFonts w:ascii="Times New Roman" w:hAnsi="Times New Roman" w:cs="Times New Roman"/>
                <w:bCs/>
              </w:rPr>
            </w:pPr>
            <w:r w:rsidRPr="00276A43">
              <w:rPr>
                <w:rFonts w:ascii="Times New Roman" w:hAnsi="Times New Roman" w:cs="Times New Roman"/>
                <w:bCs/>
              </w:rPr>
              <w:t>MDA-MB 231</w:t>
            </w:r>
            <w:r>
              <w:rPr>
                <w:rFonts w:ascii="Times New Roman" w:hAnsi="Times New Roman" w:cs="Times New Roman"/>
                <w:bCs/>
              </w:rPr>
              <w:t xml:space="preserve"> cell imaging</w:t>
            </w:r>
          </w:p>
        </w:tc>
        <w:tc>
          <w:tcPr>
            <w:tcW w:w="864" w:type="dxa"/>
            <w:vAlign w:val="center"/>
          </w:tcPr>
          <w:p w14:paraId="3A5E981A" w14:textId="77777777" w:rsidR="006F1AE3" w:rsidRDefault="006F1AE3" w:rsidP="00AC3BE7">
            <w:pPr>
              <w:autoSpaceDE w:val="0"/>
              <w:autoSpaceDN w:val="0"/>
              <w:adjustRightInd w:val="0"/>
              <w:spacing w:after="0"/>
              <w:jc w:val="center"/>
              <w:rPr>
                <w:rFonts w:ascii="Times New Roman" w:hAnsi="Times New Roman" w:cs="Times New Roman"/>
                <w:bCs/>
              </w:rPr>
            </w:pPr>
            <w:r>
              <w:rPr>
                <w:rFonts w:ascii="Times New Roman" w:hAnsi="Times New Roman" w:cs="Times New Roman"/>
                <w:bCs/>
              </w:rPr>
              <w:fldChar w:fldCharType="begin" w:fldLock="1"/>
            </w:r>
            <w:r>
              <w:rPr>
                <w:rFonts w:ascii="Times New Roman" w:hAnsi="Times New Roman" w:cs="Times New Roman"/>
                <w:bCs/>
              </w:rPr>
              <w:instrText>ADDIN CSL_CITATION {"citationItems":[{"id":"ITEM-1","itemData":{"DOI":"10.1039/d4sd00018h","ISSN":"26350998","abstract":"A novel triphenylamine benzimidazole based fluorogenic chemosensor named (2E,2′E)-3,3′-((phenylazanediyl)bis(4,1-phenylene))bis(2-(1H-benzo[d]imidazol-2-yl)acrylonitrile) (PBIA) has been successfully generated and characterized by varoius spectroscopic techniques. Among various screened anions, only cyanide (CN−) showed a distinct fluorogenic property towards PBIA. Hence, the optical properties of PBIA were investigated in the presence of cyanide (CN−) by means of UV-vis spectrophotometry and fluorescence spectroscopy in DMSO, where we observed that, upon treatment with CN− to the probe solution, the orange fluorescence of the ligand showed a blue shift and the orange fluorescence changed to greenish-yellow under an UV lamp. The hypsochromic shift in fluorescence maxima upon the addition of cyanide was attributed to nucleophilic addition of cyanide to PBIA inhibiting the electron flow within the molecule and disrupting the ICT process. The interaction behind the sensing of cyanide was investigated by 1H-NMR titration, a mass spectroscopic study and DFT calculations, which supported the mechanism. The limit of detection (LOD) was calculated and found to be in the order of 10−8 (M). PBIA showed an immediate response in the spectral pattern (&lt;20 s) towards its target cyanide ion, and the effectiveness of the chemosensor was also examined in the presence of competing anions. Furthermore, the practical efficacy of the PBIA was established by a dipstick experiment along with cyanide detection in various natural water resources. Human breast cancer cells MDA-MB 231 were made susceptible to CN− sensing in a biological system.","author":[{"dropping-particle":"","family":"Biswas","given":"Amitav","non-dropping-particle":"","parse-names":false,"suffix":""},{"dropping-particle":"","family":"Mukherjee","given":"Rimi","non-dropping-particle":"","parse-names":false,"suffix":""},{"dropping-particle":"","family":"Maji","given":"Atanu","non-dropping-particle":"","parse-names":false,"suffix":""},{"dropping-particle":"","family":"Naskar","given":"Rahul","non-dropping-particle":"","parse-names":false,"suffix":""},{"dropping-particle":"","family":"Aich","given":"Krishnendu","non-dropping-particle":"","parse-names":false,"suffix":""},{"dropping-particle":"","family":"Murmu","given":"Nabendu","non-dropping-particle":"","parse-names":false,"suffix":""},{"dropping-particle":"","family":"Mondal","given":"Tapan K.","non-dropping-particle":"","parse-names":false,"suffix":""}],"container-title":"Sensors and Diagnostics","id":"ITEM-1","issue":"7","issued":{"date-parts":[["2024"]]},"page":"1201-1211","publisher":"Royal Society of Chemistry","title":"A triphenylamine scaffold for fluorogenic sensing of noxious cyanide via the ICT mechanism and its bioimaging application","type":"article-journal","volume":"3"},"uris":["http://www.mendeley.com/documents/?uuid=1acc09f9-e0ea-4236-956d-741070c7db39"]}],"mendeley":{"formattedCitation":"[37]","plainTextFormattedCitation":"[37]","previouslyFormattedCitation":"[37]"},"properties":{"noteIndex":0},"schema":"https://github.com/citation-style-language/schema/raw/master/csl-citation.json"}</w:instrText>
            </w:r>
            <w:r>
              <w:rPr>
                <w:rFonts w:ascii="Times New Roman" w:hAnsi="Times New Roman" w:cs="Times New Roman"/>
                <w:bCs/>
              </w:rPr>
              <w:fldChar w:fldCharType="separate"/>
            </w:r>
            <w:r w:rsidRPr="00760468">
              <w:rPr>
                <w:rFonts w:ascii="Times New Roman" w:hAnsi="Times New Roman" w:cs="Times New Roman"/>
                <w:bCs/>
                <w:noProof/>
              </w:rPr>
              <w:t>[37]</w:t>
            </w:r>
            <w:r>
              <w:rPr>
                <w:rFonts w:ascii="Times New Roman" w:hAnsi="Times New Roman" w:cs="Times New Roman"/>
                <w:bCs/>
              </w:rPr>
              <w:fldChar w:fldCharType="end"/>
            </w:r>
          </w:p>
        </w:tc>
      </w:tr>
      <w:tr w:rsidR="006F1AE3" w:rsidRPr="00632EDB" w14:paraId="099B1C51" w14:textId="77777777" w:rsidTr="00AC3BE7">
        <w:tc>
          <w:tcPr>
            <w:tcW w:w="2708" w:type="dxa"/>
            <w:vAlign w:val="center"/>
          </w:tcPr>
          <w:p w14:paraId="7C7ADA6A" w14:textId="77777777" w:rsidR="006F1AE3" w:rsidRDefault="006F1AE3" w:rsidP="00AC3BE7">
            <w:pPr>
              <w:autoSpaceDE w:val="0"/>
              <w:autoSpaceDN w:val="0"/>
              <w:adjustRightInd w:val="0"/>
              <w:spacing w:after="0"/>
              <w:jc w:val="center"/>
            </w:pPr>
            <w:r>
              <w:object w:dxaOrig="1694" w:dyaOrig="1649" w14:anchorId="1AD1F5D5">
                <v:shape id="_x0000_i1031" type="#_x0000_t75" style="width:64.5pt;height:63pt" o:ole="">
                  <v:imagedata r:id="rId16" o:title=""/>
                </v:shape>
                <o:OLEObject Type="Embed" ProgID="ChemDraw.Document.6.0" ShapeID="_x0000_i1031" DrawAspect="Content" ObjectID="_1792922391" r:id="rId17"/>
              </w:object>
            </w:r>
          </w:p>
        </w:tc>
        <w:tc>
          <w:tcPr>
            <w:tcW w:w="1121" w:type="dxa"/>
            <w:vAlign w:val="center"/>
          </w:tcPr>
          <w:p w14:paraId="101A1EE7" w14:textId="77777777" w:rsidR="006F1AE3" w:rsidRDefault="006F1AE3" w:rsidP="00AC3BE7">
            <w:pPr>
              <w:autoSpaceDE w:val="0"/>
              <w:autoSpaceDN w:val="0"/>
              <w:adjustRightInd w:val="0"/>
              <w:spacing w:after="0"/>
              <w:jc w:val="center"/>
              <w:rPr>
                <w:rFonts w:ascii="Times New Roman" w:hAnsi="Times New Roman" w:cs="Times New Roman"/>
                <w:bCs/>
              </w:rPr>
            </w:pPr>
            <w:r>
              <w:rPr>
                <w:rFonts w:ascii="Times New Roman" w:hAnsi="Times New Roman" w:cs="Times New Roman"/>
                <w:bCs/>
              </w:rPr>
              <w:t>FL</w:t>
            </w:r>
          </w:p>
        </w:tc>
        <w:tc>
          <w:tcPr>
            <w:tcW w:w="669" w:type="dxa"/>
            <w:vAlign w:val="center"/>
          </w:tcPr>
          <w:p w14:paraId="55204A46" w14:textId="77777777" w:rsidR="006F1AE3" w:rsidRDefault="006F1AE3" w:rsidP="00AC3BE7">
            <w:pPr>
              <w:autoSpaceDE w:val="0"/>
              <w:autoSpaceDN w:val="0"/>
              <w:adjustRightInd w:val="0"/>
              <w:spacing w:after="0"/>
              <w:jc w:val="center"/>
              <w:rPr>
                <w:rFonts w:ascii="Times New Roman" w:hAnsi="Times New Roman" w:cs="Times New Roman"/>
                <w:bCs/>
              </w:rPr>
            </w:pPr>
            <w:r>
              <w:rPr>
                <w:rFonts w:ascii="Times New Roman" w:hAnsi="Times New Roman" w:cs="Times New Roman"/>
                <w:bCs/>
              </w:rPr>
              <w:t>525/ 670</w:t>
            </w:r>
          </w:p>
        </w:tc>
        <w:tc>
          <w:tcPr>
            <w:tcW w:w="581" w:type="dxa"/>
            <w:vAlign w:val="center"/>
          </w:tcPr>
          <w:p w14:paraId="52CE4EC6" w14:textId="77777777" w:rsidR="006F1AE3" w:rsidRDefault="006F1AE3" w:rsidP="00AC3BE7">
            <w:pPr>
              <w:autoSpaceDE w:val="0"/>
              <w:autoSpaceDN w:val="0"/>
              <w:adjustRightInd w:val="0"/>
              <w:spacing w:after="0"/>
              <w:jc w:val="center"/>
              <w:rPr>
                <w:rFonts w:ascii="Times New Roman" w:hAnsi="Times New Roman" w:cs="Times New Roman"/>
                <w:bCs/>
              </w:rPr>
            </w:pPr>
            <w:r>
              <w:rPr>
                <w:rFonts w:ascii="Times New Roman" w:hAnsi="Times New Roman" w:cs="Times New Roman"/>
                <w:bCs/>
              </w:rPr>
              <w:t>1:1</w:t>
            </w:r>
          </w:p>
        </w:tc>
        <w:tc>
          <w:tcPr>
            <w:tcW w:w="631" w:type="dxa"/>
            <w:vAlign w:val="center"/>
          </w:tcPr>
          <w:p w14:paraId="4FB0D89F" w14:textId="77777777" w:rsidR="006F1AE3" w:rsidRDefault="006F1AE3" w:rsidP="00AC3BE7">
            <w:pPr>
              <w:autoSpaceDE w:val="0"/>
              <w:autoSpaceDN w:val="0"/>
              <w:adjustRightInd w:val="0"/>
              <w:spacing w:after="0"/>
              <w:jc w:val="center"/>
              <w:rPr>
                <w:rFonts w:ascii="Times New Roman" w:hAnsi="Times New Roman" w:cs="Times New Roman"/>
                <w:bCs/>
              </w:rPr>
            </w:pPr>
            <w:r>
              <w:rPr>
                <w:rFonts w:ascii="Times New Roman" w:hAnsi="Times New Roman" w:cs="Times New Roman"/>
                <w:bCs/>
              </w:rPr>
              <w:t>2.30 ×10</w:t>
            </w:r>
            <w:r w:rsidRPr="00BD6BDA">
              <w:rPr>
                <w:rFonts w:ascii="Times New Roman" w:hAnsi="Times New Roman" w:cs="Times New Roman"/>
                <w:bCs/>
                <w:vertAlign w:val="superscript"/>
              </w:rPr>
              <w:t>4</w:t>
            </w:r>
          </w:p>
        </w:tc>
        <w:tc>
          <w:tcPr>
            <w:tcW w:w="693" w:type="dxa"/>
            <w:vAlign w:val="center"/>
          </w:tcPr>
          <w:p w14:paraId="4E732BAB" w14:textId="77777777" w:rsidR="006F1AE3" w:rsidRDefault="006F1AE3" w:rsidP="00AC3BE7">
            <w:pPr>
              <w:autoSpaceDE w:val="0"/>
              <w:autoSpaceDN w:val="0"/>
              <w:adjustRightInd w:val="0"/>
              <w:spacing w:after="0"/>
              <w:jc w:val="center"/>
              <w:rPr>
                <w:rFonts w:ascii="Times New Roman" w:hAnsi="Times New Roman" w:cs="Times New Roman"/>
                <w:bCs/>
              </w:rPr>
            </w:pPr>
            <w:r>
              <w:rPr>
                <w:rFonts w:ascii="Times New Roman" w:hAnsi="Times New Roman" w:cs="Times New Roman"/>
                <w:bCs/>
              </w:rPr>
              <w:t>80 nM</w:t>
            </w:r>
          </w:p>
        </w:tc>
        <w:tc>
          <w:tcPr>
            <w:tcW w:w="1011" w:type="dxa"/>
            <w:vAlign w:val="center"/>
          </w:tcPr>
          <w:p w14:paraId="335F2C25" w14:textId="77777777" w:rsidR="006F1AE3" w:rsidRDefault="006F1AE3" w:rsidP="00AC3BE7">
            <w:pPr>
              <w:autoSpaceDE w:val="0"/>
              <w:autoSpaceDN w:val="0"/>
              <w:adjustRightInd w:val="0"/>
              <w:spacing w:after="0"/>
              <w:jc w:val="center"/>
              <w:rPr>
                <w:rFonts w:ascii="Times New Roman" w:hAnsi="Times New Roman" w:cs="Times New Roman"/>
                <w:bCs/>
              </w:rPr>
            </w:pPr>
            <w:r>
              <w:rPr>
                <w:rFonts w:ascii="Times New Roman" w:hAnsi="Times New Roman" w:cs="Times New Roman"/>
                <w:bCs/>
              </w:rPr>
              <w:t>CH</w:t>
            </w:r>
            <w:r w:rsidRPr="00441915">
              <w:rPr>
                <w:rFonts w:ascii="Times New Roman" w:hAnsi="Times New Roman" w:cs="Times New Roman"/>
                <w:bCs/>
                <w:vertAlign w:val="subscript"/>
              </w:rPr>
              <w:t>3</w:t>
            </w:r>
            <w:r>
              <w:rPr>
                <w:rFonts w:ascii="Times New Roman" w:hAnsi="Times New Roman" w:cs="Times New Roman"/>
                <w:bCs/>
              </w:rPr>
              <w:t>CN: H</w:t>
            </w:r>
            <w:r w:rsidRPr="00D00325">
              <w:rPr>
                <w:rFonts w:ascii="Times New Roman" w:hAnsi="Times New Roman" w:cs="Times New Roman"/>
                <w:bCs/>
                <w:vertAlign w:val="subscript"/>
              </w:rPr>
              <w:t>2</w:t>
            </w:r>
            <w:r>
              <w:rPr>
                <w:rFonts w:ascii="Times New Roman" w:hAnsi="Times New Roman" w:cs="Times New Roman"/>
                <w:bCs/>
              </w:rPr>
              <w:t>O (9:1, v/v</w:t>
            </w:r>
          </w:p>
        </w:tc>
        <w:tc>
          <w:tcPr>
            <w:tcW w:w="1317" w:type="dxa"/>
            <w:vAlign w:val="center"/>
          </w:tcPr>
          <w:p w14:paraId="652D45EE" w14:textId="77777777" w:rsidR="006F1AE3" w:rsidRPr="00276A43" w:rsidRDefault="006F1AE3" w:rsidP="00AC3BE7">
            <w:pPr>
              <w:autoSpaceDE w:val="0"/>
              <w:autoSpaceDN w:val="0"/>
              <w:adjustRightInd w:val="0"/>
              <w:spacing w:after="0"/>
              <w:jc w:val="center"/>
              <w:rPr>
                <w:rFonts w:ascii="Times New Roman" w:hAnsi="Times New Roman" w:cs="Times New Roman"/>
                <w:bCs/>
              </w:rPr>
            </w:pPr>
            <w:r>
              <w:rPr>
                <w:rFonts w:ascii="Times New Roman" w:hAnsi="Times New Roman" w:cs="Times New Roman"/>
                <w:bCs/>
              </w:rPr>
              <w:t>Real sample analysis</w:t>
            </w:r>
          </w:p>
        </w:tc>
        <w:tc>
          <w:tcPr>
            <w:tcW w:w="864" w:type="dxa"/>
            <w:vAlign w:val="center"/>
          </w:tcPr>
          <w:p w14:paraId="14E0A809" w14:textId="77777777" w:rsidR="006F1AE3" w:rsidRDefault="006F1AE3" w:rsidP="00AC3BE7">
            <w:pPr>
              <w:autoSpaceDE w:val="0"/>
              <w:autoSpaceDN w:val="0"/>
              <w:adjustRightInd w:val="0"/>
              <w:spacing w:after="0"/>
              <w:jc w:val="center"/>
              <w:rPr>
                <w:rFonts w:ascii="Times New Roman" w:hAnsi="Times New Roman" w:cs="Times New Roman"/>
                <w:bCs/>
              </w:rPr>
            </w:pPr>
            <w:r>
              <w:rPr>
                <w:rFonts w:ascii="Times New Roman" w:hAnsi="Times New Roman" w:cs="Times New Roman"/>
                <w:bCs/>
              </w:rPr>
              <w:fldChar w:fldCharType="begin" w:fldLock="1"/>
            </w:r>
            <w:r>
              <w:rPr>
                <w:rFonts w:ascii="Times New Roman" w:hAnsi="Times New Roman" w:cs="Times New Roman"/>
                <w:bCs/>
              </w:rPr>
              <w:instrText>ADDIN CSL_CITATION {"citationItems":[{"id":"ITEM-1","itemData":{"DOI":"10.1016/j.talanta.2024.126241","ISSN":"00399140","abstract":"A new chemosensory based on deprotonation and intramolecular charge transfer (ICT) was developed to detect cyanide in food samples. Deprotonation was facilitated by increasing the acidity of the NH proton in the dibenzosuberenone-based dihydropyridazine chemosensor Pz3 with –CN substituents. Addition of cyanide to acetonitrile and aqueous acetonitrile solution (1/9) of Pz3 resulted in their significant color change from colorless to purple in visible light, accompanied by a strong red shift in the absorption spectrum. Meanwhile, the near-infrared (NIR) emission (ex. 525 nm, em. 670 nm) of Pz3- resulting from deprotonation showed fluorescence switching behavior to detect the cyanide anion. While the acidic NH protons interact with basic anions as F−, CN−, OAc− and H2PO4− in organic solution (MeCN), just CN ions interact with in aqueous organic solutions (H2O–MeCN 1/9 HEPES pH 7.4). The limit of detection of cyanide from the fluorescence spectrum is 80 nM, which is well below the value determined for drinking water by World Health Organization (WHO). The interference effect of cations and anions showed that Pz3 could play an important role in the determination of waste NaCN. In addition, Pz3 successfully carried out the selective detection of cyanide in food samples such as bitter almonds and sprouting potatoes.","author":[{"dropping-particle":"","family":"Acar","given":"Murat","non-dropping-particle":"","parse-names":false,"suffix":""},{"dropping-particle":"","family":"Daştan","given":"Arif","non-dropping-particle":"","parse-names":false,"suffix":""},{"dropping-particle":"","family":"Koçak","given":"Ramazan","non-dropping-particle":"","parse-names":false,"suffix":""}],"container-title":"Talanta","id":"ITEM-1","issued":{"date-parts":[["2024"]]},"page":"126241","publisher":"Elsevier","title":"Fluorometric and colorimetric sensor for selective detection of cyanide anion by dibenzosuberenone-based dihydropyridazine in aqueous solution","type":"article-journal","volume":"277"},"uris":["http://www.mendeley.com/documents/?uuid=cb4821ed-eafb-4d71-89e1-95a5acbef6eb"]}],"mendeley":{"formattedCitation":"[38]","plainTextFormattedCitation":"[38]","previouslyFormattedCitation":"[38]"},"properties":{"noteIndex":0},"schema":"https://github.com/citation-style-language/schema/raw/master/csl-citation.json"}</w:instrText>
            </w:r>
            <w:r>
              <w:rPr>
                <w:rFonts w:ascii="Times New Roman" w:hAnsi="Times New Roman" w:cs="Times New Roman"/>
                <w:bCs/>
              </w:rPr>
              <w:fldChar w:fldCharType="separate"/>
            </w:r>
            <w:r w:rsidRPr="00760468">
              <w:rPr>
                <w:rFonts w:ascii="Times New Roman" w:hAnsi="Times New Roman" w:cs="Times New Roman"/>
                <w:bCs/>
                <w:noProof/>
              </w:rPr>
              <w:t>[38]</w:t>
            </w:r>
            <w:r>
              <w:rPr>
                <w:rFonts w:ascii="Times New Roman" w:hAnsi="Times New Roman" w:cs="Times New Roman"/>
                <w:bCs/>
              </w:rPr>
              <w:fldChar w:fldCharType="end"/>
            </w:r>
          </w:p>
        </w:tc>
      </w:tr>
      <w:tr w:rsidR="006F1AE3" w:rsidRPr="00632EDB" w14:paraId="539A37CC" w14:textId="77777777" w:rsidTr="00AC3BE7">
        <w:tc>
          <w:tcPr>
            <w:tcW w:w="2708" w:type="dxa"/>
            <w:vAlign w:val="center"/>
          </w:tcPr>
          <w:p w14:paraId="1E9A0800" w14:textId="77777777" w:rsidR="006F1AE3" w:rsidRDefault="006F1AE3" w:rsidP="00AC3BE7">
            <w:pPr>
              <w:autoSpaceDE w:val="0"/>
              <w:autoSpaceDN w:val="0"/>
              <w:adjustRightInd w:val="0"/>
              <w:spacing w:after="0"/>
              <w:jc w:val="center"/>
            </w:pPr>
            <w:r>
              <w:object w:dxaOrig="1985" w:dyaOrig="2357" w14:anchorId="03D0BCC8">
                <v:shape id="_x0000_i1032" type="#_x0000_t75" style="width:75pt;height:89.25pt" o:ole="">
                  <v:imagedata r:id="rId18" o:title=""/>
                </v:shape>
                <o:OLEObject Type="Embed" ProgID="ChemDraw.Document.6.0" ShapeID="_x0000_i1032" DrawAspect="Content" ObjectID="_1792922392" r:id="rId19"/>
              </w:object>
            </w:r>
          </w:p>
        </w:tc>
        <w:tc>
          <w:tcPr>
            <w:tcW w:w="1121" w:type="dxa"/>
            <w:vAlign w:val="center"/>
          </w:tcPr>
          <w:p w14:paraId="1631A0CC" w14:textId="77777777" w:rsidR="006F1AE3" w:rsidRDefault="006F1AE3" w:rsidP="00AC3BE7">
            <w:pPr>
              <w:autoSpaceDE w:val="0"/>
              <w:autoSpaceDN w:val="0"/>
              <w:adjustRightInd w:val="0"/>
              <w:spacing w:after="0"/>
              <w:jc w:val="center"/>
              <w:rPr>
                <w:rFonts w:ascii="Times New Roman" w:hAnsi="Times New Roman" w:cs="Times New Roman"/>
                <w:bCs/>
              </w:rPr>
            </w:pPr>
            <w:r>
              <w:rPr>
                <w:rFonts w:ascii="Times New Roman" w:hAnsi="Times New Roman" w:cs="Times New Roman"/>
                <w:bCs/>
              </w:rPr>
              <w:t>UV-Vis</w:t>
            </w:r>
          </w:p>
        </w:tc>
        <w:tc>
          <w:tcPr>
            <w:tcW w:w="669" w:type="dxa"/>
            <w:vAlign w:val="center"/>
          </w:tcPr>
          <w:p w14:paraId="08F27FD0" w14:textId="77777777" w:rsidR="006F1AE3" w:rsidRDefault="006F1AE3" w:rsidP="00AC3BE7">
            <w:pPr>
              <w:autoSpaceDE w:val="0"/>
              <w:autoSpaceDN w:val="0"/>
              <w:adjustRightInd w:val="0"/>
              <w:spacing w:after="0"/>
              <w:jc w:val="center"/>
              <w:rPr>
                <w:rFonts w:ascii="Times New Roman" w:hAnsi="Times New Roman" w:cs="Times New Roman"/>
                <w:bCs/>
              </w:rPr>
            </w:pPr>
            <w:r>
              <w:rPr>
                <w:rFonts w:ascii="Times New Roman" w:hAnsi="Times New Roman" w:cs="Times New Roman"/>
                <w:bCs/>
              </w:rPr>
              <w:t>520</w:t>
            </w:r>
          </w:p>
        </w:tc>
        <w:tc>
          <w:tcPr>
            <w:tcW w:w="581" w:type="dxa"/>
            <w:vAlign w:val="center"/>
          </w:tcPr>
          <w:p w14:paraId="5A1E0FE6" w14:textId="77777777" w:rsidR="006F1AE3" w:rsidRDefault="006F1AE3" w:rsidP="00AC3BE7">
            <w:pPr>
              <w:autoSpaceDE w:val="0"/>
              <w:autoSpaceDN w:val="0"/>
              <w:adjustRightInd w:val="0"/>
              <w:spacing w:after="0"/>
              <w:jc w:val="center"/>
              <w:rPr>
                <w:rFonts w:ascii="Times New Roman" w:hAnsi="Times New Roman" w:cs="Times New Roman"/>
                <w:bCs/>
              </w:rPr>
            </w:pPr>
            <w:r>
              <w:rPr>
                <w:rFonts w:ascii="Times New Roman" w:hAnsi="Times New Roman" w:cs="Times New Roman"/>
                <w:bCs/>
              </w:rPr>
              <w:t>1:3</w:t>
            </w:r>
          </w:p>
        </w:tc>
        <w:tc>
          <w:tcPr>
            <w:tcW w:w="631" w:type="dxa"/>
            <w:vAlign w:val="center"/>
          </w:tcPr>
          <w:p w14:paraId="4E54D361" w14:textId="77777777" w:rsidR="006F1AE3" w:rsidRDefault="006F1AE3" w:rsidP="00AC3BE7">
            <w:pPr>
              <w:autoSpaceDE w:val="0"/>
              <w:autoSpaceDN w:val="0"/>
              <w:adjustRightInd w:val="0"/>
              <w:spacing w:after="0"/>
              <w:jc w:val="center"/>
              <w:rPr>
                <w:rFonts w:ascii="Times New Roman" w:hAnsi="Times New Roman" w:cs="Times New Roman"/>
                <w:bCs/>
              </w:rPr>
            </w:pPr>
            <w:r>
              <w:rPr>
                <w:rFonts w:ascii="Times New Roman" w:hAnsi="Times New Roman" w:cs="Times New Roman"/>
                <w:bCs/>
              </w:rPr>
              <w:t>-</w:t>
            </w:r>
          </w:p>
        </w:tc>
        <w:tc>
          <w:tcPr>
            <w:tcW w:w="693" w:type="dxa"/>
            <w:vAlign w:val="center"/>
          </w:tcPr>
          <w:p w14:paraId="273E0E80" w14:textId="77777777" w:rsidR="006F1AE3" w:rsidRDefault="006F1AE3" w:rsidP="00AC3BE7">
            <w:pPr>
              <w:autoSpaceDE w:val="0"/>
              <w:autoSpaceDN w:val="0"/>
              <w:adjustRightInd w:val="0"/>
              <w:spacing w:after="0"/>
              <w:jc w:val="center"/>
              <w:rPr>
                <w:rFonts w:ascii="Times New Roman" w:hAnsi="Times New Roman" w:cs="Times New Roman"/>
                <w:bCs/>
              </w:rPr>
            </w:pPr>
            <w:r>
              <w:rPr>
                <w:rFonts w:ascii="Times New Roman" w:hAnsi="Times New Roman" w:cs="Times New Roman"/>
                <w:bCs/>
              </w:rPr>
              <w:t>0.35 µM</w:t>
            </w:r>
          </w:p>
        </w:tc>
        <w:tc>
          <w:tcPr>
            <w:tcW w:w="1011" w:type="dxa"/>
            <w:vAlign w:val="center"/>
          </w:tcPr>
          <w:p w14:paraId="12BF0B4F" w14:textId="77777777" w:rsidR="006F1AE3" w:rsidRDefault="006F1AE3" w:rsidP="00AC3BE7">
            <w:pPr>
              <w:autoSpaceDE w:val="0"/>
              <w:autoSpaceDN w:val="0"/>
              <w:adjustRightInd w:val="0"/>
              <w:spacing w:after="0"/>
              <w:jc w:val="center"/>
              <w:rPr>
                <w:rFonts w:ascii="Times New Roman" w:hAnsi="Times New Roman" w:cs="Times New Roman"/>
                <w:bCs/>
              </w:rPr>
            </w:pPr>
            <w:r>
              <w:rPr>
                <w:rFonts w:ascii="Times New Roman" w:hAnsi="Times New Roman" w:cs="Times New Roman"/>
                <w:bCs/>
              </w:rPr>
              <w:t>CH</w:t>
            </w:r>
            <w:r w:rsidRPr="00045593">
              <w:rPr>
                <w:rFonts w:ascii="Times New Roman" w:hAnsi="Times New Roman" w:cs="Times New Roman"/>
                <w:bCs/>
                <w:vertAlign w:val="subscript"/>
              </w:rPr>
              <w:t>3</w:t>
            </w:r>
            <w:r>
              <w:rPr>
                <w:rFonts w:ascii="Times New Roman" w:hAnsi="Times New Roman" w:cs="Times New Roman"/>
                <w:bCs/>
              </w:rPr>
              <w:t>CN</w:t>
            </w:r>
          </w:p>
        </w:tc>
        <w:tc>
          <w:tcPr>
            <w:tcW w:w="1317" w:type="dxa"/>
            <w:vAlign w:val="center"/>
          </w:tcPr>
          <w:p w14:paraId="4621A220" w14:textId="77777777" w:rsidR="006F1AE3" w:rsidRDefault="006F1AE3" w:rsidP="00AC3BE7">
            <w:pPr>
              <w:autoSpaceDE w:val="0"/>
              <w:autoSpaceDN w:val="0"/>
              <w:adjustRightInd w:val="0"/>
              <w:spacing w:after="0"/>
              <w:jc w:val="center"/>
              <w:rPr>
                <w:rFonts w:ascii="Times New Roman" w:hAnsi="Times New Roman" w:cs="Times New Roman"/>
                <w:bCs/>
              </w:rPr>
            </w:pPr>
            <w:r>
              <w:rPr>
                <w:rFonts w:ascii="Times New Roman" w:hAnsi="Times New Roman" w:cs="Times New Roman"/>
                <w:bCs/>
              </w:rPr>
              <w:t>-</w:t>
            </w:r>
          </w:p>
        </w:tc>
        <w:tc>
          <w:tcPr>
            <w:tcW w:w="864" w:type="dxa"/>
            <w:vAlign w:val="center"/>
          </w:tcPr>
          <w:p w14:paraId="135589F5" w14:textId="77777777" w:rsidR="006F1AE3" w:rsidRDefault="006F1AE3" w:rsidP="00AC3BE7">
            <w:pPr>
              <w:autoSpaceDE w:val="0"/>
              <w:autoSpaceDN w:val="0"/>
              <w:adjustRightInd w:val="0"/>
              <w:spacing w:after="0"/>
              <w:jc w:val="center"/>
              <w:rPr>
                <w:rFonts w:ascii="Times New Roman" w:hAnsi="Times New Roman" w:cs="Times New Roman"/>
                <w:bCs/>
              </w:rPr>
            </w:pPr>
            <w:r>
              <w:rPr>
                <w:rFonts w:ascii="Times New Roman" w:hAnsi="Times New Roman" w:cs="Times New Roman"/>
                <w:bCs/>
              </w:rPr>
              <w:fldChar w:fldCharType="begin" w:fldLock="1"/>
            </w:r>
            <w:r>
              <w:rPr>
                <w:rFonts w:ascii="Times New Roman" w:hAnsi="Times New Roman" w:cs="Times New Roman"/>
                <w:bCs/>
              </w:rPr>
              <w:instrText>ADDIN CSL_CITATION {"citationItems":[{"id":"ITEM-1","itemData":{"DOI":"10.3390/chemosensors10100384","ISSN":"22279040","abstract":"Anion sensing is a dynamic research field due to the biological and environmental importance of some organic or inorganic anions. Hydrazones show promising properties in the design of anion chemosensors due to the presence of proton donor and acceptor sites in their structure. In this work, two novel dinitrophenyl hydrazones, functionalized with a quinoline moiety, were synthesized and characterized by spectroscopic and spectrometric techniques. The interaction between the new compounds 3a–b with different organic and inorganic anions was assessed. The two compounds showed a change in color from light yellow to magenta in the presence of H2PO4−, CH3COO−, BzO−, CN−, and F−. The interactions were analyzed by spectrophotometric titrations and the stoichiometry of the interaction was assessed by the method of continuous variation. Compound 3b showed a remarkable sensitivity to CN−, with a limit of detection of 0.35 µM. The interaction of compound 3b with CN− and F− was also analyzed by 1H NMR titrations, showing that an increasing concentration of anions induce a deprotonation of the NH and OH groups.","author":[{"dropping-particle":"","family":"Sousa","given":"Rui P.C.L.","non-dropping-particle":"","parse-names":false,"suffix":""},{"dropping-particle":"","family":"Costa","given":"Susana P.G.","non-dropping-particle":"","parse-names":false,"suffix":""},{"dropping-particle":"","family":"Figueira","given":"Rita B.","non-dropping-particle":"","parse-names":false,"suffix":""},{"dropping-particle":"","family":"Raposo","given":"M. Manuela M.","non-dropping-particle":"","parse-names":false,"suffix":""}],"container-title":"Chemosensors","id":"ITEM-1","issue":"10","issued":{"date-parts":[["2022"]]},"page":"384","publisher":"MDPI","title":"New Dinitrophenyl Hydrazones as Colorimetric Probes for Anions","type":"article-journal","volume":"10"},"uris":["http://www.mendeley.com/documents/?uuid=572603e7-0c1f-461a-ad47-523842270fac"]}],"mendeley":{"formattedCitation":"[39]","plainTextFormattedCitation":"[39]","previouslyFormattedCitation":"[39]"},"properties":{"noteIndex":0},"schema":"https://github.com/citation-style-language/schema/raw/master/csl-citation.json"}</w:instrText>
            </w:r>
            <w:r>
              <w:rPr>
                <w:rFonts w:ascii="Times New Roman" w:hAnsi="Times New Roman" w:cs="Times New Roman"/>
                <w:bCs/>
              </w:rPr>
              <w:fldChar w:fldCharType="separate"/>
            </w:r>
            <w:r w:rsidRPr="00760468">
              <w:rPr>
                <w:rFonts w:ascii="Times New Roman" w:hAnsi="Times New Roman" w:cs="Times New Roman"/>
                <w:bCs/>
                <w:noProof/>
              </w:rPr>
              <w:t>[39]</w:t>
            </w:r>
            <w:r>
              <w:rPr>
                <w:rFonts w:ascii="Times New Roman" w:hAnsi="Times New Roman" w:cs="Times New Roman"/>
                <w:bCs/>
              </w:rPr>
              <w:fldChar w:fldCharType="end"/>
            </w:r>
          </w:p>
        </w:tc>
      </w:tr>
      <w:tr w:rsidR="006F1AE3" w:rsidRPr="00632EDB" w14:paraId="27948BDD" w14:textId="77777777" w:rsidTr="00AC3BE7">
        <w:tc>
          <w:tcPr>
            <w:tcW w:w="2708" w:type="dxa"/>
            <w:vAlign w:val="center"/>
          </w:tcPr>
          <w:p w14:paraId="5E5B6500" w14:textId="77777777" w:rsidR="006F1AE3" w:rsidRDefault="006F1AE3" w:rsidP="00AC3BE7">
            <w:pPr>
              <w:autoSpaceDE w:val="0"/>
              <w:autoSpaceDN w:val="0"/>
              <w:adjustRightInd w:val="0"/>
              <w:spacing w:after="0"/>
              <w:jc w:val="center"/>
            </w:pPr>
            <w:r>
              <w:object w:dxaOrig="2498" w:dyaOrig="2165" w14:anchorId="79E6F44F">
                <v:shape id="_x0000_i1033" type="#_x0000_t75" style="width:81pt;height:69pt" o:ole="">
                  <v:imagedata r:id="rId20" o:title=""/>
                </v:shape>
                <o:OLEObject Type="Embed" ProgID="ChemDraw.Document.6.0" ShapeID="_x0000_i1033" DrawAspect="Content" ObjectID="_1792922393" r:id="rId21"/>
              </w:object>
            </w:r>
          </w:p>
        </w:tc>
        <w:tc>
          <w:tcPr>
            <w:tcW w:w="1121" w:type="dxa"/>
            <w:vAlign w:val="center"/>
          </w:tcPr>
          <w:p w14:paraId="733E8D4F" w14:textId="77777777" w:rsidR="006F1AE3" w:rsidRDefault="006F1AE3" w:rsidP="00AC3BE7">
            <w:pPr>
              <w:autoSpaceDE w:val="0"/>
              <w:autoSpaceDN w:val="0"/>
              <w:adjustRightInd w:val="0"/>
              <w:spacing w:after="0"/>
              <w:jc w:val="center"/>
              <w:rPr>
                <w:rFonts w:ascii="Times New Roman" w:hAnsi="Times New Roman" w:cs="Times New Roman"/>
                <w:bCs/>
              </w:rPr>
            </w:pPr>
            <w:r>
              <w:rPr>
                <w:rFonts w:ascii="Times New Roman" w:hAnsi="Times New Roman" w:cs="Times New Roman"/>
                <w:bCs/>
              </w:rPr>
              <w:t>UV-Vis / FL</w:t>
            </w:r>
          </w:p>
        </w:tc>
        <w:tc>
          <w:tcPr>
            <w:tcW w:w="669" w:type="dxa"/>
            <w:vAlign w:val="center"/>
          </w:tcPr>
          <w:p w14:paraId="41C00783" w14:textId="77777777" w:rsidR="006F1AE3" w:rsidRDefault="006F1AE3" w:rsidP="00AC3BE7">
            <w:pPr>
              <w:autoSpaceDE w:val="0"/>
              <w:autoSpaceDN w:val="0"/>
              <w:adjustRightInd w:val="0"/>
              <w:spacing w:after="0"/>
              <w:jc w:val="center"/>
              <w:rPr>
                <w:rFonts w:ascii="Times New Roman" w:hAnsi="Times New Roman" w:cs="Times New Roman"/>
                <w:bCs/>
              </w:rPr>
            </w:pPr>
            <w:r>
              <w:rPr>
                <w:rFonts w:ascii="Times New Roman" w:hAnsi="Times New Roman" w:cs="Times New Roman"/>
                <w:bCs/>
              </w:rPr>
              <w:t>415/ 595</w:t>
            </w:r>
          </w:p>
        </w:tc>
        <w:tc>
          <w:tcPr>
            <w:tcW w:w="581" w:type="dxa"/>
            <w:vAlign w:val="center"/>
          </w:tcPr>
          <w:p w14:paraId="7EECF125" w14:textId="77777777" w:rsidR="006F1AE3" w:rsidRDefault="006F1AE3" w:rsidP="00AC3BE7">
            <w:pPr>
              <w:autoSpaceDE w:val="0"/>
              <w:autoSpaceDN w:val="0"/>
              <w:adjustRightInd w:val="0"/>
              <w:spacing w:after="0"/>
              <w:jc w:val="center"/>
              <w:rPr>
                <w:rFonts w:ascii="Times New Roman" w:hAnsi="Times New Roman" w:cs="Times New Roman"/>
                <w:bCs/>
              </w:rPr>
            </w:pPr>
            <w:r>
              <w:rPr>
                <w:rFonts w:ascii="Times New Roman" w:hAnsi="Times New Roman" w:cs="Times New Roman"/>
                <w:bCs/>
              </w:rPr>
              <w:t>1:1</w:t>
            </w:r>
          </w:p>
        </w:tc>
        <w:tc>
          <w:tcPr>
            <w:tcW w:w="631" w:type="dxa"/>
            <w:vAlign w:val="center"/>
          </w:tcPr>
          <w:p w14:paraId="62EC205C" w14:textId="77777777" w:rsidR="006F1AE3" w:rsidRDefault="006F1AE3" w:rsidP="00AC3BE7">
            <w:pPr>
              <w:autoSpaceDE w:val="0"/>
              <w:autoSpaceDN w:val="0"/>
              <w:adjustRightInd w:val="0"/>
              <w:spacing w:after="0"/>
              <w:jc w:val="center"/>
              <w:rPr>
                <w:rFonts w:ascii="Times New Roman" w:hAnsi="Times New Roman" w:cs="Times New Roman"/>
                <w:bCs/>
              </w:rPr>
            </w:pPr>
            <w:r>
              <w:rPr>
                <w:rFonts w:ascii="Times New Roman" w:hAnsi="Times New Roman" w:cs="Times New Roman"/>
                <w:bCs/>
              </w:rPr>
              <w:t>2.23 ×10</w:t>
            </w:r>
            <w:r w:rsidRPr="00760974">
              <w:rPr>
                <w:rFonts w:ascii="Times New Roman" w:hAnsi="Times New Roman" w:cs="Times New Roman"/>
                <w:bCs/>
                <w:vertAlign w:val="superscript"/>
              </w:rPr>
              <w:t>5</w:t>
            </w:r>
          </w:p>
        </w:tc>
        <w:tc>
          <w:tcPr>
            <w:tcW w:w="693" w:type="dxa"/>
            <w:vAlign w:val="center"/>
          </w:tcPr>
          <w:p w14:paraId="17A25672" w14:textId="77777777" w:rsidR="006F1AE3" w:rsidRDefault="006F1AE3" w:rsidP="00AC3BE7">
            <w:pPr>
              <w:autoSpaceDE w:val="0"/>
              <w:autoSpaceDN w:val="0"/>
              <w:adjustRightInd w:val="0"/>
              <w:spacing w:after="0"/>
              <w:jc w:val="center"/>
              <w:rPr>
                <w:rFonts w:ascii="Times New Roman" w:hAnsi="Times New Roman" w:cs="Times New Roman"/>
                <w:bCs/>
              </w:rPr>
            </w:pPr>
            <w:r>
              <w:rPr>
                <w:rFonts w:ascii="Times New Roman" w:hAnsi="Times New Roman" w:cs="Times New Roman"/>
                <w:bCs/>
              </w:rPr>
              <w:t>4.48 nM</w:t>
            </w:r>
          </w:p>
        </w:tc>
        <w:tc>
          <w:tcPr>
            <w:tcW w:w="1011" w:type="dxa"/>
            <w:vAlign w:val="center"/>
          </w:tcPr>
          <w:p w14:paraId="49DB11E7" w14:textId="77777777" w:rsidR="006F1AE3" w:rsidRDefault="006F1AE3" w:rsidP="00AC3BE7">
            <w:pPr>
              <w:autoSpaceDE w:val="0"/>
              <w:autoSpaceDN w:val="0"/>
              <w:adjustRightInd w:val="0"/>
              <w:spacing w:after="0"/>
              <w:jc w:val="center"/>
              <w:rPr>
                <w:rFonts w:ascii="Times New Roman" w:hAnsi="Times New Roman" w:cs="Times New Roman"/>
                <w:bCs/>
              </w:rPr>
            </w:pPr>
            <w:r>
              <w:rPr>
                <w:rFonts w:ascii="Times New Roman" w:hAnsi="Times New Roman" w:cs="Times New Roman"/>
                <w:bCs/>
              </w:rPr>
              <w:t>DMSO: H</w:t>
            </w:r>
            <w:r w:rsidRPr="00A075C8">
              <w:rPr>
                <w:rFonts w:ascii="Times New Roman" w:hAnsi="Times New Roman" w:cs="Times New Roman"/>
                <w:bCs/>
                <w:vertAlign w:val="subscript"/>
              </w:rPr>
              <w:t>2</w:t>
            </w:r>
            <w:r>
              <w:rPr>
                <w:rFonts w:ascii="Times New Roman" w:hAnsi="Times New Roman" w:cs="Times New Roman"/>
                <w:bCs/>
              </w:rPr>
              <w:t>O (7:3, v/v)</w:t>
            </w:r>
          </w:p>
        </w:tc>
        <w:tc>
          <w:tcPr>
            <w:tcW w:w="1317" w:type="dxa"/>
            <w:vAlign w:val="center"/>
          </w:tcPr>
          <w:p w14:paraId="744AB77C" w14:textId="77777777" w:rsidR="006F1AE3" w:rsidRDefault="006F1AE3" w:rsidP="00AC3BE7">
            <w:pPr>
              <w:autoSpaceDE w:val="0"/>
              <w:autoSpaceDN w:val="0"/>
              <w:adjustRightInd w:val="0"/>
              <w:spacing w:after="0"/>
              <w:jc w:val="center"/>
              <w:rPr>
                <w:rFonts w:ascii="Times New Roman" w:hAnsi="Times New Roman" w:cs="Times New Roman"/>
                <w:bCs/>
              </w:rPr>
            </w:pPr>
            <w:r>
              <w:rPr>
                <w:rFonts w:ascii="Georgia" w:hAnsi="Georgia"/>
                <w:color w:val="1F1F1F"/>
              </w:rPr>
              <w:t>Cotton swab &amp; Test strip</w:t>
            </w:r>
          </w:p>
        </w:tc>
        <w:tc>
          <w:tcPr>
            <w:tcW w:w="864" w:type="dxa"/>
            <w:vAlign w:val="center"/>
          </w:tcPr>
          <w:p w14:paraId="716E17D0" w14:textId="77777777" w:rsidR="006F1AE3" w:rsidRDefault="006F1AE3" w:rsidP="00AC3BE7">
            <w:pPr>
              <w:autoSpaceDE w:val="0"/>
              <w:autoSpaceDN w:val="0"/>
              <w:adjustRightInd w:val="0"/>
              <w:spacing w:after="0"/>
              <w:jc w:val="center"/>
              <w:rPr>
                <w:rFonts w:ascii="Times New Roman" w:hAnsi="Times New Roman" w:cs="Times New Roman"/>
                <w:bCs/>
              </w:rPr>
            </w:pPr>
            <w:r>
              <w:rPr>
                <w:rFonts w:ascii="Times New Roman" w:hAnsi="Times New Roman" w:cs="Times New Roman"/>
                <w:bCs/>
              </w:rPr>
              <w:fldChar w:fldCharType="begin" w:fldLock="1"/>
            </w:r>
            <w:r>
              <w:rPr>
                <w:rFonts w:ascii="Times New Roman" w:hAnsi="Times New Roman" w:cs="Times New Roman"/>
                <w:bCs/>
              </w:rPr>
              <w:instrText>ADDIN CSL_CITATION {"citationItems":[{"id":"ITEM-1","itemData":{"DOI":"10.1016/j.molliq.2020.114833","ISSN":"01677322","abstract":"In the present work, an easy to make imine based receptor (3,3′(((5-(tert-butyl)-2-hydroxy-1,3-phenylene)bis(methanylylidene))bis(azanylylidene))bis(2-aminomaleonitrile)) (CNA) has been synthesized in good yield and characterized by spectral methods. CNA showed rapid, selective and sensitive naked-eye dual channel response (colorimetric and fluorogenic) towards cyanide ion. The receptor exhibited instantaneous colour change upon addition of cyanide ion based on deprotonation of phenolic –OH moiety in neat DMSO, 30% aq. DMSO and solid media. Interestingly, CNA showed red-emission (640 nm &lt; λem &lt; 677 nm) upon treatment with cyanide ion in all these media. Limit of detection of CNA for cyanide ion was determined to be 0.5 μM, which is much lower than the permissible limit of cyanide in drinking water as recommended by the World Health Organization. The fabricated cotton swabs and test strips demonstrated excellent selectivity towards cyanide ion in aqueous solution. Further, CNA is suitable for dual channel detection of cyanide ion in food materials. Furthermore, the observable colour change of the probe upon binding with cyanide ion has successfully been integrated with a smartphone Colour Picker app to estimate cyanide ions.","author":[{"dropping-particle":"","family":"Nandhini","given":"C.","non-dropping-particle":"","parse-names":false,"suffix":""},{"dropping-particle":"","family":"Kumar","given":"P. Saravana","non-dropping-particle":"","parse-names":false,"suffix":""},{"dropping-particle":"","family":"Poongodi","given":"K.","non-dropping-particle":"","parse-names":false,"suffix":""},{"dropping-particle":"","family":"Shanmugapriya","given":"R.","non-dropping-particle":"","parse-names":false,"suffix":""},{"dropping-particle":"","family":"Elango","given":"Kuppanagounder P.","non-dropping-particle":"","parse-names":false,"suffix":""}],"container-title":"Journal of Molecular Liquids","id":"ITEM-1","issued":{"date-parts":[["2021"]]},"page":"114833","publisher":"Elsevier","title":"Development of simple imine based probe for selective fluorescent cyanide sensing with red-emission in solid and solution phases","type":"article-journal","volume":"327"},"uris":["http://www.mendeley.com/documents/?uuid=f16b02fe-32cb-427c-83ef-bd81ab69416e"]}],"mendeley":{"formattedCitation":"[40]","plainTextFormattedCitation":"[40]","previouslyFormattedCitation":"[40]"},"properties":{"noteIndex":0},"schema":"https://github.com/citation-style-language/schema/raw/master/csl-citation.json"}</w:instrText>
            </w:r>
            <w:r>
              <w:rPr>
                <w:rFonts w:ascii="Times New Roman" w:hAnsi="Times New Roman" w:cs="Times New Roman"/>
                <w:bCs/>
              </w:rPr>
              <w:fldChar w:fldCharType="separate"/>
            </w:r>
            <w:r w:rsidRPr="00760468">
              <w:rPr>
                <w:rFonts w:ascii="Times New Roman" w:hAnsi="Times New Roman" w:cs="Times New Roman"/>
                <w:bCs/>
                <w:noProof/>
              </w:rPr>
              <w:t>[40]</w:t>
            </w:r>
            <w:r>
              <w:rPr>
                <w:rFonts w:ascii="Times New Roman" w:hAnsi="Times New Roman" w:cs="Times New Roman"/>
                <w:bCs/>
              </w:rPr>
              <w:fldChar w:fldCharType="end"/>
            </w:r>
          </w:p>
        </w:tc>
      </w:tr>
      <w:tr w:rsidR="006F1AE3" w:rsidRPr="00632EDB" w14:paraId="425A0E32" w14:textId="77777777" w:rsidTr="00AC3BE7">
        <w:tc>
          <w:tcPr>
            <w:tcW w:w="2708" w:type="dxa"/>
            <w:vAlign w:val="center"/>
          </w:tcPr>
          <w:p w14:paraId="08C65629" w14:textId="77777777" w:rsidR="006F1AE3" w:rsidRDefault="006F1AE3" w:rsidP="00AC3BE7">
            <w:pPr>
              <w:autoSpaceDE w:val="0"/>
              <w:autoSpaceDN w:val="0"/>
              <w:adjustRightInd w:val="0"/>
              <w:spacing w:after="0"/>
              <w:jc w:val="center"/>
            </w:pPr>
            <w:r>
              <w:object w:dxaOrig="2801" w:dyaOrig="2268" w14:anchorId="2C37689F">
                <v:shape id="_x0000_i1034" type="#_x0000_t75" style="width:96.75pt;height:79.5pt" o:ole="">
                  <v:imagedata r:id="rId22" o:title=""/>
                </v:shape>
                <o:OLEObject Type="Embed" ProgID="ChemDraw.Document.6.0" ShapeID="_x0000_i1034" DrawAspect="Content" ObjectID="_1792922394" r:id="rId23"/>
              </w:object>
            </w:r>
          </w:p>
        </w:tc>
        <w:tc>
          <w:tcPr>
            <w:tcW w:w="1121" w:type="dxa"/>
            <w:vAlign w:val="center"/>
          </w:tcPr>
          <w:p w14:paraId="3BE41133" w14:textId="77777777" w:rsidR="006F1AE3" w:rsidRDefault="006F1AE3" w:rsidP="00AC3BE7">
            <w:pPr>
              <w:autoSpaceDE w:val="0"/>
              <w:autoSpaceDN w:val="0"/>
              <w:adjustRightInd w:val="0"/>
              <w:spacing w:after="0"/>
              <w:jc w:val="center"/>
              <w:rPr>
                <w:rFonts w:ascii="Times New Roman" w:hAnsi="Times New Roman" w:cs="Times New Roman"/>
                <w:bCs/>
              </w:rPr>
            </w:pPr>
            <w:r>
              <w:rPr>
                <w:rFonts w:ascii="Times New Roman" w:hAnsi="Times New Roman" w:cs="Times New Roman"/>
                <w:bCs/>
              </w:rPr>
              <w:t>UV-Vis / FL</w:t>
            </w:r>
          </w:p>
        </w:tc>
        <w:tc>
          <w:tcPr>
            <w:tcW w:w="669" w:type="dxa"/>
            <w:vAlign w:val="center"/>
          </w:tcPr>
          <w:p w14:paraId="3774B51C" w14:textId="77777777" w:rsidR="006F1AE3" w:rsidRDefault="006F1AE3" w:rsidP="00AC3BE7">
            <w:pPr>
              <w:autoSpaceDE w:val="0"/>
              <w:autoSpaceDN w:val="0"/>
              <w:adjustRightInd w:val="0"/>
              <w:spacing w:after="0"/>
              <w:jc w:val="center"/>
              <w:rPr>
                <w:rFonts w:ascii="Times New Roman" w:hAnsi="Times New Roman" w:cs="Times New Roman"/>
                <w:bCs/>
              </w:rPr>
            </w:pPr>
            <w:r>
              <w:rPr>
                <w:rFonts w:ascii="Times New Roman" w:hAnsi="Times New Roman" w:cs="Times New Roman"/>
                <w:bCs/>
              </w:rPr>
              <w:t>350/ 535</w:t>
            </w:r>
          </w:p>
        </w:tc>
        <w:tc>
          <w:tcPr>
            <w:tcW w:w="581" w:type="dxa"/>
            <w:vAlign w:val="center"/>
          </w:tcPr>
          <w:p w14:paraId="1354B603" w14:textId="77777777" w:rsidR="006F1AE3" w:rsidRDefault="006F1AE3" w:rsidP="00AC3BE7">
            <w:pPr>
              <w:autoSpaceDE w:val="0"/>
              <w:autoSpaceDN w:val="0"/>
              <w:adjustRightInd w:val="0"/>
              <w:spacing w:after="0"/>
              <w:jc w:val="center"/>
              <w:rPr>
                <w:rFonts w:ascii="Times New Roman" w:hAnsi="Times New Roman" w:cs="Times New Roman"/>
                <w:bCs/>
              </w:rPr>
            </w:pPr>
            <w:r>
              <w:rPr>
                <w:rFonts w:ascii="Times New Roman" w:hAnsi="Times New Roman" w:cs="Times New Roman"/>
                <w:bCs/>
              </w:rPr>
              <w:t>1:1</w:t>
            </w:r>
          </w:p>
        </w:tc>
        <w:tc>
          <w:tcPr>
            <w:tcW w:w="631" w:type="dxa"/>
            <w:vAlign w:val="center"/>
          </w:tcPr>
          <w:p w14:paraId="33D74577" w14:textId="77777777" w:rsidR="006F1AE3" w:rsidRDefault="006F1AE3" w:rsidP="00AC3BE7">
            <w:pPr>
              <w:autoSpaceDE w:val="0"/>
              <w:autoSpaceDN w:val="0"/>
              <w:adjustRightInd w:val="0"/>
              <w:spacing w:after="0"/>
              <w:jc w:val="center"/>
              <w:rPr>
                <w:rFonts w:ascii="Times New Roman" w:hAnsi="Times New Roman" w:cs="Times New Roman"/>
                <w:bCs/>
              </w:rPr>
            </w:pPr>
            <w:r>
              <w:rPr>
                <w:rFonts w:ascii="Times New Roman" w:hAnsi="Times New Roman" w:cs="Times New Roman"/>
                <w:bCs/>
              </w:rPr>
              <w:t>2.04 ×10</w:t>
            </w:r>
            <w:r w:rsidRPr="00760974">
              <w:rPr>
                <w:rFonts w:ascii="Times New Roman" w:hAnsi="Times New Roman" w:cs="Times New Roman"/>
                <w:bCs/>
                <w:vertAlign w:val="superscript"/>
              </w:rPr>
              <w:t>5</w:t>
            </w:r>
          </w:p>
        </w:tc>
        <w:tc>
          <w:tcPr>
            <w:tcW w:w="693" w:type="dxa"/>
            <w:vAlign w:val="center"/>
          </w:tcPr>
          <w:p w14:paraId="6490BECB" w14:textId="77777777" w:rsidR="006F1AE3" w:rsidRDefault="006F1AE3" w:rsidP="00AC3BE7">
            <w:pPr>
              <w:autoSpaceDE w:val="0"/>
              <w:autoSpaceDN w:val="0"/>
              <w:adjustRightInd w:val="0"/>
              <w:spacing w:after="0"/>
              <w:jc w:val="center"/>
              <w:rPr>
                <w:rFonts w:ascii="Times New Roman" w:hAnsi="Times New Roman" w:cs="Times New Roman"/>
                <w:bCs/>
              </w:rPr>
            </w:pPr>
            <w:r>
              <w:rPr>
                <w:rFonts w:ascii="Times New Roman" w:hAnsi="Times New Roman" w:cs="Times New Roman"/>
                <w:bCs/>
              </w:rPr>
              <w:t>1.48 nM</w:t>
            </w:r>
          </w:p>
        </w:tc>
        <w:tc>
          <w:tcPr>
            <w:tcW w:w="1011" w:type="dxa"/>
            <w:vAlign w:val="center"/>
          </w:tcPr>
          <w:p w14:paraId="1FF46669" w14:textId="77777777" w:rsidR="006F1AE3" w:rsidRDefault="006F1AE3" w:rsidP="00AC3BE7">
            <w:pPr>
              <w:autoSpaceDE w:val="0"/>
              <w:autoSpaceDN w:val="0"/>
              <w:adjustRightInd w:val="0"/>
              <w:spacing w:after="0"/>
              <w:jc w:val="center"/>
              <w:rPr>
                <w:rFonts w:ascii="Times New Roman" w:hAnsi="Times New Roman" w:cs="Times New Roman"/>
                <w:bCs/>
              </w:rPr>
            </w:pPr>
            <w:r>
              <w:rPr>
                <w:rFonts w:ascii="Times New Roman" w:hAnsi="Times New Roman" w:cs="Times New Roman"/>
                <w:bCs/>
              </w:rPr>
              <w:t>CH</w:t>
            </w:r>
            <w:r w:rsidRPr="00947F97">
              <w:rPr>
                <w:rFonts w:ascii="Times New Roman" w:hAnsi="Times New Roman" w:cs="Times New Roman"/>
                <w:bCs/>
                <w:vertAlign w:val="subscript"/>
              </w:rPr>
              <w:t>3</w:t>
            </w:r>
            <w:r>
              <w:rPr>
                <w:rFonts w:ascii="Times New Roman" w:hAnsi="Times New Roman" w:cs="Times New Roman"/>
                <w:bCs/>
              </w:rPr>
              <w:t>CN: H</w:t>
            </w:r>
            <w:r w:rsidRPr="00A075C8">
              <w:rPr>
                <w:rFonts w:ascii="Times New Roman" w:hAnsi="Times New Roman" w:cs="Times New Roman"/>
                <w:bCs/>
                <w:vertAlign w:val="subscript"/>
              </w:rPr>
              <w:t>2</w:t>
            </w:r>
            <w:r>
              <w:rPr>
                <w:rFonts w:ascii="Times New Roman" w:hAnsi="Times New Roman" w:cs="Times New Roman"/>
                <w:bCs/>
              </w:rPr>
              <w:t>O (8:2, v/v)</w:t>
            </w:r>
          </w:p>
        </w:tc>
        <w:tc>
          <w:tcPr>
            <w:tcW w:w="1317" w:type="dxa"/>
            <w:vAlign w:val="center"/>
          </w:tcPr>
          <w:p w14:paraId="7E099CDD" w14:textId="77777777" w:rsidR="006F1AE3" w:rsidRDefault="006F1AE3" w:rsidP="00AC3BE7">
            <w:pPr>
              <w:autoSpaceDE w:val="0"/>
              <w:autoSpaceDN w:val="0"/>
              <w:adjustRightInd w:val="0"/>
              <w:spacing w:after="0"/>
              <w:jc w:val="center"/>
              <w:rPr>
                <w:rFonts w:ascii="Georgia" w:hAnsi="Georgia"/>
                <w:color w:val="1F1F1F"/>
              </w:rPr>
            </w:pPr>
            <w:r>
              <w:rPr>
                <w:rFonts w:ascii="Times New Roman" w:hAnsi="Times New Roman" w:cs="Times New Roman"/>
                <w:bCs/>
              </w:rPr>
              <w:t>Food sample analysis</w:t>
            </w:r>
          </w:p>
        </w:tc>
        <w:tc>
          <w:tcPr>
            <w:tcW w:w="864" w:type="dxa"/>
            <w:vAlign w:val="center"/>
          </w:tcPr>
          <w:p w14:paraId="51D3B881" w14:textId="77777777" w:rsidR="006F1AE3" w:rsidRDefault="006F1AE3" w:rsidP="00AC3BE7">
            <w:pPr>
              <w:autoSpaceDE w:val="0"/>
              <w:autoSpaceDN w:val="0"/>
              <w:adjustRightInd w:val="0"/>
              <w:spacing w:after="0"/>
              <w:jc w:val="center"/>
              <w:rPr>
                <w:rFonts w:ascii="Times New Roman" w:hAnsi="Times New Roman" w:cs="Times New Roman"/>
                <w:bCs/>
              </w:rPr>
            </w:pPr>
            <w:r>
              <w:rPr>
                <w:rFonts w:ascii="Times New Roman" w:hAnsi="Times New Roman" w:cs="Times New Roman"/>
                <w:bCs/>
              </w:rPr>
              <w:t>Present Work</w:t>
            </w:r>
          </w:p>
        </w:tc>
      </w:tr>
    </w:tbl>
    <w:p w14:paraId="3FCB2904" w14:textId="77777777" w:rsidR="008C374B" w:rsidRDefault="008C374B"/>
    <w:sectPr w:rsidR="008C374B">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Georgia">
    <w:panose1 w:val="02040502050405020303"/>
    <w:charset w:val="00"/>
    <w:family w:val="roman"/>
    <w:pitch w:val="variable"/>
    <w:sig w:usb0="00000287" w:usb1="00000000" w:usb2="00000000" w:usb3="00000000" w:csb0="000000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F1AE3"/>
    <w:rsid w:val="002A5090"/>
    <w:rsid w:val="003F36CB"/>
    <w:rsid w:val="005C6F5D"/>
    <w:rsid w:val="006F1AE3"/>
    <w:rsid w:val="008C374B"/>
    <w:rsid w:val="00954821"/>
    <w:rsid w:val="00AF416B"/>
    <w:rsid w:val="00C175C9"/>
    <w:rsid w:val="00E459B1"/>
    <w:rsid w:val="00E910FB"/>
    <w:rsid w:val="00FD242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F773EE9"/>
  <w15:chartTrackingRefBased/>
  <w15:docId w15:val="{2EAA11F6-B331-47BF-A0F2-A35E281DF89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F1AE3"/>
    <w:pPr>
      <w:spacing w:after="200" w:line="276" w:lineRule="auto"/>
    </w:pPr>
    <w:rPr>
      <w:kern w:val="0"/>
      <w:lang w:val="en-IN"/>
      <w14:ligatures w14:val="none"/>
    </w:rPr>
  </w:style>
  <w:style w:type="paragraph" w:styleId="Heading1">
    <w:name w:val="heading 1"/>
    <w:basedOn w:val="Normal"/>
    <w:next w:val="Normal"/>
    <w:link w:val="Heading1Char"/>
    <w:uiPriority w:val="9"/>
    <w:qFormat/>
    <w:rsid w:val="006F1AE3"/>
    <w:pPr>
      <w:keepNext/>
      <w:keepLines/>
      <w:spacing w:before="360" w:after="80" w:line="259" w:lineRule="auto"/>
      <w:outlineLvl w:val="0"/>
    </w:pPr>
    <w:rPr>
      <w:rFonts w:asciiTheme="majorHAnsi" w:eastAsiaTheme="majorEastAsia" w:hAnsiTheme="majorHAnsi" w:cstheme="majorBidi"/>
      <w:color w:val="0F4761" w:themeColor="accent1" w:themeShade="BF"/>
      <w:kern w:val="2"/>
      <w:sz w:val="40"/>
      <w:szCs w:val="40"/>
      <w:lang w:val="en-US"/>
      <w14:ligatures w14:val="standardContextual"/>
    </w:rPr>
  </w:style>
  <w:style w:type="paragraph" w:styleId="Heading2">
    <w:name w:val="heading 2"/>
    <w:basedOn w:val="Normal"/>
    <w:next w:val="Normal"/>
    <w:link w:val="Heading2Char"/>
    <w:uiPriority w:val="9"/>
    <w:semiHidden/>
    <w:unhideWhenUsed/>
    <w:qFormat/>
    <w:rsid w:val="006F1AE3"/>
    <w:pPr>
      <w:keepNext/>
      <w:keepLines/>
      <w:spacing w:before="160" w:after="80" w:line="259" w:lineRule="auto"/>
      <w:outlineLvl w:val="1"/>
    </w:pPr>
    <w:rPr>
      <w:rFonts w:asciiTheme="majorHAnsi" w:eastAsiaTheme="majorEastAsia" w:hAnsiTheme="majorHAnsi" w:cstheme="majorBidi"/>
      <w:color w:val="0F4761" w:themeColor="accent1" w:themeShade="BF"/>
      <w:kern w:val="2"/>
      <w:sz w:val="32"/>
      <w:szCs w:val="32"/>
      <w:lang w:val="en-US"/>
      <w14:ligatures w14:val="standardContextual"/>
    </w:rPr>
  </w:style>
  <w:style w:type="paragraph" w:styleId="Heading3">
    <w:name w:val="heading 3"/>
    <w:basedOn w:val="Normal"/>
    <w:next w:val="Normal"/>
    <w:link w:val="Heading3Char"/>
    <w:uiPriority w:val="9"/>
    <w:semiHidden/>
    <w:unhideWhenUsed/>
    <w:qFormat/>
    <w:rsid w:val="006F1AE3"/>
    <w:pPr>
      <w:keepNext/>
      <w:keepLines/>
      <w:spacing w:before="160" w:after="80" w:line="259" w:lineRule="auto"/>
      <w:outlineLvl w:val="2"/>
    </w:pPr>
    <w:rPr>
      <w:rFonts w:eastAsiaTheme="majorEastAsia" w:cstheme="majorBidi"/>
      <w:color w:val="0F4761" w:themeColor="accent1" w:themeShade="BF"/>
      <w:kern w:val="2"/>
      <w:sz w:val="28"/>
      <w:szCs w:val="28"/>
      <w:lang w:val="en-US"/>
      <w14:ligatures w14:val="standardContextual"/>
    </w:rPr>
  </w:style>
  <w:style w:type="paragraph" w:styleId="Heading4">
    <w:name w:val="heading 4"/>
    <w:basedOn w:val="Normal"/>
    <w:next w:val="Normal"/>
    <w:link w:val="Heading4Char"/>
    <w:uiPriority w:val="9"/>
    <w:semiHidden/>
    <w:unhideWhenUsed/>
    <w:qFormat/>
    <w:rsid w:val="006F1AE3"/>
    <w:pPr>
      <w:keepNext/>
      <w:keepLines/>
      <w:spacing w:before="80" w:after="40" w:line="259" w:lineRule="auto"/>
      <w:outlineLvl w:val="3"/>
    </w:pPr>
    <w:rPr>
      <w:rFonts w:eastAsiaTheme="majorEastAsia" w:cstheme="majorBidi"/>
      <w:i/>
      <w:iCs/>
      <w:color w:val="0F4761" w:themeColor="accent1" w:themeShade="BF"/>
      <w:kern w:val="2"/>
      <w:lang w:val="en-US"/>
      <w14:ligatures w14:val="standardContextual"/>
    </w:rPr>
  </w:style>
  <w:style w:type="paragraph" w:styleId="Heading5">
    <w:name w:val="heading 5"/>
    <w:basedOn w:val="Normal"/>
    <w:next w:val="Normal"/>
    <w:link w:val="Heading5Char"/>
    <w:uiPriority w:val="9"/>
    <w:semiHidden/>
    <w:unhideWhenUsed/>
    <w:qFormat/>
    <w:rsid w:val="006F1AE3"/>
    <w:pPr>
      <w:keepNext/>
      <w:keepLines/>
      <w:spacing w:before="80" w:after="40" w:line="259" w:lineRule="auto"/>
      <w:outlineLvl w:val="4"/>
    </w:pPr>
    <w:rPr>
      <w:rFonts w:eastAsiaTheme="majorEastAsia" w:cstheme="majorBidi"/>
      <w:color w:val="0F4761" w:themeColor="accent1" w:themeShade="BF"/>
      <w:kern w:val="2"/>
      <w:lang w:val="en-US"/>
      <w14:ligatures w14:val="standardContextual"/>
    </w:rPr>
  </w:style>
  <w:style w:type="paragraph" w:styleId="Heading6">
    <w:name w:val="heading 6"/>
    <w:basedOn w:val="Normal"/>
    <w:next w:val="Normal"/>
    <w:link w:val="Heading6Char"/>
    <w:uiPriority w:val="9"/>
    <w:semiHidden/>
    <w:unhideWhenUsed/>
    <w:qFormat/>
    <w:rsid w:val="006F1AE3"/>
    <w:pPr>
      <w:keepNext/>
      <w:keepLines/>
      <w:spacing w:before="40" w:after="0" w:line="259" w:lineRule="auto"/>
      <w:outlineLvl w:val="5"/>
    </w:pPr>
    <w:rPr>
      <w:rFonts w:eastAsiaTheme="majorEastAsia" w:cstheme="majorBidi"/>
      <w:i/>
      <w:iCs/>
      <w:color w:val="595959" w:themeColor="text1" w:themeTint="A6"/>
      <w:kern w:val="2"/>
      <w:lang w:val="en-US"/>
      <w14:ligatures w14:val="standardContextual"/>
    </w:rPr>
  </w:style>
  <w:style w:type="paragraph" w:styleId="Heading7">
    <w:name w:val="heading 7"/>
    <w:basedOn w:val="Normal"/>
    <w:next w:val="Normal"/>
    <w:link w:val="Heading7Char"/>
    <w:uiPriority w:val="9"/>
    <w:semiHidden/>
    <w:unhideWhenUsed/>
    <w:qFormat/>
    <w:rsid w:val="006F1AE3"/>
    <w:pPr>
      <w:keepNext/>
      <w:keepLines/>
      <w:spacing w:before="40" w:after="0" w:line="259" w:lineRule="auto"/>
      <w:outlineLvl w:val="6"/>
    </w:pPr>
    <w:rPr>
      <w:rFonts w:eastAsiaTheme="majorEastAsia" w:cstheme="majorBidi"/>
      <w:color w:val="595959" w:themeColor="text1" w:themeTint="A6"/>
      <w:kern w:val="2"/>
      <w:lang w:val="en-US"/>
      <w14:ligatures w14:val="standardContextual"/>
    </w:rPr>
  </w:style>
  <w:style w:type="paragraph" w:styleId="Heading8">
    <w:name w:val="heading 8"/>
    <w:basedOn w:val="Normal"/>
    <w:next w:val="Normal"/>
    <w:link w:val="Heading8Char"/>
    <w:uiPriority w:val="9"/>
    <w:semiHidden/>
    <w:unhideWhenUsed/>
    <w:qFormat/>
    <w:rsid w:val="006F1AE3"/>
    <w:pPr>
      <w:keepNext/>
      <w:keepLines/>
      <w:spacing w:after="0" w:line="259" w:lineRule="auto"/>
      <w:outlineLvl w:val="7"/>
    </w:pPr>
    <w:rPr>
      <w:rFonts w:eastAsiaTheme="majorEastAsia" w:cstheme="majorBidi"/>
      <w:i/>
      <w:iCs/>
      <w:color w:val="272727" w:themeColor="text1" w:themeTint="D8"/>
      <w:kern w:val="2"/>
      <w:lang w:val="en-US"/>
      <w14:ligatures w14:val="standardContextual"/>
    </w:rPr>
  </w:style>
  <w:style w:type="paragraph" w:styleId="Heading9">
    <w:name w:val="heading 9"/>
    <w:basedOn w:val="Normal"/>
    <w:next w:val="Normal"/>
    <w:link w:val="Heading9Char"/>
    <w:uiPriority w:val="9"/>
    <w:semiHidden/>
    <w:unhideWhenUsed/>
    <w:qFormat/>
    <w:rsid w:val="006F1AE3"/>
    <w:pPr>
      <w:keepNext/>
      <w:keepLines/>
      <w:spacing w:after="0" w:line="259" w:lineRule="auto"/>
      <w:outlineLvl w:val="8"/>
    </w:pPr>
    <w:rPr>
      <w:rFonts w:eastAsiaTheme="majorEastAsia" w:cstheme="majorBidi"/>
      <w:color w:val="272727" w:themeColor="text1" w:themeTint="D8"/>
      <w:kern w:val="2"/>
      <w:lang w:val="en-US"/>
      <w14:ligatures w14:val="standardContextu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F1AE3"/>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6F1AE3"/>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6F1AE3"/>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6F1AE3"/>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6F1AE3"/>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6F1AE3"/>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6F1AE3"/>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6F1AE3"/>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6F1AE3"/>
    <w:rPr>
      <w:rFonts w:eastAsiaTheme="majorEastAsia" w:cstheme="majorBidi"/>
      <w:color w:val="272727" w:themeColor="text1" w:themeTint="D8"/>
    </w:rPr>
  </w:style>
  <w:style w:type="paragraph" w:styleId="Title">
    <w:name w:val="Title"/>
    <w:basedOn w:val="Normal"/>
    <w:next w:val="Normal"/>
    <w:link w:val="TitleChar"/>
    <w:uiPriority w:val="10"/>
    <w:qFormat/>
    <w:rsid w:val="006F1AE3"/>
    <w:pPr>
      <w:spacing w:after="80" w:line="240" w:lineRule="auto"/>
      <w:contextualSpacing/>
    </w:pPr>
    <w:rPr>
      <w:rFonts w:asciiTheme="majorHAnsi" w:eastAsiaTheme="majorEastAsia" w:hAnsiTheme="majorHAnsi" w:cstheme="majorBidi"/>
      <w:spacing w:val="-10"/>
      <w:kern w:val="28"/>
      <w:sz w:val="56"/>
      <w:szCs w:val="56"/>
      <w:lang w:val="en-US"/>
      <w14:ligatures w14:val="standardContextual"/>
    </w:rPr>
  </w:style>
  <w:style w:type="character" w:customStyle="1" w:styleId="TitleChar">
    <w:name w:val="Title Char"/>
    <w:basedOn w:val="DefaultParagraphFont"/>
    <w:link w:val="Title"/>
    <w:uiPriority w:val="10"/>
    <w:rsid w:val="006F1AE3"/>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6F1AE3"/>
    <w:pPr>
      <w:numPr>
        <w:ilvl w:val="1"/>
      </w:numPr>
      <w:spacing w:after="160" w:line="259" w:lineRule="auto"/>
    </w:pPr>
    <w:rPr>
      <w:rFonts w:eastAsiaTheme="majorEastAsia" w:cstheme="majorBidi"/>
      <w:color w:val="595959" w:themeColor="text1" w:themeTint="A6"/>
      <w:spacing w:val="15"/>
      <w:kern w:val="2"/>
      <w:sz w:val="28"/>
      <w:szCs w:val="28"/>
      <w:lang w:val="en-US"/>
      <w14:ligatures w14:val="standardContextual"/>
    </w:rPr>
  </w:style>
  <w:style w:type="character" w:customStyle="1" w:styleId="SubtitleChar">
    <w:name w:val="Subtitle Char"/>
    <w:basedOn w:val="DefaultParagraphFont"/>
    <w:link w:val="Subtitle"/>
    <w:uiPriority w:val="11"/>
    <w:rsid w:val="006F1AE3"/>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6F1AE3"/>
    <w:pPr>
      <w:spacing w:before="160" w:after="160" w:line="259" w:lineRule="auto"/>
      <w:jc w:val="center"/>
    </w:pPr>
    <w:rPr>
      <w:i/>
      <w:iCs/>
      <w:color w:val="404040" w:themeColor="text1" w:themeTint="BF"/>
      <w:kern w:val="2"/>
      <w:lang w:val="en-US"/>
      <w14:ligatures w14:val="standardContextual"/>
    </w:rPr>
  </w:style>
  <w:style w:type="character" w:customStyle="1" w:styleId="QuoteChar">
    <w:name w:val="Quote Char"/>
    <w:basedOn w:val="DefaultParagraphFont"/>
    <w:link w:val="Quote"/>
    <w:uiPriority w:val="29"/>
    <w:rsid w:val="006F1AE3"/>
    <w:rPr>
      <w:i/>
      <w:iCs/>
      <w:color w:val="404040" w:themeColor="text1" w:themeTint="BF"/>
    </w:rPr>
  </w:style>
  <w:style w:type="paragraph" w:styleId="ListParagraph">
    <w:name w:val="List Paragraph"/>
    <w:basedOn w:val="Normal"/>
    <w:uiPriority w:val="34"/>
    <w:qFormat/>
    <w:rsid w:val="006F1AE3"/>
    <w:pPr>
      <w:spacing w:after="160" w:line="259" w:lineRule="auto"/>
      <w:ind w:left="720"/>
      <w:contextualSpacing/>
    </w:pPr>
    <w:rPr>
      <w:kern w:val="2"/>
      <w:lang w:val="en-US"/>
      <w14:ligatures w14:val="standardContextual"/>
    </w:rPr>
  </w:style>
  <w:style w:type="character" w:styleId="IntenseEmphasis">
    <w:name w:val="Intense Emphasis"/>
    <w:basedOn w:val="DefaultParagraphFont"/>
    <w:uiPriority w:val="21"/>
    <w:qFormat/>
    <w:rsid w:val="006F1AE3"/>
    <w:rPr>
      <w:i/>
      <w:iCs/>
      <w:color w:val="0F4761" w:themeColor="accent1" w:themeShade="BF"/>
    </w:rPr>
  </w:style>
  <w:style w:type="paragraph" w:styleId="IntenseQuote">
    <w:name w:val="Intense Quote"/>
    <w:basedOn w:val="Normal"/>
    <w:next w:val="Normal"/>
    <w:link w:val="IntenseQuoteChar"/>
    <w:uiPriority w:val="30"/>
    <w:qFormat/>
    <w:rsid w:val="006F1AE3"/>
    <w:pPr>
      <w:pBdr>
        <w:top w:val="single" w:sz="4" w:space="10" w:color="0F4761" w:themeColor="accent1" w:themeShade="BF"/>
        <w:bottom w:val="single" w:sz="4" w:space="10" w:color="0F4761" w:themeColor="accent1" w:themeShade="BF"/>
      </w:pBdr>
      <w:spacing w:before="360" w:after="360" w:line="259" w:lineRule="auto"/>
      <w:ind w:left="864" w:right="864"/>
      <w:jc w:val="center"/>
    </w:pPr>
    <w:rPr>
      <w:i/>
      <w:iCs/>
      <w:color w:val="0F4761" w:themeColor="accent1" w:themeShade="BF"/>
      <w:kern w:val="2"/>
      <w:lang w:val="en-US"/>
      <w14:ligatures w14:val="standardContextual"/>
    </w:rPr>
  </w:style>
  <w:style w:type="character" w:customStyle="1" w:styleId="IntenseQuoteChar">
    <w:name w:val="Intense Quote Char"/>
    <w:basedOn w:val="DefaultParagraphFont"/>
    <w:link w:val="IntenseQuote"/>
    <w:uiPriority w:val="30"/>
    <w:rsid w:val="006F1AE3"/>
    <w:rPr>
      <w:i/>
      <w:iCs/>
      <w:color w:val="0F4761" w:themeColor="accent1" w:themeShade="BF"/>
    </w:rPr>
  </w:style>
  <w:style w:type="character" w:styleId="IntenseReference">
    <w:name w:val="Intense Reference"/>
    <w:basedOn w:val="DefaultParagraphFont"/>
    <w:uiPriority w:val="32"/>
    <w:qFormat/>
    <w:rsid w:val="006F1AE3"/>
    <w:rPr>
      <w:b/>
      <w:bCs/>
      <w:smallCaps/>
      <w:color w:val="0F4761" w:themeColor="accent1" w:themeShade="BF"/>
      <w:spacing w:val="5"/>
    </w:rPr>
  </w:style>
  <w:style w:type="table" w:styleId="TableGrid">
    <w:name w:val="Table Grid"/>
    <w:basedOn w:val="TableNormal"/>
    <w:uiPriority w:val="59"/>
    <w:rsid w:val="006F1AE3"/>
    <w:pPr>
      <w:spacing w:after="0" w:line="240" w:lineRule="auto"/>
    </w:pPr>
    <w:rPr>
      <w:kern w:val="0"/>
      <w:lang w:val="en-IN"/>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emf"/><Relationship Id="rId13" Type="http://schemas.openxmlformats.org/officeDocument/2006/relationships/oleObject" Target="embeddings/oleObject5.bin"/><Relationship Id="rId18" Type="http://schemas.openxmlformats.org/officeDocument/2006/relationships/image" Target="media/image8.emf"/><Relationship Id="rId3" Type="http://schemas.openxmlformats.org/officeDocument/2006/relationships/webSettings" Target="webSettings.xml"/><Relationship Id="rId21" Type="http://schemas.openxmlformats.org/officeDocument/2006/relationships/oleObject" Target="embeddings/oleObject9.bin"/><Relationship Id="rId7" Type="http://schemas.openxmlformats.org/officeDocument/2006/relationships/oleObject" Target="embeddings/oleObject2.bin"/><Relationship Id="rId12" Type="http://schemas.openxmlformats.org/officeDocument/2006/relationships/image" Target="media/image5.emf"/><Relationship Id="rId17" Type="http://schemas.openxmlformats.org/officeDocument/2006/relationships/oleObject" Target="embeddings/oleObject7.bin"/><Relationship Id="rId25" Type="http://schemas.openxmlformats.org/officeDocument/2006/relationships/theme" Target="theme/theme1.xml"/><Relationship Id="rId2" Type="http://schemas.openxmlformats.org/officeDocument/2006/relationships/settings" Target="settings.xml"/><Relationship Id="rId16" Type="http://schemas.openxmlformats.org/officeDocument/2006/relationships/image" Target="media/image7.emf"/><Relationship Id="rId20" Type="http://schemas.openxmlformats.org/officeDocument/2006/relationships/image" Target="media/image9.emf"/><Relationship Id="rId1" Type="http://schemas.openxmlformats.org/officeDocument/2006/relationships/styles" Target="styles.xml"/><Relationship Id="rId6" Type="http://schemas.openxmlformats.org/officeDocument/2006/relationships/image" Target="media/image2.emf"/><Relationship Id="rId11" Type="http://schemas.openxmlformats.org/officeDocument/2006/relationships/oleObject" Target="embeddings/oleObject4.bin"/><Relationship Id="rId24" Type="http://schemas.openxmlformats.org/officeDocument/2006/relationships/fontTable" Target="fontTable.xml"/><Relationship Id="rId5" Type="http://schemas.openxmlformats.org/officeDocument/2006/relationships/oleObject" Target="embeddings/oleObject1.bin"/><Relationship Id="rId15" Type="http://schemas.openxmlformats.org/officeDocument/2006/relationships/oleObject" Target="embeddings/oleObject6.bin"/><Relationship Id="rId23" Type="http://schemas.openxmlformats.org/officeDocument/2006/relationships/oleObject" Target="embeddings/oleObject10.bin"/><Relationship Id="rId10" Type="http://schemas.openxmlformats.org/officeDocument/2006/relationships/image" Target="media/image4.emf"/><Relationship Id="rId19" Type="http://schemas.openxmlformats.org/officeDocument/2006/relationships/oleObject" Target="embeddings/oleObject8.bin"/><Relationship Id="rId4" Type="http://schemas.openxmlformats.org/officeDocument/2006/relationships/image" Target="media/image1.emf"/><Relationship Id="rId9" Type="http://schemas.openxmlformats.org/officeDocument/2006/relationships/oleObject" Target="embeddings/oleObject3.bin"/><Relationship Id="rId14" Type="http://schemas.openxmlformats.org/officeDocument/2006/relationships/image" Target="media/image6.emf"/><Relationship Id="rId22" Type="http://schemas.openxmlformats.org/officeDocument/2006/relationships/image" Target="media/image10.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3730</Words>
  <Characters>21265</Characters>
  <Application>Microsoft Office Word</Application>
  <DocSecurity>0</DocSecurity>
  <Lines>177</Lines>
  <Paragraphs>49</Paragraphs>
  <ScaleCrop>false</ScaleCrop>
  <Company>Springer Nature</Company>
  <LinksUpToDate>false</LinksUpToDate>
  <CharactersWithSpaces>24946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Pradeep Gaikwad</dc:creator>
  <cp:keywords/>
  <dc:description/>
  <cp:lastModifiedBy>Pradeep Gaikwad</cp:lastModifiedBy>
  <cp:revision>1</cp:revision>
  <dcterms:created xsi:type="dcterms:W3CDTF">2024-11-12T07:43:00Z</dcterms:created>
  <dcterms:modified xsi:type="dcterms:W3CDTF">2024-11-12T07:43:00Z</dcterms:modified>
</cp:coreProperties>
</file>