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4012" w14:textId="55496BCD" w:rsidR="00F9489E" w:rsidRDefault="00830756">
      <w:pPr>
        <w:spacing w:line="360" w:lineRule="auto"/>
        <w:rPr>
          <w:b/>
          <w:sz w:val="28"/>
          <w:szCs w:val="28"/>
        </w:rPr>
      </w:pPr>
      <w:r>
        <w:rPr>
          <w:rFonts w:hint="eastAsia"/>
          <w:b/>
          <w:sz w:val="28"/>
          <w:szCs w:val="28"/>
        </w:rPr>
        <w:t>Supporting information</w:t>
      </w:r>
    </w:p>
    <w:p w14:paraId="76DAE47F" w14:textId="77777777" w:rsidR="00F9489E" w:rsidRDefault="00830756">
      <w:pPr>
        <w:spacing w:line="360" w:lineRule="auto"/>
        <w:rPr>
          <w:b/>
          <w:sz w:val="24"/>
        </w:rPr>
      </w:pPr>
      <w:r>
        <w:rPr>
          <w:rFonts w:hint="eastAsia"/>
          <w:b/>
          <w:sz w:val="24"/>
        </w:rPr>
        <w:t>P</w:t>
      </w:r>
      <w:r>
        <w:rPr>
          <w:b/>
          <w:sz w:val="24"/>
        </w:rPr>
        <w:t>reparation of mesenchymal stem cells</w:t>
      </w:r>
    </w:p>
    <w:p w14:paraId="467CC15D" w14:textId="77777777" w:rsidR="00F9489E" w:rsidRDefault="00830756">
      <w:pPr>
        <w:spacing w:line="360" w:lineRule="auto"/>
        <w:rPr>
          <w:sz w:val="24"/>
        </w:rPr>
      </w:pPr>
      <w:r>
        <w:rPr>
          <w:rFonts w:hint="eastAsia"/>
          <w:sz w:val="24"/>
        </w:rPr>
        <w:t xml:space="preserve">The humerus, tibia and femur of </w:t>
      </w:r>
      <w:bookmarkStart w:id="0" w:name="OLE_LINK95"/>
      <w:bookmarkStart w:id="1" w:name="OLE_LINK94"/>
      <w:r>
        <w:rPr>
          <w:sz w:val="24"/>
        </w:rPr>
        <w:t>C57BL/6</w:t>
      </w:r>
      <w:bookmarkEnd w:id="0"/>
      <w:bookmarkEnd w:id="1"/>
      <w:r>
        <w:rPr>
          <w:sz w:val="24"/>
        </w:rPr>
        <w:t xml:space="preserve"> pup </w:t>
      </w:r>
      <w:r>
        <w:rPr>
          <w:rFonts w:hint="eastAsia"/>
          <w:sz w:val="24"/>
        </w:rPr>
        <w:t>mice were removed, the bone marrow cavity was rinsed and cut into pieces, and the bone slices were transferred to the digestive solution containing type II collagenase for oscillation digestion at 37</w:t>
      </w:r>
      <w:r>
        <w:rPr>
          <w:rFonts w:hint="eastAsia"/>
          <w:sz w:val="24"/>
        </w:rPr>
        <w:t>℃</w:t>
      </w:r>
      <w:r>
        <w:rPr>
          <w:rFonts w:hint="eastAsia"/>
          <w:sz w:val="24"/>
        </w:rPr>
        <w:t xml:space="preserve"> for 1 h.</w:t>
      </w:r>
      <w:r>
        <w:rPr>
          <w:sz w:val="24"/>
        </w:rPr>
        <w:t xml:space="preserve"> </w:t>
      </w:r>
      <w:r>
        <w:rPr>
          <w:rFonts w:hint="eastAsia"/>
          <w:sz w:val="24"/>
        </w:rPr>
        <w:t>The upper digestive fluid was absorbed and discarded, and the bone slices were cleaned repeatedly with the culture solution. The bone slices were inoculated into a 10 cm plate containing complete culture solution and incubated at 37</w:t>
      </w:r>
      <w:r>
        <w:rPr>
          <w:rFonts w:hint="eastAsia"/>
          <w:sz w:val="24"/>
        </w:rPr>
        <w:t>℃</w:t>
      </w:r>
      <w:r>
        <w:rPr>
          <w:rFonts w:hint="eastAsia"/>
          <w:sz w:val="24"/>
        </w:rPr>
        <w:t xml:space="preserve"> with 5% CO</w:t>
      </w:r>
      <w:r>
        <w:rPr>
          <w:rFonts w:hint="eastAsia"/>
          <w:sz w:val="24"/>
          <w:vertAlign w:val="subscript"/>
        </w:rPr>
        <w:t>2</w:t>
      </w:r>
      <w:r>
        <w:rPr>
          <w:rFonts w:hint="eastAsia"/>
          <w:sz w:val="24"/>
        </w:rPr>
        <w:t xml:space="preserve"> for 3 days</w:t>
      </w:r>
      <w:r>
        <w:rPr>
          <w:sz w:val="24"/>
        </w:rPr>
        <w:t xml:space="preserve">. </w:t>
      </w:r>
      <w:r>
        <w:rPr>
          <w:rFonts w:hint="eastAsia"/>
          <w:sz w:val="24"/>
        </w:rPr>
        <w:t>On the third day, the fresh medium was replaced and cultured in the incubator at 37</w:t>
      </w:r>
      <w:r>
        <w:rPr>
          <w:rFonts w:hint="eastAsia"/>
          <w:sz w:val="24"/>
        </w:rPr>
        <w:t>℃</w:t>
      </w:r>
      <w:r>
        <w:rPr>
          <w:rFonts w:hint="eastAsia"/>
          <w:sz w:val="24"/>
        </w:rPr>
        <w:t xml:space="preserve"> with 5% CO</w:t>
      </w:r>
      <w:r>
        <w:rPr>
          <w:rFonts w:hint="eastAsia"/>
          <w:sz w:val="24"/>
          <w:vertAlign w:val="subscript"/>
        </w:rPr>
        <w:t>2</w:t>
      </w:r>
      <w:r>
        <w:rPr>
          <w:rFonts w:hint="eastAsia"/>
          <w:sz w:val="24"/>
        </w:rPr>
        <w:t xml:space="preserve"> for another 2 days. </w:t>
      </w:r>
      <w:r>
        <w:rPr>
          <w:sz w:val="24"/>
        </w:rPr>
        <w:t>Finally, we can find the colonies of cells, which are primary MSCs cells, crawling out of the bone fragments. We have obtained a patent for this technology. The patent number is</w:t>
      </w:r>
      <w:r>
        <w:rPr>
          <w:rFonts w:hint="eastAsia"/>
          <w:sz w:val="24"/>
        </w:rPr>
        <w:t xml:space="preserve"> ZL 2017 1 0628074.3.</w:t>
      </w:r>
    </w:p>
    <w:p w14:paraId="3B12F5E9" w14:textId="77777777" w:rsidR="00F9489E" w:rsidRDefault="00F9489E">
      <w:pPr>
        <w:spacing w:line="360" w:lineRule="auto"/>
        <w:rPr>
          <w:sz w:val="24"/>
        </w:rPr>
      </w:pPr>
    </w:p>
    <w:p w14:paraId="6170BF6A" w14:textId="77777777" w:rsidR="00F9489E" w:rsidRDefault="00830756">
      <w:pPr>
        <w:spacing w:line="360" w:lineRule="auto"/>
        <w:rPr>
          <w:rFonts w:eastAsiaTheme="majorEastAsia"/>
          <w:b/>
          <w:bCs/>
          <w:sz w:val="24"/>
        </w:rPr>
      </w:pPr>
      <w:r>
        <w:rPr>
          <w:rFonts w:eastAsiaTheme="majorEastAsia" w:hint="eastAsia"/>
          <w:b/>
          <w:bCs/>
          <w:sz w:val="24"/>
        </w:rPr>
        <w:t>Visualization of lipid peroxidation</w:t>
      </w:r>
    </w:p>
    <w:p w14:paraId="3D6C2232" w14:textId="77777777" w:rsidR="00F9489E" w:rsidRDefault="00830756">
      <w:pPr>
        <w:spacing w:line="360" w:lineRule="auto"/>
        <w:rPr>
          <w:sz w:val="24"/>
        </w:rPr>
      </w:pPr>
      <w:r>
        <w:rPr>
          <w:rFonts w:hint="eastAsia"/>
          <w:sz w:val="24"/>
        </w:rPr>
        <w:t xml:space="preserve">Liver tissue collected previously was cut into </w:t>
      </w:r>
      <w:r>
        <w:rPr>
          <w:sz w:val="24"/>
        </w:rPr>
        <w:t xml:space="preserve">pieces and digested </w:t>
      </w:r>
      <w:r>
        <w:rPr>
          <w:rFonts w:hint="eastAsia"/>
          <w:sz w:val="24"/>
        </w:rPr>
        <w:t xml:space="preserve">in a RPMI 1640 solution </w:t>
      </w:r>
      <w:r>
        <w:rPr>
          <w:sz w:val="24"/>
        </w:rPr>
        <w:t>supplemented</w:t>
      </w:r>
      <w:r>
        <w:rPr>
          <w:rFonts w:hint="eastAsia"/>
          <w:sz w:val="24"/>
        </w:rPr>
        <w:t xml:space="preserve"> with Type-</w:t>
      </w:r>
      <w:r>
        <w:rPr>
          <w:rFonts w:ascii="宋体" w:hAnsi="宋体" w:hint="eastAsia"/>
          <w:sz w:val="24"/>
        </w:rPr>
        <w:t>Ⅱ</w:t>
      </w:r>
      <w:r>
        <w:rPr>
          <w:rFonts w:hint="eastAsia"/>
          <w:sz w:val="24"/>
        </w:rPr>
        <w:t xml:space="preserve"> collagenase </w:t>
      </w:r>
      <w:r>
        <w:rPr>
          <w:sz w:val="24"/>
        </w:rPr>
        <w:t>(1mg/ml)</w:t>
      </w:r>
      <w:r>
        <w:rPr>
          <w:rFonts w:hint="eastAsia"/>
          <w:sz w:val="24"/>
        </w:rPr>
        <w:t xml:space="preserve"> and DNase </w:t>
      </w:r>
      <w:r>
        <w:rPr>
          <w:sz w:val="24"/>
        </w:rPr>
        <w:t>(0.1mg/ml)</w:t>
      </w:r>
      <w:r>
        <w:rPr>
          <w:rFonts w:hint="eastAsia"/>
          <w:sz w:val="24"/>
        </w:rPr>
        <w:t xml:space="preserve"> </w:t>
      </w:r>
      <w:r>
        <w:rPr>
          <w:sz w:val="24"/>
        </w:rPr>
        <w:t>at 37 ° c for 60 min</w:t>
      </w:r>
      <w:r>
        <w:rPr>
          <w:rFonts w:hint="eastAsia"/>
          <w:sz w:val="24"/>
        </w:rPr>
        <w:t>. Passed through the digested tissue using a 70</w:t>
      </w:r>
      <w:r>
        <w:rPr>
          <w:rFonts w:ascii="宋体" w:hAnsi="宋体" w:hint="eastAsia"/>
          <w:sz w:val="24"/>
        </w:rPr>
        <w:t>μ</w:t>
      </w:r>
      <w:r>
        <w:rPr>
          <w:rFonts w:hint="eastAsia"/>
          <w:sz w:val="24"/>
        </w:rPr>
        <w:t xml:space="preserve">m cell strainer and subsequently </w:t>
      </w:r>
      <w:r>
        <w:rPr>
          <w:sz w:val="24"/>
        </w:rPr>
        <w:t>centrifuged</w:t>
      </w:r>
      <w:r>
        <w:rPr>
          <w:rFonts w:hint="eastAsia"/>
          <w:sz w:val="24"/>
        </w:rPr>
        <w:t xml:space="preserve"> at 4</w:t>
      </w:r>
      <w:r>
        <w:rPr>
          <w:rFonts w:ascii="宋体" w:hAnsi="宋体" w:hint="eastAsia"/>
          <w:sz w:val="24"/>
        </w:rPr>
        <w:t xml:space="preserve">℃ </w:t>
      </w:r>
      <w:r>
        <w:rPr>
          <w:sz w:val="24"/>
        </w:rPr>
        <w:t>with</w:t>
      </w:r>
      <w:r>
        <w:rPr>
          <w:rFonts w:hint="eastAsia"/>
          <w:sz w:val="24"/>
        </w:rPr>
        <w:t xml:space="preserve"> </w:t>
      </w:r>
      <w:r>
        <w:rPr>
          <w:sz w:val="24"/>
        </w:rPr>
        <w:t>500 g</w:t>
      </w:r>
      <w:r>
        <w:rPr>
          <w:rFonts w:hint="eastAsia"/>
          <w:sz w:val="24"/>
        </w:rPr>
        <w:t xml:space="preserve">. The cell pellet was treated with ACK lysing buffer on ice for 5 min to remove the red blood cells. Next, re-suspended the liver cells in 500 </w:t>
      </w:r>
      <w:proofErr w:type="spellStart"/>
      <w:r>
        <w:rPr>
          <w:sz w:val="24"/>
        </w:rPr>
        <w:t>μL</w:t>
      </w:r>
      <w:proofErr w:type="spellEnd"/>
      <w:r>
        <w:rPr>
          <w:rFonts w:hint="eastAsia"/>
          <w:sz w:val="24"/>
        </w:rPr>
        <w:t xml:space="preserve"> PBS containing C11-BODIPY</w:t>
      </w:r>
      <w:r>
        <w:rPr>
          <w:rFonts w:hint="eastAsia"/>
          <w:sz w:val="24"/>
          <w:vertAlign w:val="superscript"/>
        </w:rPr>
        <w:t xml:space="preserve">581/591 </w:t>
      </w:r>
      <w:r>
        <w:rPr>
          <w:rFonts w:hint="eastAsia"/>
          <w:sz w:val="24"/>
        </w:rPr>
        <w:t xml:space="preserve">(2.5 </w:t>
      </w:r>
      <w:bookmarkStart w:id="2" w:name="OLE_LINK10"/>
      <w:bookmarkStart w:id="3" w:name="OLE_LINK9"/>
      <w:r>
        <w:rPr>
          <w:rFonts w:hint="eastAsia"/>
          <w:sz w:val="24"/>
        </w:rPr>
        <w:t>μ</w:t>
      </w:r>
      <w:r>
        <w:rPr>
          <w:rFonts w:hint="eastAsia"/>
          <w:sz w:val="24"/>
        </w:rPr>
        <w:t>M</w:t>
      </w:r>
      <w:bookmarkEnd w:id="2"/>
      <w:bookmarkEnd w:id="3"/>
      <w:r>
        <w:rPr>
          <w:rFonts w:hint="eastAsia"/>
          <w:sz w:val="24"/>
        </w:rPr>
        <w:t>) and incubated at 37</w:t>
      </w:r>
      <w:r>
        <w:rPr>
          <w:rFonts w:ascii="宋体" w:hAnsi="宋体" w:hint="eastAsia"/>
          <w:sz w:val="24"/>
        </w:rPr>
        <w:t>℃</w:t>
      </w:r>
      <w:r>
        <w:rPr>
          <w:rFonts w:hint="eastAsia"/>
          <w:sz w:val="24"/>
        </w:rPr>
        <w:t xml:space="preserve"> for 30 min in a tissue culture incubator. Finally, cells were washed twice with PBS, strained </w:t>
      </w:r>
      <w:r>
        <w:rPr>
          <w:sz w:val="24"/>
        </w:rPr>
        <w:t>through</w:t>
      </w:r>
      <w:r>
        <w:rPr>
          <w:rFonts w:hint="eastAsia"/>
          <w:sz w:val="24"/>
        </w:rPr>
        <w:t xml:space="preserve"> a 70</w:t>
      </w:r>
      <w:r>
        <w:rPr>
          <w:rFonts w:hint="eastAsia"/>
          <w:sz w:val="24"/>
        </w:rPr>
        <w:t>μ</w:t>
      </w:r>
      <w:r>
        <w:rPr>
          <w:rFonts w:hint="eastAsia"/>
          <w:sz w:val="24"/>
        </w:rPr>
        <w:t xml:space="preserve">M cell strainer and analyzed by using a flow cytometer. Laser for excitation was 488 nm and data were collected from the FL1 channel. Data were collected to 10000 cells for each sample.   </w:t>
      </w:r>
    </w:p>
    <w:p w14:paraId="7868A616" w14:textId="77777777" w:rsidR="00F9489E" w:rsidRDefault="00830756">
      <w:pPr>
        <w:spacing w:line="360" w:lineRule="auto"/>
        <w:rPr>
          <w:iCs/>
          <w:sz w:val="24"/>
        </w:rPr>
      </w:pPr>
      <w:r>
        <w:rPr>
          <w:iCs/>
          <w:sz w:val="24"/>
        </w:rPr>
        <w:t xml:space="preserve"> </w:t>
      </w:r>
    </w:p>
    <w:p w14:paraId="61B89699" w14:textId="77777777" w:rsidR="00F9489E" w:rsidRDefault="00830756">
      <w:pPr>
        <w:spacing w:line="360" w:lineRule="auto"/>
        <w:rPr>
          <w:rFonts w:eastAsiaTheme="majorEastAsia"/>
          <w:b/>
          <w:bCs/>
          <w:sz w:val="24"/>
        </w:rPr>
      </w:pPr>
      <w:r>
        <w:rPr>
          <w:rFonts w:eastAsiaTheme="majorEastAsia" w:hint="eastAsia"/>
          <w:b/>
          <w:bCs/>
          <w:sz w:val="24"/>
        </w:rPr>
        <w:t>W</w:t>
      </w:r>
      <w:r>
        <w:rPr>
          <w:rFonts w:eastAsiaTheme="majorEastAsia"/>
          <w:b/>
          <w:bCs/>
          <w:sz w:val="24"/>
        </w:rPr>
        <w:t>estern Blotting analysis</w:t>
      </w:r>
    </w:p>
    <w:p w14:paraId="0176481F" w14:textId="77777777" w:rsidR="00F9489E" w:rsidRDefault="00830756">
      <w:pPr>
        <w:spacing w:line="360" w:lineRule="auto"/>
        <w:rPr>
          <w:iCs/>
          <w:sz w:val="24"/>
        </w:rPr>
      </w:pPr>
      <w:r>
        <w:rPr>
          <w:iCs/>
          <w:sz w:val="24"/>
        </w:rPr>
        <w:t xml:space="preserve">Total protein was extracted from fresh liver tissue using Total Protein Extraction Kit for animal Cultured Cells and Tissues (Cat No. SD-001/SN-002; Invent Biotechnologies). Protein concentration was measured using the BCA protein assay kit (P0012S; </w:t>
      </w:r>
      <w:proofErr w:type="spellStart"/>
      <w:r>
        <w:rPr>
          <w:iCs/>
          <w:sz w:val="24"/>
        </w:rPr>
        <w:lastRenderedPageBreak/>
        <w:t>Beyotime</w:t>
      </w:r>
      <w:proofErr w:type="spellEnd"/>
      <w:r>
        <w:rPr>
          <w:iCs/>
          <w:sz w:val="24"/>
        </w:rPr>
        <w:t xml:space="preserve">). Next, a total of 20-30 </w:t>
      </w:r>
      <w:r>
        <w:rPr>
          <w:rFonts w:ascii="宋体" w:hAnsi="宋体" w:hint="eastAsia"/>
          <w:iCs/>
          <w:sz w:val="24"/>
        </w:rPr>
        <w:t>µ</w:t>
      </w:r>
      <w:r>
        <w:rPr>
          <w:iCs/>
          <w:sz w:val="24"/>
        </w:rPr>
        <w:t>g protein of each sample was first resolved by a 12% SDS-PAGE, then transferred to a nitrocellulose membrane. Subsequently, the membranes were blocked with 5% BSA and incubated with the primary antibody at 4</w:t>
      </w:r>
      <w:r>
        <w:rPr>
          <w:rFonts w:ascii="宋体" w:hAnsi="宋体" w:hint="eastAsia"/>
          <w:iCs/>
          <w:sz w:val="24"/>
        </w:rPr>
        <w:t>℃</w:t>
      </w:r>
      <w:r>
        <w:rPr>
          <w:iCs/>
          <w:sz w:val="24"/>
        </w:rPr>
        <w:t xml:space="preserve"> overnight. After incubation with secondary antibodies, the signals on the membranes were visualized by </w:t>
      </w:r>
      <w:proofErr w:type="spellStart"/>
      <w:r>
        <w:rPr>
          <w:iCs/>
          <w:sz w:val="24"/>
        </w:rPr>
        <w:t>SuperSignal</w:t>
      </w:r>
      <w:proofErr w:type="spellEnd"/>
      <w:r>
        <w:rPr>
          <w:iCs/>
          <w:sz w:val="24"/>
        </w:rPr>
        <w:t xml:space="preserve">™ West Pico PLUS Chemiluminescent Substrate (34577; </w:t>
      </w:r>
      <w:proofErr w:type="spellStart"/>
      <w:r>
        <w:rPr>
          <w:iCs/>
          <w:sz w:val="24"/>
        </w:rPr>
        <w:t>ThermoFisher</w:t>
      </w:r>
      <w:proofErr w:type="spellEnd"/>
      <w:r>
        <w:rPr>
          <w:iCs/>
          <w:sz w:val="24"/>
        </w:rPr>
        <w:t xml:space="preserve">). The following antibodies were used: Anti-Ubiquitin (ab134953; Abcam), </w:t>
      </w:r>
      <w:proofErr w:type="spellStart"/>
      <w:r>
        <w:rPr>
          <w:iCs/>
          <w:sz w:val="24"/>
        </w:rPr>
        <w:t>xCT</w:t>
      </w:r>
      <w:proofErr w:type="spellEnd"/>
      <w:r>
        <w:rPr>
          <w:iCs/>
          <w:sz w:val="24"/>
        </w:rPr>
        <w:t xml:space="preserve">/SLC7A11 (D2M7A; Cell signaling), Anti-OTUB1(ab175200; Abcam), Anti-CD44 (ab189524; Abcam), </w:t>
      </w:r>
      <w:r>
        <w:rPr>
          <w:rFonts w:hint="eastAsia"/>
          <w:iCs/>
          <w:sz w:val="24"/>
        </w:rPr>
        <w:t>Anti-</w:t>
      </w:r>
      <w:proofErr w:type="spellStart"/>
      <w:r>
        <w:rPr>
          <w:rFonts w:hint="eastAsia"/>
          <w:iCs/>
          <w:sz w:val="24"/>
        </w:rPr>
        <w:t>xCT</w:t>
      </w:r>
      <w:proofErr w:type="spellEnd"/>
      <w:r>
        <w:rPr>
          <w:rFonts w:hint="eastAsia"/>
          <w:iCs/>
          <w:sz w:val="24"/>
        </w:rPr>
        <w:t xml:space="preserve"> </w:t>
      </w:r>
      <w:r>
        <w:rPr>
          <w:iCs/>
          <w:sz w:val="24"/>
        </w:rPr>
        <w:t xml:space="preserve">(ab175186; Abcam), </w:t>
      </w:r>
      <w:r>
        <w:rPr>
          <w:rFonts w:hint="eastAsia"/>
          <w:iCs/>
          <w:sz w:val="24"/>
        </w:rPr>
        <w:t xml:space="preserve">Anti-CD44 </w:t>
      </w:r>
      <w:r>
        <w:rPr>
          <w:iCs/>
          <w:sz w:val="24"/>
        </w:rPr>
        <w:t xml:space="preserve">(ab119348; Abcam), Histone H3 (D1H2) XP® Rabbit </w:t>
      </w:r>
      <w:proofErr w:type="spellStart"/>
      <w:r>
        <w:rPr>
          <w:iCs/>
          <w:sz w:val="24"/>
        </w:rPr>
        <w:t>mAb</w:t>
      </w:r>
      <w:proofErr w:type="spellEnd"/>
      <w:r>
        <w:rPr>
          <w:iCs/>
          <w:sz w:val="24"/>
        </w:rPr>
        <w:t xml:space="preserve"> (</w:t>
      </w:r>
      <w:bookmarkStart w:id="4" w:name="OLE_LINK99"/>
      <w:bookmarkStart w:id="5" w:name="OLE_LINK98"/>
      <w:r>
        <w:rPr>
          <w:iCs/>
          <w:sz w:val="24"/>
        </w:rPr>
        <w:t>44999</w:t>
      </w:r>
      <w:bookmarkEnd w:id="4"/>
      <w:bookmarkEnd w:id="5"/>
      <w:r>
        <w:rPr>
          <w:iCs/>
          <w:sz w:val="24"/>
        </w:rPr>
        <w:t>; Cell signaling), Rabbit monoclonal [EPR5702] to CD63 (</w:t>
      </w:r>
      <w:bookmarkStart w:id="6" w:name="OLE_LINK100"/>
      <w:bookmarkStart w:id="7" w:name="OLE_LINK101"/>
      <w:r>
        <w:rPr>
          <w:iCs/>
          <w:sz w:val="24"/>
        </w:rPr>
        <w:t>ab134045</w:t>
      </w:r>
      <w:bookmarkEnd w:id="6"/>
      <w:bookmarkEnd w:id="7"/>
      <w:r>
        <w:rPr>
          <w:iCs/>
          <w:sz w:val="24"/>
        </w:rPr>
        <w:t>; Abcam), Rabbit monoclonal [EPR4244] to CD81 (</w:t>
      </w:r>
      <w:bookmarkStart w:id="8" w:name="OLE_LINK103"/>
      <w:bookmarkStart w:id="9" w:name="OLE_LINK102"/>
      <w:r>
        <w:rPr>
          <w:iCs/>
          <w:sz w:val="24"/>
        </w:rPr>
        <w:t>ab109201</w:t>
      </w:r>
      <w:bookmarkEnd w:id="8"/>
      <w:bookmarkEnd w:id="9"/>
      <w:r>
        <w:rPr>
          <w:iCs/>
          <w:sz w:val="24"/>
        </w:rPr>
        <w:t>; Abcam), Goat Anti-Rabbit IgG H&amp;L (HRP) (ab6721; Abcam).</w:t>
      </w:r>
    </w:p>
    <w:p w14:paraId="31B98D40" w14:textId="77777777" w:rsidR="00F9489E" w:rsidRDefault="00F9489E">
      <w:pPr>
        <w:spacing w:line="360" w:lineRule="auto"/>
        <w:rPr>
          <w:iCs/>
          <w:sz w:val="24"/>
        </w:rPr>
      </w:pPr>
    </w:p>
    <w:p w14:paraId="366CAEBD" w14:textId="77777777" w:rsidR="00F9489E" w:rsidRDefault="00830756">
      <w:pPr>
        <w:spacing w:line="360" w:lineRule="auto"/>
        <w:rPr>
          <w:rFonts w:eastAsiaTheme="majorEastAsia"/>
          <w:b/>
          <w:bCs/>
          <w:sz w:val="24"/>
        </w:rPr>
      </w:pPr>
      <w:r>
        <w:rPr>
          <w:rFonts w:eastAsiaTheme="majorEastAsia"/>
          <w:b/>
          <w:bCs/>
          <w:sz w:val="24"/>
        </w:rPr>
        <w:t>Measurement of ROS, MDA and Cell viability</w:t>
      </w:r>
    </w:p>
    <w:p w14:paraId="02784984" w14:textId="77777777" w:rsidR="00F9489E" w:rsidRDefault="00830756">
      <w:pPr>
        <w:spacing w:line="360" w:lineRule="auto"/>
        <w:rPr>
          <w:rFonts w:eastAsiaTheme="majorEastAsia"/>
          <w:sz w:val="24"/>
        </w:rPr>
      </w:pPr>
      <w:r>
        <w:rPr>
          <w:rFonts w:eastAsiaTheme="majorEastAsia"/>
          <w:sz w:val="24"/>
        </w:rPr>
        <w:t xml:space="preserve">We selected a kit (S0131S; </w:t>
      </w:r>
      <w:proofErr w:type="spellStart"/>
      <w:r>
        <w:rPr>
          <w:rFonts w:eastAsiaTheme="majorEastAsia"/>
          <w:sz w:val="24"/>
        </w:rPr>
        <w:t>Beyotime</w:t>
      </w:r>
      <w:proofErr w:type="spellEnd"/>
      <w:r>
        <w:rPr>
          <w:rFonts w:eastAsiaTheme="majorEastAsia"/>
          <w:sz w:val="24"/>
        </w:rPr>
        <w:t xml:space="preserve">) to detect the content of hepatic malondialdehyde (MDA) and a </w:t>
      </w:r>
      <w:r>
        <w:rPr>
          <w:rFonts w:eastAsiaTheme="majorEastAsia" w:hint="eastAsia"/>
          <w:sz w:val="24"/>
        </w:rPr>
        <w:t>GSH assay kit (</w:t>
      </w:r>
      <w:r>
        <w:rPr>
          <w:rFonts w:eastAsiaTheme="majorEastAsia"/>
          <w:sz w:val="24"/>
        </w:rPr>
        <w:t xml:space="preserve">703002; </w:t>
      </w:r>
      <w:r>
        <w:rPr>
          <w:rFonts w:eastAsiaTheme="majorEastAsia" w:hint="eastAsia"/>
          <w:sz w:val="24"/>
        </w:rPr>
        <w:t>Cayman Chemical, Arbor, USA)</w:t>
      </w:r>
      <w:r>
        <w:rPr>
          <w:rFonts w:eastAsiaTheme="majorEastAsia"/>
          <w:sz w:val="24"/>
        </w:rPr>
        <w:t xml:space="preserve"> to</w:t>
      </w:r>
      <w:r>
        <w:rPr>
          <w:sz w:val="24"/>
        </w:rPr>
        <w:t xml:space="preserve"> </w:t>
      </w:r>
      <w:r>
        <w:rPr>
          <w:rFonts w:eastAsiaTheme="majorEastAsia"/>
          <w:sz w:val="24"/>
        </w:rPr>
        <w:t>measure the content of GSH</w:t>
      </w:r>
      <w:r>
        <w:rPr>
          <w:rFonts w:eastAsiaTheme="majorEastAsia" w:hint="eastAsia"/>
          <w:sz w:val="24"/>
        </w:rPr>
        <w:t xml:space="preserve">. </w:t>
      </w:r>
      <w:bookmarkStart w:id="10" w:name="_Hlk61863120"/>
      <w:r>
        <w:rPr>
          <w:rFonts w:eastAsiaTheme="majorEastAsia" w:hint="eastAsia"/>
          <w:sz w:val="24"/>
        </w:rPr>
        <w:t>C</w:t>
      </w:r>
      <w:r>
        <w:rPr>
          <w:rFonts w:eastAsiaTheme="majorEastAsia"/>
          <w:sz w:val="24"/>
        </w:rPr>
        <w:t>ell Counting Kit-8 viability assay</w:t>
      </w:r>
      <w:bookmarkEnd w:id="10"/>
      <w:r>
        <w:rPr>
          <w:rFonts w:eastAsiaTheme="majorEastAsia"/>
          <w:sz w:val="24"/>
        </w:rPr>
        <w:t xml:space="preserve"> (</w:t>
      </w:r>
      <w:bookmarkStart w:id="11" w:name="OLE_LINK110"/>
      <w:bookmarkStart w:id="12" w:name="OLE_LINK111"/>
      <w:r>
        <w:rPr>
          <w:rFonts w:eastAsiaTheme="majorEastAsia"/>
          <w:sz w:val="24"/>
        </w:rPr>
        <w:t>Sigma-Aldrich</w:t>
      </w:r>
      <w:bookmarkEnd w:id="11"/>
      <w:bookmarkEnd w:id="12"/>
      <w:r>
        <w:rPr>
          <w:rFonts w:eastAsiaTheme="majorEastAsia"/>
          <w:sz w:val="24"/>
        </w:rPr>
        <w:t>) was used to determine cell viability. ROS was measured using FACS with H</w:t>
      </w:r>
      <w:r>
        <w:rPr>
          <w:rFonts w:eastAsiaTheme="majorEastAsia"/>
          <w:sz w:val="24"/>
          <w:vertAlign w:val="subscript"/>
        </w:rPr>
        <w:t>2</w:t>
      </w:r>
      <w:r>
        <w:rPr>
          <w:rFonts w:eastAsiaTheme="majorEastAsia"/>
          <w:sz w:val="24"/>
        </w:rPr>
        <w:t>DCFDA (Sigma-Aldrich) staining.</w:t>
      </w:r>
    </w:p>
    <w:p w14:paraId="5BA8F543" w14:textId="77777777" w:rsidR="00F9489E" w:rsidRDefault="00F9489E">
      <w:pPr>
        <w:spacing w:line="360" w:lineRule="auto"/>
        <w:rPr>
          <w:rFonts w:eastAsiaTheme="majorEastAsia"/>
          <w:sz w:val="24"/>
        </w:rPr>
      </w:pPr>
    </w:p>
    <w:p w14:paraId="7BD600E7" w14:textId="020DADC9" w:rsidR="00F9489E" w:rsidRDefault="00E84EEC">
      <w:pPr>
        <w:spacing w:line="360" w:lineRule="auto"/>
        <w:rPr>
          <w:rFonts w:eastAsiaTheme="majorEastAsia"/>
          <w:b/>
          <w:bCs/>
          <w:sz w:val="24"/>
        </w:rPr>
      </w:pPr>
      <w:r w:rsidRPr="00E84EEC">
        <w:rPr>
          <w:rFonts w:eastAsiaTheme="majorEastAsia"/>
          <w:b/>
          <w:bCs/>
          <w:sz w:val="24"/>
        </w:rPr>
        <w:t>Condition</w:t>
      </w:r>
      <w:r w:rsidR="00235B6D">
        <w:rPr>
          <w:rFonts w:eastAsiaTheme="majorEastAsia"/>
          <w:b/>
          <w:bCs/>
          <w:sz w:val="24"/>
        </w:rPr>
        <w:t xml:space="preserve"> </w:t>
      </w:r>
      <w:r w:rsidR="00235B6D">
        <w:rPr>
          <w:rFonts w:eastAsiaTheme="majorEastAsia" w:hint="eastAsia"/>
          <w:b/>
          <w:bCs/>
          <w:sz w:val="24"/>
        </w:rPr>
        <w:t>of</w:t>
      </w:r>
      <w:r w:rsidRPr="00E84EEC">
        <w:rPr>
          <w:rFonts w:eastAsiaTheme="majorEastAsia"/>
          <w:b/>
          <w:bCs/>
          <w:sz w:val="24"/>
        </w:rPr>
        <w:t xml:space="preserve"> UPLC-MS/MS method</w:t>
      </w:r>
    </w:p>
    <w:p w14:paraId="5BED8E89" w14:textId="0A29C596" w:rsidR="00F9489E" w:rsidRDefault="00830756">
      <w:pPr>
        <w:spacing w:line="360" w:lineRule="auto"/>
        <w:rPr>
          <w:iCs/>
          <w:sz w:val="24"/>
        </w:rPr>
      </w:pPr>
      <w:r>
        <w:rPr>
          <w:rFonts w:hint="eastAsia"/>
          <w:iCs/>
          <w:sz w:val="24"/>
        </w:rPr>
        <w:t>T</w:t>
      </w:r>
      <w:r>
        <w:rPr>
          <w:iCs/>
          <w:sz w:val="24"/>
        </w:rPr>
        <w:t xml:space="preserve">he chromatographic separation was achieved using an Amide C18 (2.1 </w:t>
      </w:r>
      <w:r>
        <w:rPr>
          <w:rFonts w:ascii="宋体" w:hAnsi="宋体" w:hint="eastAsia"/>
          <w:iCs/>
          <w:sz w:val="24"/>
        </w:rPr>
        <w:t>×</w:t>
      </w:r>
      <w:r>
        <w:rPr>
          <w:iCs/>
          <w:sz w:val="24"/>
        </w:rPr>
        <w:t xml:space="preserve"> 100 mm, 1.7 </w:t>
      </w:r>
      <w:r>
        <w:rPr>
          <w:rFonts w:ascii="宋体" w:hAnsi="宋体" w:hint="eastAsia"/>
          <w:iCs/>
          <w:sz w:val="24"/>
        </w:rPr>
        <w:t>µ</w:t>
      </w:r>
      <w:r>
        <w:rPr>
          <w:iCs/>
          <w:sz w:val="24"/>
        </w:rPr>
        <w:t xml:space="preserve">m) column, connected to </w:t>
      </w:r>
      <w:bookmarkStart w:id="13" w:name="OLE_LINK12"/>
      <w:bookmarkStart w:id="14" w:name="OLE_LINK11"/>
      <w:r>
        <w:rPr>
          <w:iCs/>
          <w:sz w:val="24"/>
        </w:rPr>
        <w:t>ACQUITY UPLC</w:t>
      </w:r>
      <w:bookmarkEnd w:id="13"/>
      <w:bookmarkEnd w:id="14"/>
      <w:r>
        <w:rPr>
          <w:iCs/>
          <w:sz w:val="24"/>
        </w:rPr>
        <w:t xml:space="preserve"> and </w:t>
      </w:r>
      <w:proofErr w:type="spellStart"/>
      <w:r>
        <w:rPr>
          <w:iCs/>
          <w:sz w:val="24"/>
        </w:rPr>
        <w:t>Xevo</w:t>
      </w:r>
      <w:proofErr w:type="spellEnd"/>
      <w:r>
        <w:rPr>
          <w:iCs/>
          <w:sz w:val="24"/>
        </w:rPr>
        <w:t xml:space="preserve"> TQ-S Micro triple quadrupole mass spectrometer and maintained at 30</w:t>
      </w:r>
      <w:r>
        <w:rPr>
          <w:rFonts w:ascii="宋体" w:hAnsi="宋体" w:hint="eastAsia"/>
          <w:iCs/>
          <w:sz w:val="24"/>
        </w:rPr>
        <w:t>℃.</w:t>
      </w:r>
      <w:r>
        <w:rPr>
          <w:iCs/>
          <w:sz w:val="24"/>
        </w:rPr>
        <w:t>Samples (1</w:t>
      </w:r>
      <w:r>
        <w:rPr>
          <w:rFonts w:ascii="宋体" w:hAnsi="宋体" w:hint="eastAsia"/>
          <w:iCs/>
          <w:sz w:val="24"/>
        </w:rPr>
        <w:t>µ</w:t>
      </w:r>
      <w:r>
        <w:rPr>
          <w:rFonts w:ascii="宋体" w:hAnsi="宋体"/>
          <w:iCs/>
          <w:sz w:val="24"/>
        </w:rPr>
        <w:t>l</w:t>
      </w:r>
      <w:r>
        <w:rPr>
          <w:iCs/>
          <w:sz w:val="24"/>
        </w:rPr>
        <w:t xml:space="preserve">) were injected onto the column and eluted at a flow rate of 0.4 mL/min (0-3.0 min) under gradient conditions consisting of 0.1% ammonia water (solvent A) and acetonitrile (solvent B). Gradient conditions were as follows: 0.0–0.3 min, 70% B; 0.3–1.0 min, 70-30% B; 1.0–2.0 min, 30% B; 2.0–2.3 min, 30%-70% B; 2.3-3.0 min, 70% B. </w:t>
      </w:r>
      <w:bookmarkStart w:id="15" w:name="OLE_LINK13"/>
      <w:bookmarkStart w:id="16" w:name="OLE_LINK14"/>
      <w:r>
        <w:rPr>
          <w:rFonts w:hint="eastAsia"/>
          <w:iCs/>
          <w:sz w:val="24"/>
        </w:rPr>
        <w:t xml:space="preserve"> </w:t>
      </w:r>
      <w:r>
        <w:rPr>
          <w:iCs/>
          <w:sz w:val="24"/>
        </w:rPr>
        <w:t xml:space="preserve">The mass spectrometer source utilized the multiple monitoring (MRM) mode with an ESI (source </w:t>
      </w:r>
      <w:r>
        <w:rPr>
          <w:iCs/>
          <w:sz w:val="24"/>
        </w:rPr>
        <w:lastRenderedPageBreak/>
        <w:t>temperature 150</w:t>
      </w:r>
      <w:r>
        <w:rPr>
          <w:rFonts w:ascii="宋体" w:hAnsi="宋体" w:hint="eastAsia"/>
          <w:iCs/>
          <w:sz w:val="24"/>
        </w:rPr>
        <w:t>℃</w:t>
      </w:r>
      <w:r>
        <w:rPr>
          <w:rFonts w:hint="eastAsia"/>
          <w:iCs/>
          <w:sz w:val="24"/>
        </w:rPr>
        <w:t>,</w:t>
      </w:r>
      <w:r>
        <w:rPr>
          <w:iCs/>
          <w:sz w:val="24"/>
        </w:rPr>
        <w:t xml:space="preserve"> flow 150 L/h; de-solvation temperature 600 </w:t>
      </w:r>
      <w:r>
        <w:rPr>
          <w:rFonts w:ascii="宋体" w:hAnsi="宋体" w:hint="eastAsia"/>
          <w:iCs/>
          <w:sz w:val="24"/>
        </w:rPr>
        <w:t>℃</w:t>
      </w:r>
      <w:r>
        <w:rPr>
          <w:rFonts w:hint="eastAsia"/>
          <w:iCs/>
          <w:sz w:val="24"/>
        </w:rPr>
        <w:t>,</w:t>
      </w:r>
      <w:r>
        <w:rPr>
          <w:iCs/>
          <w:sz w:val="24"/>
        </w:rPr>
        <w:t xml:space="preserve"> flow 1000 L/h) in positive ion mode at 2.5 kV.</w:t>
      </w:r>
      <w:bookmarkEnd w:id="15"/>
      <w:bookmarkEnd w:id="16"/>
      <w:r>
        <w:rPr>
          <w:rFonts w:hint="eastAsia"/>
          <w:iCs/>
          <w:sz w:val="24"/>
        </w:rPr>
        <w:t xml:space="preserve"> </w:t>
      </w:r>
      <w:r>
        <w:rPr>
          <w:iCs/>
          <w:sz w:val="24"/>
        </w:rPr>
        <w:t xml:space="preserve">The UPLC-MS/MS data were analyzed using </w:t>
      </w:r>
      <w:proofErr w:type="spellStart"/>
      <w:r>
        <w:rPr>
          <w:iCs/>
          <w:sz w:val="24"/>
        </w:rPr>
        <w:t>Masslynx</w:t>
      </w:r>
      <w:proofErr w:type="spellEnd"/>
      <w:r>
        <w:rPr>
          <w:iCs/>
          <w:sz w:val="24"/>
        </w:rPr>
        <w:t xml:space="preserve"> 4.1 software (Waters Corp, Milford, MA, USA).</w:t>
      </w:r>
    </w:p>
    <w:p w14:paraId="4381F7E9" w14:textId="77777777" w:rsidR="00F9489E" w:rsidRDefault="00F9489E">
      <w:pPr>
        <w:spacing w:line="360" w:lineRule="auto"/>
        <w:rPr>
          <w:iCs/>
          <w:sz w:val="24"/>
        </w:rPr>
      </w:pPr>
    </w:p>
    <w:p w14:paraId="6C106CD3" w14:textId="77777777" w:rsidR="00F9489E" w:rsidRDefault="00830756">
      <w:pPr>
        <w:spacing w:line="360" w:lineRule="auto"/>
        <w:rPr>
          <w:b/>
          <w:bCs/>
          <w:iCs/>
          <w:sz w:val="24"/>
        </w:rPr>
      </w:pPr>
      <w:r>
        <w:rPr>
          <w:rFonts w:hint="eastAsia"/>
          <w:b/>
          <w:bCs/>
          <w:iCs/>
          <w:sz w:val="24"/>
        </w:rPr>
        <w:t>E</w:t>
      </w:r>
      <w:r>
        <w:rPr>
          <w:b/>
          <w:bCs/>
          <w:iCs/>
          <w:sz w:val="24"/>
        </w:rPr>
        <w:t>xosomes labeling and tracking in mice</w:t>
      </w:r>
    </w:p>
    <w:p w14:paraId="4D2BC9EC" w14:textId="77777777" w:rsidR="00F9489E" w:rsidRDefault="00830756">
      <w:pPr>
        <w:spacing w:line="360" w:lineRule="auto"/>
        <w:rPr>
          <w:iCs/>
          <w:sz w:val="24"/>
        </w:rPr>
      </w:pPr>
      <w:r>
        <w:rPr>
          <w:iCs/>
          <w:sz w:val="24"/>
        </w:rPr>
        <w:t xml:space="preserve">Mouse models of acute liver injury were established as previously described. The isolated exosomes were labelled in 5 </w:t>
      </w:r>
      <w:r>
        <w:rPr>
          <w:rFonts w:ascii="宋体" w:hAnsi="宋体" w:hint="eastAsia"/>
          <w:iCs/>
          <w:sz w:val="24"/>
        </w:rPr>
        <w:t>µ</w:t>
      </w:r>
      <w:r>
        <w:rPr>
          <w:iCs/>
          <w:sz w:val="24"/>
        </w:rPr>
        <w:t xml:space="preserve">M </w:t>
      </w:r>
      <w:proofErr w:type="spellStart"/>
      <w:r>
        <w:rPr>
          <w:iCs/>
          <w:sz w:val="24"/>
        </w:rPr>
        <w:t>DiR</w:t>
      </w:r>
      <w:proofErr w:type="spellEnd"/>
      <w:r>
        <w:rPr>
          <w:iCs/>
          <w:sz w:val="24"/>
        </w:rPr>
        <w:t xml:space="preserve"> (D12731; </w:t>
      </w:r>
      <w:proofErr w:type="spellStart"/>
      <w:r>
        <w:rPr>
          <w:iCs/>
          <w:sz w:val="24"/>
        </w:rPr>
        <w:t>ThermoFisher</w:t>
      </w:r>
      <w:proofErr w:type="spellEnd"/>
      <w:r>
        <w:rPr>
          <w:iCs/>
          <w:sz w:val="24"/>
        </w:rPr>
        <w:t xml:space="preserve">). </w:t>
      </w:r>
      <w:bookmarkStart w:id="17" w:name="OLE_LINK106"/>
      <w:bookmarkStart w:id="18" w:name="OLE_LINK107"/>
      <w:r>
        <w:rPr>
          <w:iCs/>
          <w:sz w:val="24"/>
        </w:rPr>
        <w:t xml:space="preserve">Labelled exosomes from MSC conditional medium were injected via tail vein into 8 weeks old male mice with or without acute liver injury. </w:t>
      </w:r>
      <w:bookmarkEnd w:id="17"/>
      <w:bookmarkEnd w:id="18"/>
      <w:r>
        <w:rPr>
          <w:iCs/>
          <w:sz w:val="24"/>
        </w:rPr>
        <w:t xml:space="preserve">Untreated mice </w:t>
      </w:r>
      <w:proofErr w:type="gramStart"/>
      <w:r>
        <w:rPr>
          <w:iCs/>
          <w:sz w:val="24"/>
        </w:rPr>
        <w:t>was</w:t>
      </w:r>
      <w:proofErr w:type="gramEnd"/>
      <w:r>
        <w:rPr>
          <w:iCs/>
          <w:sz w:val="24"/>
        </w:rPr>
        <w:t xml:space="preserve"> selected as control. About 1-3 h post injection, all mice were sedated by isoflurane and imaged on an IVIS Spectrum (PerkinElmer). Next, the mice were euthanized by cervical dislocation and organs were dissected and imaged. </w:t>
      </w:r>
      <w:bookmarkStart w:id="19" w:name="OLE_LINK108"/>
      <w:bookmarkStart w:id="20" w:name="OLE_LINK109"/>
      <w:r>
        <w:rPr>
          <w:iCs/>
          <w:sz w:val="24"/>
        </w:rPr>
        <w:t xml:space="preserve">Excitation and emission filters at 750 nm and 800 nm were selected to detect the fluorescence. </w:t>
      </w:r>
      <w:bookmarkEnd w:id="19"/>
      <w:bookmarkEnd w:id="20"/>
    </w:p>
    <w:p w14:paraId="23EE3289" w14:textId="77777777" w:rsidR="00F9489E" w:rsidRDefault="00F9489E">
      <w:pPr>
        <w:spacing w:line="360" w:lineRule="auto"/>
        <w:rPr>
          <w:iCs/>
          <w:sz w:val="24"/>
        </w:rPr>
      </w:pPr>
    </w:p>
    <w:p w14:paraId="04157668" w14:textId="77777777" w:rsidR="00F9489E" w:rsidRDefault="00830756">
      <w:pPr>
        <w:spacing w:line="360" w:lineRule="auto"/>
        <w:rPr>
          <w:b/>
          <w:bCs/>
          <w:iCs/>
          <w:sz w:val="24"/>
        </w:rPr>
      </w:pPr>
      <w:bookmarkStart w:id="21" w:name="_Hlk61863928"/>
      <w:r>
        <w:rPr>
          <w:rFonts w:hint="eastAsia"/>
          <w:b/>
          <w:bCs/>
          <w:iCs/>
          <w:sz w:val="24"/>
        </w:rPr>
        <w:t>C</w:t>
      </w:r>
      <w:r>
        <w:rPr>
          <w:b/>
          <w:bCs/>
          <w:iCs/>
          <w:sz w:val="24"/>
        </w:rPr>
        <w:t>Cl</w:t>
      </w:r>
      <w:r>
        <w:rPr>
          <w:b/>
          <w:bCs/>
          <w:iCs/>
          <w:sz w:val="24"/>
          <w:vertAlign w:val="subscript"/>
        </w:rPr>
        <w:t>4</w:t>
      </w:r>
      <w:r>
        <w:rPr>
          <w:b/>
          <w:bCs/>
          <w:iCs/>
          <w:sz w:val="24"/>
        </w:rPr>
        <w:t>-induced hepatocytes injury</w:t>
      </w:r>
      <w:bookmarkEnd w:id="21"/>
      <w:r>
        <w:rPr>
          <w:b/>
          <w:bCs/>
          <w:iCs/>
          <w:sz w:val="24"/>
        </w:rPr>
        <w:t xml:space="preserve"> in vitro</w:t>
      </w:r>
    </w:p>
    <w:p w14:paraId="466C35F1" w14:textId="77777777" w:rsidR="00F9489E" w:rsidRDefault="00830756">
      <w:pPr>
        <w:spacing w:line="360" w:lineRule="auto"/>
        <w:rPr>
          <w:iCs/>
          <w:sz w:val="24"/>
        </w:rPr>
      </w:pPr>
      <w:r>
        <w:rPr>
          <w:iCs/>
          <w:sz w:val="24"/>
        </w:rPr>
        <w:t>Before experiment, all kinds of plates were coated with collagen coating solution (125-50; Sigma-Aldrich) and dried</w:t>
      </w:r>
      <w:r>
        <w:rPr>
          <w:sz w:val="24"/>
        </w:rPr>
        <w:t xml:space="preserve"> </w:t>
      </w:r>
      <w:r>
        <w:rPr>
          <w:iCs/>
          <w:sz w:val="24"/>
        </w:rPr>
        <w:t xml:space="preserve">naturally. </w:t>
      </w:r>
      <w:r>
        <w:rPr>
          <w:rFonts w:hint="eastAsia"/>
          <w:iCs/>
          <w:sz w:val="24"/>
        </w:rPr>
        <w:t>P</w:t>
      </w:r>
      <w:r>
        <w:rPr>
          <w:iCs/>
          <w:sz w:val="24"/>
        </w:rPr>
        <w:t>rimary hepatocytes were seeded in 96-well plate (3</w:t>
      </w:r>
      <w:bookmarkStart w:id="22" w:name="_Hlk61863528"/>
      <w:r>
        <w:rPr>
          <w:rFonts w:ascii="宋体" w:hAnsi="宋体" w:hint="eastAsia"/>
          <w:iCs/>
          <w:sz w:val="24"/>
        </w:rPr>
        <w:t>×</w:t>
      </w:r>
      <w:bookmarkEnd w:id="22"/>
      <w:r>
        <w:rPr>
          <w:iCs/>
          <w:sz w:val="24"/>
        </w:rPr>
        <w:t>10</w:t>
      </w:r>
      <w:r>
        <w:rPr>
          <w:iCs/>
          <w:sz w:val="24"/>
          <w:vertAlign w:val="superscript"/>
        </w:rPr>
        <w:t>3</w:t>
      </w:r>
      <w:r>
        <w:rPr>
          <w:iCs/>
          <w:sz w:val="24"/>
        </w:rPr>
        <w:t xml:space="preserve"> cells/well) or 6-well plate (1</w:t>
      </w:r>
      <w:r>
        <w:rPr>
          <w:rFonts w:hint="eastAsia"/>
          <w:iCs/>
          <w:sz w:val="24"/>
        </w:rPr>
        <w:t>×</w:t>
      </w:r>
      <w:r>
        <w:rPr>
          <w:iCs/>
          <w:sz w:val="24"/>
        </w:rPr>
        <w:t>10</w:t>
      </w:r>
      <w:r>
        <w:rPr>
          <w:iCs/>
          <w:sz w:val="24"/>
          <w:vertAlign w:val="superscript"/>
        </w:rPr>
        <w:t>5</w:t>
      </w:r>
      <w:r>
        <w:rPr>
          <w:iCs/>
          <w:sz w:val="24"/>
        </w:rPr>
        <w:t xml:space="preserve"> cells/well), cells were treated with medium containing 4mM, 6 mM, 8 mM, 9 mM, 10 mM, 11 mM, 12 mM CCl</w:t>
      </w:r>
      <w:r>
        <w:rPr>
          <w:iCs/>
          <w:sz w:val="24"/>
          <w:vertAlign w:val="subscript"/>
        </w:rPr>
        <w:t>4</w:t>
      </w:r>
      <w:r>
        <w:rPr>
          <w:iCs/>
          <w:sz w:val="24"/>
        </w:rPr>
        <w:t xml:space="preserve"> for 24 h, 48 h, 72h. Medium containing DMSO was control. Cell viability were measured by Cell Counting Kit-8 viability assay. Next, various concentrations including 20</w:t>
      </w:r>
      <w:r>
        <w:rPr>
          <w:rFonts w:ascii="宋体" w:hAnsi="宋体" w:hint="eastAsia"/>
          <w:iCs/>
          <w:sz w:val="24"/>
        </w:rPr>
        <w:t>µ</w:t>
      </w:r>
      <w:r>
        <w:rPr>
          <w:iCs/>
          <w:sz w:val="24"/>
        </w:rPr>
        <w:t>g, 40</w:t>
      </w:r>
      <w:r>
        <w:rPr>
          <w:rFonts w:ascii="宋体" w:hAnsi="宋体" w:hint="eastAsia"/>
          <w:iCs/>
          <w:sz w:val="24"/>
        </w:rPr>
        <w:t>µ</w:t>
      </w:r>
      <w:r>
        <w:rPr>
          <w:iCs/>
          <w:sz w:val="24"/>
        </w:rPr>
        <w:t>g, and 80</w:t>
      </w:r>
      <w:r>
        <w:rPr>
          <w:rFonts w:ascii="宋体" w:hAnsi="宋体" w:hint="eastAsia"/>
          <w:iCs/>
          <w:sz w:val="24"/>
        </w:rPr>
        <w:t>µ</w:t>
      </w:r>
      <w:r>
        <w:rPr>
          <w:iCs/>
          <w:sz w:val="24"/>
        </w:rPr>
        <w:t>g exosomes were applied to CCl</w:t>
      </w:r>
      <w:r>
        <w:rPr>
          <w:iCs/>
          <w:sz w:val="24"/>
          <w:vertAlign w:val="subscript"/>
        </w:rPr>
        <w:t>4</w:t>
      </w:r>
      <w:r>
        <w:rPr>
          <w:iCs/>
          <w:sz w:val="24"/>
        </w:rPr>
        <w:t>-induced injury hepatocytes. Cells were collected and RNA and protein and lipid peroxidation were detected.</w:t>
      </w:r>
    </w:p>
    <w:p w14:paraId="405E474D" w14:textId="77777777" w:rsidR="00F9489E" w:rsidRDefault="00F9489E">
      <w:pPr>
        <w:spacing w:line="360" w:lineRule="auto"/>
        <w:rPr>
          <w:iCs/>
          <w:sz w:val="24"/>
        </w:rPr>
      </w:pPr>
    </w:p>
    <w:p w14:paraId="7BE22C43" w14:textId="77777777" w:rsidR="00F9489E" w:rsidRDefault="00830756">
      <w:pPr>
        <w:spacing w:line="360" w:lineRule="auto"/>
        <w:rPr>
          <w:rFonts w:eastAsiaTheme="majorEastAsia"/>
          <w:b/>
          <w:bCs/>
          <w:sz w:val="24"/>
        </w:rPr>
      </w:pPr>
      <w:bookmarkStart w:id="23" w:name="OLE_LINK161"/>
      <w:r>
        <w:rPr>
          <w:rFonts w:eastAsiaTheme="majorEastAsia"/>
          <w:b/>
          <w:bCs/>
          <w:sz w:val="24"/>
        </w:rPr>
        <w:t xml:space="preserve">Immunofluorescence </w:t>
      </w:r>
      <w:bookmarkEnd w:id="23"/>
      <w:r>
        <w:rPr>
          <w:rFonts w:eastAsiaTheme="majorEastAsia"/>
          <w:b/>
          <w:bCs/>
          <w:sz w:val="24"/>
        </w:rPr>
        <w:t xml:space="preserve"> </w:t>
      </w:r>
    </w:p>
    <w:p w14:paraId="2EC8F7A2" w14:textId="77777777" w:rsidR="00F9489E" w:rsidRDefault="00830756">
      <w:pPr>
        <w:spacing w:line="360" w:lineRule="auto"/>
        <w:rPr>
          <w:rFonts w:eastAsiaTheme="majorEastAsia"/>
          <w:sz w:val="24"/>
        </w:rPr>
      </w:pPr>
      <w:r>
        <w:rPr>
          <w:rFonts w:eastAsiaTheme="majorEastAsia" w:hint="eastAsia"/>
          <w:sz w:val="24"/>
        </w:rPr>
        <w:t>M</w:t>
      </w:r>
      <w:r>
        <w:rPr>
          <w:rFonts w:eastAsiaTheme="majorEastAsia"/>
          <w:sz w:val="24"/>
        </w:rPr>
        <w:t xml:space="preserve">ouse liver slides were dewaxed and rehydrated, then submerged into pre-heated antigen retrieval solution before blocking with 5% FBS. Next, the liver sliders were incubated with </w:t>
      </w:r>
      <w:proofErr w:type="spellStart"/>
      <w:r>
        <w:rPr>
          <w:rFonts w:eastAsiaTheme="majorEastAsia"/>
          <w:sz w:val="24"/>
        </w:rPr>
        <w:t>xCT</w:t>
      </w:r>
      <w:proofErr w:type="spellEnd"/>
      <w:r>
        <w:rPr>
          <w:rFonts w:eastAsiaTheme="majorEastAsia"/>
          <w:sz w:val="24"/>
        </w:rPr>
        <w:t xml:space="preserve"> antibodies at 4°C overnight. The next day after incubation with corresponding secondary antibody and nuclear staining with DAPI, the slides were observed by confocal laser microscopy.</w:t>
      </w:r>
    </w:p>
    <w:p w14:paraId="6ED0CDE7" w14:textId="77777777" w:rsidR="00F9489E" w:rsidRDefault="00F9489E">
      <w:pPr>
        <w:spacing w:line="360" w:lineRule="auto"/>
        <w:rPr>
          <w:rFonts w:eastAsiaTheme="majorEastAsia"/>
          <w:sz w:val="24"/>
        </w:rPr>
      </w:pPr>
    </w:p>
    <w:p w14:paraId="5B77FEC4" w14:textId="77777777" w:rsidR="00F9489E" w:rsidRDefault="00830756">
      <w:pPr>
        <w:rPr>
          <w:sz w:val="24"/>
        </w:rPr>
      </w:pPr>
      <w:r>
        <w:rPr>
          <w:rFonts w:hint="eastAsia"/>
          <w:b/>
          <w:bCs/>
          <w:sz w:val="24"/>
        </w:rPr>
        <w:t>Supplementary Table</w:t>
      </w:r>
      <w:r>
        <w:rPr>
          <w:b/>
          <w:bCs/>
          <w:sz w:val="24"/>
        </w:rPr>
        <w:t xml:space="preserve"> </w:t>
      </w:r>
      <w:r>
        <w:rPr>
          <w:rFonts w:hint="eastAsia"/>
          <w:b/>
          <w:bCs/>
          <w:sz w:val="24"/>
        </w:rPr>
        <w:t xml:space="preserve">S1 </w:t>
      </w:r>
      <w:r>
        <w:rPr>
          <w:rFonts w:hint="eastAsia"/>
          <w:sz w:val="24"/>
        </w:rPr>
        <w:t>List of primer sequences</w:t>
      </w:r>
    </w:p>
    <w:p w14:paraId="25759C1E" w14:textId="77777777" w:rsidR="00F9489E" w:rsidRDefault="00F9489E">
      <w:pPr>
        <w:rPr>
          <w:sz w:val="24"/>
        </w:rPr>
      </w:pPr>
    </w:p>
    <w:tbl>
      <w:tblPr>
        <w:tblStyle w:val="a7"/>
        <w:tblW w:w="0" w:type="auto"/>
        <w:tblLook w:val="04A0" w:firstRow="1" w:lastRow="0" w:firstColumn="1" w:lastColumn="0" w:noHBand="0" w:noVBand="1"/>
      </w:tblPr>
      <w:tblGrid>
        <w:gridCol w:w="4148"/>
        <w:gridCol w:w="4148"/>
      </w:tblGrid>
      <w:tr w:rsidR="00F9489E" w14:paraId="1673DD7E" w14:textId="77777777">
        <w:tc>
          <w:tcPr>
            <w:tcW w:w="4148" w:type="dxa"/>
          </w:tcPr>
          <w:p w14:paraId="2BF2E87E" w14:textId="77777777" w:rsidR="00F9489E" w:rsidRDefault="00830756">
            <w:pPr>
              <w:rPr>
                <w:sz w:val="24"/>
              </w:rPr>
            </w:pPr>
            <w:r>
              <w:rPr>
                <w:rFonts w:hint="eastAsia"/>
                <w:sz w:val="24"/>
              </w:rPr>
              <w:t>Gene</w:t>
            </w:r>
            <w:r>
              <w:rPr>
                <w:sz w:val="24"/>
              </w:rPr>
              <w:t xml:space="preserve"> N</w:t>
            </w:r>
            <w:r>
              <w:rPr>
                <w:rFonts w:hint="eastAsia"/>
                <w:sz w:val="24"/>
              </w:rPr>
              <w:t>ame</w:t>
            </w:r>
          </w:p>
        </w:tc>
        <w:tc>
          <w:tcPr>
            <w:tcW w:w="4148" w:type="dxa"/>
          </w:tcPr>
          <w:p w14:paraId="20CDE917" w14:textId="77777777" w:rsidR="00F9489E" w:rsidRDefault="00830756">
            <w:pPr>
              <w:rPr>
                <w:sz w:val="24"/>
              </w:rPr>
            </w:pPr>
            <w:r>
              <w:rPr>
                <w:sz w:val="24"/>
              </w:rPr>
              <w:t>Primer sequences</w:t>
            </w:r>
          </w:p>
        </w:tc>
      </w:tr>
      <w:tr w:rsidR="00F9489E" w14:paraId="1BAF9C67" w14:textId="77777777">
        <w:tc>
          <w:tcPr>
            <w:tcW w:w="4148" w:type="dxa"/>
          </w:tcPr>
          <w:p w14:paraId="7604DED8" w14:textId="77777777" w:rsidR="00F9489E" w:rsidRDefault="00830756">
            <w:pPr>
              <w:rPr>
                <w:sz w:val="24"/>
              </w:rPr>
            </w:pPr>
            <w:r>
              <w:rPr>
                <w:i/>
                <w:sz w:val="24"/>
              </w:rPr>
              <w:t>Ptgs2</w:t>
            </w:r>
            <w:r>
              <w:rPr>
                <w:iCs/>
                <w:sz w:val="24"/>
              </w:rPr>
              <w:t>-F</w:t>
            </w:r>
          </w:p>
        </w:tc>
        <w:tc>
          <w:tcPr>
            <w:tcW w:w="4148" w:type="dxa"/>
          </w:tcPr>
          <w:p w14:paraId="33E60DE3" w14:textId="77777777" w:rsidR="00F9489E" w:rsidRDefault="00830756">
            <w:pPr>
              <w:rPr>
                <w:sz w:val="24"/>
              </w:rPr>
            </w:pPr>
            <w:r>
              <w:rPr>
                <w:sz w:val="24"/>
              </w:rPr>
              <w:t>TCCTGGAACATGGACTC</w:t>
            </w:r>
          </w:p>
        </w:tc>
      </w:tr>
      <w:tr w:rsidR="00F9489E" w14:paraId="4C5F6DE9" w14:textId="77777777">
        <w:tc>
          <w:tcPr>
            <w:tcW w:w="4148" w:type="dxa"/>
          </w:tcPr>
          <w:p w14:paraId="3B0FD437" w14:textId="77777777" w:rsidR="00F9489E" w:rsidRDefault="00830756">
            <w:pPr>
              <w:rPr>
                <w:sz w:val="24"/>
              </w:rPr>
            </w:pPr>
            <w:r>
              <w:rPr>
                <w:i/>
                <w:sz w:val="24"/>
              </w:rPr>
              <w:t>Ptgs2</w:t>
            </w:r>
            <w:r>
              <w:rPr>
                <w:iCs/>
                <w:sz w:val="24"/>
              </w:rPr>
              <w:t>-R</w:t>
            </w:r>
          </w:p>
        </w:tc>
        <w:tc>
          <w:tcPr>
            <w:tcW w:w="4148" w:type="dxa"/>
          </w:tcPr>
          <w:p w14:paraId="694D0FAE" w14:textId="77777777" w:rsidR="00F9489E" w:rsidRDefault="00830756">
            <w:pPr>
              <w:rPr>
                <w:sz w:val="24"/>
              </w:rPr>
            </w:pPr>
            <w:r>
              <w:rPr>
                <w:sz w:val="24"/>
              </w:rPr>
              <w:t>GCTCGGCTTCCAGTATTGAG</w:t>
            </w:r>
          </w:p>
        </w:tc>
      </w:tr>
      <w:tr w:rsidR="00F9489E" w14:paraId="7FF1395D" w14:textId="77777777">
        <w:tc>
          <w:tcPr>
            <w:tcW w:w="4148" w:type="dxa"/>
          </w:tcPr>
          <w:p w14:paraId="04086C79" w14:textId="77777777" w:rsidR="00F9489E" w:rsidRDefault="00830756">
            <w:pPr>
              <w:rPr>
                <w:sz w:val="24"/>
              </w:rPr>
            </w:pPr>
            <w:r>
              <w:rPr>
                <w:i/>
                <w:iCs/>
                <w:sz w:val="24"/>
              </w:rPr>
              <w:t>15-LOX</w:t>
            </w:r>
            <w:r>
              <w:rPr>
                <w:sz w:val="24"/>
              </w:rPr>
              <w:t>-F</w:t>
            </w:r>
          </w:p>
        </w:tc>
        <w:tc>
          <w:tcPr>
            <w:tcW w:w="4148" w:type="dxa"/>
          </w:tcPr>
          <w:p w14:paraId="523615DA" w14:textId="77777777" w:rsidR="00F9489E" w:rsidRDefault="00830756">
            <w:pPr>
              <w:rPr>
                <w:sz w:val="24"/>
              </w:rPr>
            </w:pPr>
            <w:r>
              <w:rPr>
                <w:sz w:val="24"/>
              </w:rPr>
              <w:t>GCGACGCTGCCCAATCCTAATC</w:t>
            </w:r>
          </w:p>
        </w:tc>
      </w:tr>
      <w:tr w:rsidR="00F9489E" w14:paraId="53EDD617" w14:textId="77777777">
        <w:tc>
          <w:tcPr>
            <w:tcW w:w="4148" w:type="dxa"/>
          </w:tcPr>
          <w:p w14:paraId="64329793" w14:textId="77777777" w:rsidR="00F9489E" w:rsidRDefault="00830756">
            <w:pPr>
              <w:rPr>
                <w:sz w:val="24"/>
              </w:rPr>
            </w:pPr>
            <w:r>
              <w:rPr>
                <w:i/>
                <w:iCs/>
                <w:sz w:val="24"/>
              </w:rPr>
              <w:t>15-LOX</w:t>
            </w:r>
            <w:r>
              <w:rPr>
                <w:sz w:val="24"/>
              </w:rPr>
              <w:t>-R</w:t>
            </w:r>
          </w:p>
        </w:tc>
        <w:tc>
          <w:tcPr>
            <w:tcW w:w="4148" w:type="dxa"/>
          </w:tcPr>
          <w:p w14:paraId="03EDC6BC" w14:textId="77777777" w:rsidR="00F9489E" w:rsidRDefault="00830756">
            <w:pPr>
              <w:rPr>
                <w:sz w:val="24"/>
              </w:rPr>
            </w:pPr>
            <w:r>
              <w:rPr>
                <w:sz w:val="24"/>
              </w:rPr>
              <w:t>CATATGGCCACGCTGTTTTCTACC</w:t>
            </w:r>
          </w:p>
        </w:tc>
      </w:tr>
      <w:tr w:rsidR="00F9489E" w14:paraId="12DDB6FA" w14:textId="77777777">
        <w:tc>
          <w:tcPr>
            <w:tcW w:w="4148" w:type="dxa"/>
          </w:tcPr>
          <w:p w14:paraId="663B083F" w14:textId="77777777" w:rsidR="00F9489E" w:rsidRDefault="00830756">
            <w:pPr>
              <w:rPr>
                <w:sz w:val="24"/>
              </w:rPr>
            </w:pPr>
            <w:r>
              <w:rPr>
                <w:i/>
                <w:iCs/>
                <w:sz w:val="24"/>
              </w:rPr>
              <w:t>12-LOX</w:t>
            </w:r>
            <w:r>
              <w:rPr>
                <w:sz w:val="24"/>
              </w:rPr>
              <w:t>-F</w:t>
            </w:r>
          </w:p>
        </w:tc>
        <w:tc>
          <w:tcPr>
            <w:tcW w:w="4148" w:type="dxa"/>
          </w:tcPr>
          <w:p w14:paraId="01B83534" w14:textId="77777777" w:rsidR="00F9489E" w:rsidRDefault="00830756">
            <w:pPr>
              <w:rPr>
                <w:sz w:val="24"/>
              </w:rPr>
            </w:pPr>
            <w:r>
              <w:rPr>
                <w:sz w:val="24"/>
              </w:rPr>
              <w:t>AGTGACACCGATGTGAAGGAG</w:t>
            </w:r>
          </w:p>
        </w:tc>
      </w:tr>
      <w:tr w:rsidR="00F9489E" w14:paraId="268CCA06" w14:textId="77777777">
        <w:tc>
          <w:tcPr>
            <w:tcW w:w="4148" w:type="dxa"/>
          </w:tcPr>
          <w:p w14:paraId="5EC1594E" w14:textId="77777777" w:rsidR="00F9489E" w:rsidRDefault="00830756">
            <w:pPr>
              <w:rPr>
                <w:sz w:val="24"/>
              </w:rPr>
            </w:pPr>
            <w:r>
              <w:rPr>
                <w:i/>
                <w:iCs/>
                <w:sz w:val="24"/>
              </w:rPr>
              <w:t>12-LOX</w:t>
            </w:r>
            <w:r>
              <w:rPr>
                <w:sz w:val="24"/>
              </w:rPr>
              <w:t>-R</w:t>
            </w:r>
          </w:p>
        </w:tc>
        <w:tc>
          <w:tcPr>
            <w:tcW w:w="4148" w:type="dxa"/>
          </w:tcPr>
          <w:p w14:paraId="3A8BF6EE" w14:textId="77777777" w:rsidR="00F9489E" w:rsidRDefault="00830756">
            <w:pPr>
              <w:rPr>
                <w:sz w:val="24"/>
              </w:rPr>
            </w:pPr>
            <w:r>
              <w:rPr>
                <w:sz w:val="24"/>
              </w:rPr>
              <w:t>CTCTCAGATGGTCACACTG</w:t>
            </w:r>
          </w:p>
        </w:tc>
      </w:tr>
      <w:tr w:rsidR="00F9489E" w14:paraId="1C9B4D6A" w14:textId="77777777">
        <w:tc>
          <w:tcPr>
            <w:tcW w:w="4148" w:type="dxa"/>
          </w:tcPr>
          <w:p w14:paraId="022F1F8D" w14:textId="77777777" w:rsidR="00F9489E" w:rsidRDefault="00830756">
            <w:pPr>
              <w:rPr>
                <w:sz w:val="24"/>
              </w:rPr>
            </w:pPr>
            <w:r>
              <w:rPr>
                <w:i/>
                <w:iCs/>
                <w:sz w:val="24"/>
              </w:rPr>
              <w:t>5-LOX</w:t>
            </w:r>
            <w:r>
              <w:rPr>
                <w:sz w:val="24"/>
              </w:rPr>
              <w:t>-F</w:t>
            </w:r>
          </w:p>
        </w:tc>
        <w:tc>
          <w:tcPr>
            <w:tcW w:w="4148" w:type="dxa"/>
          </w:tcPr>
          <w:p w14:paraId="64DA0FC1" w14:textId="77777777" w:rsidR="00F9489E" w:rsidRDefault="00830756">
            <w:pPr>
              <w:rPr>
                <w:sz w:val="24"/>
              </w:rPr>
            </w:pPr>
            <w:r>
              <w:rPr>
                <w:sz w:val="24"/>
              </w:rPr>
              <w:t>ACTACATCTACCTCAGCCTCATT</w:t>
            </w:r>
          </w:p>
        </w:tc>
      </w:tr>
      <w:tr w:rsidR="00F9489E" w14:paraId="4DA27C27" w14:textId="77777777">
        <w:tc>
          <w:tcPr>
            <w:tcW w:w="4148" w:type="dxa"/>
          </w:tcPr>
          <w:p w14:paraId="0CF58E03" w14:textId="77777777" w:rsidR="00F9489E" w:rsidRDefault="00830756">
            <w:pPr>
              <w:rPr>
                <w:sz w:val="24"/>
              </w:rPr>
            </w:pPr>
            <w:r>
              <w:rPr>
                <w:i/>
                <w:iCs/>
                <w:sz w:val="24"/>
              </w:rPr>
              <w:t>5-LOX</w:t>
            </w:r>
            <w:r>
              <w:rPr>
                <w:sz w:val="24"/>
              </w:rPr>
              <w:t>-R</w:t>
            </w:r>
          </w:p>
        </w:tc>
        <w:tc>
          <w:tcPr>
            <w:tcW w:w="4148" w:type="dxa"/>
          </w:tcPr>
          <w:p w14:paraId="4355CCE6" w14:textId="77777777" w:rsidR="00F9489E" w:rsidRDefault="00830756">
            <w:pPr>
              <w:rPr>
                <w:sz w:val="24"/>
              </w:rPr>
            </w:pPr>
            <w:r>
              <w:rPr>
                <w:sz w:val="24"/>
              </w:rPr>
              <w:t>GGTGACATCGTAGGAGTCCAC</w:t>
            </w:r>
          </w:p>
        </w:tc>
      </w:tr>
      <w:tr w:rsidR="00F9489E" w14:paraId="2FC8FEAB" w14:textId="77777777">
        <w:tc>
          <w:tcPr>
            <w:tcW w:w="4148" w:type="dxa"/>
          </w:tcPr>
          <w:p w14:paraId="6D81D3E2" w14:textId="77777777" w:rsidR="00F9489E" w:rsidRDefault="00830756">
            <w:pPr>
              <w:rPr>
                <w:sz w:val="24"/>
              </w:rPr>
            </w:pPr>
            <w:r>
              <w:rPr>
                <w:i/>
                <w:iCs/>
                <w:sz w:val="24"/>
              </w:rPr>
              <w:t>GAPDH</w:t>
            </w:r>
            <w:r>
              <w:rPr>
                <w:sz w:val="24"/>
              </w:rPr>
              <w:t>-F</w:t>
            </w:r>
          </w:p>
        </w:tc>
        <w:tc>
          <w:tcPr>
            <w:tcW w:w="4148" w:type="dxa"/>
          </w:tcPr>
          <w:p w14:paraId="28AA7EA3" w14:textId="77777777" w:rsidR="00F9489E" w:rsidRDefault="00830756">
            <w:pPr>
              <w:rPr>
                <w:sz w:val="24"/>
              </w:rPr>
            </w:pPr>
            <w:r>
              <w:rPr>
                <w:sz w:val="24"/>
              </w:rPr>
              <w:t>AGGAGAGTGTTTCCTCGTCC</w:t>
            </w:r>
          </w:p>
        </w:tc>
      </w:tr>
      <w:tr w:rsidR="00F9489E" w14:paraId="489B45F1" w14:textId="77777777">
        <w:tc>
          <w:tcPr>
            <w:tcW w:w="4148" w:type="dxa"/>
          </w:tcPr>
          <w:p w14:paraId="4CDEBC96" w14:textId="77777777" w:rsidR="00F9489E" w:rsidRDefault="00830756">
            <w:pPr>
              <w:rPr>
                <w:sz w:val="24"/>
              </w:rPr>
            </w:pPr>
            <w:r>
              <w:rPr>
                <w:i/>
                <w:iCs/>
                <w:sz w:val="24"/>
              </w:rPr>
              <w:t>GAPDH</w:t>
            </w:r>
            <w:r>
              <w:rPr>
                <w:sz w:val="24"/>
              </w:rPr>
              <w:t>-R</w:t>
            </w:r>
          </w:p>
        </w:tc>
        <w:tc>
          <w:tcPr>
            <w:tcW w:w="4148" w:type="dxa"/>
          </w:tcPr>
          <w:p w14:paraId="17F5B7DD" w14:textId="77777777" w:rsidR="00F9489E" w:rsidRDefault="00830756">
            <w:pPr>
              <w:rPr>
                <w:sz w:val="24"/>
              </w:rPr>
            </w:pPr>
            <w:r>
              <w:rPr>
                <w:sz w:val="24"/>
              </w:rPr>
              <w:t>TGCCGTGAGTGGAGTCATAC</w:t>
            </w:r>
          </w:p>
        </w:tc>
      </w:tr>
      <w:tr w:rsidR="00F9489E" w14:paraId="51C690F5" w14:textId="77777777">
        <w:tc>
          <w:tcPr>
            <w:tcW w:w="4148" w:type="dxa"/>
          </w:tcPr>
          <w:p w14:paraId="07D71249" w14:textId="77777777" w:rsidR="00F9489E" w:rsidRDefault="00830756">
            <w:pPr>
              <w:rPr>
                <w:sz w:val="24"/>
              </w:rPr>
            </w:pPr>
            <w:proofErr w:type="spellStart"/>
            <w:r>
              <w:rPr>
                <w:i/>
                <w:iCs/>
                <w:sz w:val="24"/>
              </w:rPr>
              <w:t>xCT</w:t>
            </w:r>
            <w:proofErr w:type="spellEnd"/>
            <w:r>
              <w:rPr>
                <w:sz w:val="24"/>
              </w:rPr>
              <w:t>-F</w:t>
            </w:r>
          </w:p>
        </w:tc>
        <w:tc>
          <w:tcPr>
            <w:tcW w:w="4148" w:type="dxa"/>
          </w:tcPr>
          <w:p w14:paraId="60E524ED" w14:textId="77777777" w:rsidR="00F9489E" w:rsidRDefault="00830756">
            <w:pPr>
              <w:rPr>
                <w:sz w:val="24"/>
              </w:rPr>
            </w:pPr>
            <w:r>
              <w:rPr>
                <w:sz w:val="24"/>
              </w:rPr>
              <w:t>GCTCGTAATACGCCCTGGAG</w:t>
            </w:r>
          </w:p>
        </w:tc>
      </w:tr>
      <w:tr w:rsidR="00F9489E" w14:paraId="764AA93B" w14:textId="77777777">
        <w:tc>
          <w:tcPr>
            <w:tcW w:w="4148" w:type="dxa"/>
          </w:tcPr>
          <w:p w14:paraId="49B3E051" w14:textId="77777777" w:rsidR="00F9489E" w:rsidRDefault="00830756">
            <w:pPr>
              <w:rPr>
                <w:sz w:val="24"/>
              </w:rPr>
            </w:pPr>
            <w:proofErr w:type="spellStart"/>
            <w:r>
              <w:rPr>
                <w:i/>
                <w:iCs/>
                <w:sz w:val="24"/>
              </w:rPr>
              <w:t>xCT</w:t>
            </w:r>
            <w:proofErr w:type="spellEnd"/>
            <w:r>
              <w:rPr>
                <w:sz w:val="24"/>
              </w:rPr>
              <w:t>-R</w:t>
            </w:r>
          </w:p>
        </w:tc>
        <w:tc>
          <w:tcPr>
            <w:tcW w:w="4148" w:type="dxa"/>
          </w:tcPr>
          <w:p w14:paraId="14B1710D" w14:textId="77777777" w:rsidR="00F9489E" w:rsidRDefault="00830756">
            <w:pPr>
              <w:rPr>
                <w:sz w:val="24"/>
              </w:rPr>
            </w:pPr>
            <w:r>
              <w:rPr>
                <w:sz w:val="24"/>
              </w:rPr>
              <w:t>GGAAAATCTGGATCCGGGCA</w:t>
            </w:r>
          </w:p>
        </w:tc>
      </w:tr>
    </w:tbl>
    <w:p w14:paraId="294B2E67" w14:textId="706EB07A" w:rsidR="00F9489E" w:rsidRDefault="00F9489E">
      <w:pPr>
        <w:rPr>
          <w:b/>
          <w:bCs/>
          <w:sz w:val="24"/>
          <w:vertAlign w:val="subscript"/>
        </w:rPr>
      </w:pPr>
    </w:p>
    <w:p w14:paraId="07EB05B9" w14:textId="77777777" w:rsidR="001D4EA8" w:rsidRPr="00BD1863" w:rsidRDefault="001D4EA8" w:rsidP="00BD1863">
      <w:pPr>
        <w:spacing w:line="360" w:lineRule="auto"/>
        <w:rPr>
          <w:rFonts w:eastAsiaTheme="majorEastAsia"/>
          <w:b/>
          <w:bCs/>
          <w:sz w:val="24"/>
        </w:rPr>
      </w:pPr>
    </w:p>
    <w:sectPr w:rsidR="001D4EA8" w:rsidRPr="00BD18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70BD" w14:textId="77777777" w:rsidR="00E03B96" w:rsidRDefault="00E03B96" w:rsidP="00E84EEC">
      <w:r>
        <w:separator/>
      </w:r>
    </w:p>
  </w:endnote>
  <w:endnote w:type="continuationSeparator" w:id="0">
    <w:p w14:paraId="3FC31BD2" w14:textId="77777777" w:rsidR="00E03B96" w:rsidRDefault="00E03B96" w:rsidP="00E8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1810" w14:textId="77777777" w:rsidR="00E03B96" w:rsidRDefault="00E03B96" w:rsidP="00E84EEC">
      <w:r>
        <w:separator/>
      </w:r>
    </w:p>
  </w:footnote>
  <w:footnote w:type="continuationSeparator" w:id="0">
    <w:p w14:paraId="0AD3392A" w14:textId="77777777" w:rsidR="00E03B96" w:rsidRDefault="00E03B96" w:rsidP="00E84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B0"/>
    <w:rsid w:val="0002307F"/>
    <w:rsid w:val="000C4749"/>
    <w:rsid w:val="000F7A09"/>
    <w:rsid w:val="001D4EA8"/>
    <w:rsid w:val="00235B6D"/>
    <w:rsid w:val="002D66B0"/>
    <w:rsid w:val="0044741B"/>
    <w:rsid w:val="004F2D4C"/>
    <w:rsid w:val="005249D4"/>
    <w:rsid w:val="005D5907"/>
    <w:rsid w:val="00613CC6"/>
    <w:rsid w:val="0061628F"/>
    <w:rsid w:val="00634939"/>
    <w:rsid w:val="00772496"/>
    <w:rsid w:val="007B5C24"/>
    <w:rsid w:val="008155FD"/>
    <w:rsid w:val="00830756"/>
    <w:rsid w:val="008B19A5"/>
    <w:rsid w:val="00917C6B"/>
    <w:rsid w:val="0094628B"/>
    <w:rsid w:val="00996A19"/>
    <w:rsid w:val="009F70CB"/>
    <w:rsid w:val="00A35B0B"/>
    <w:rsid w:val="00A471A9"/>
    <w:rsid w:val="00A621A9"/>
    <w:rsid w:val="00A67B93"/>
    <w:rsid w:val="00AF5376"/>
    <w:rsid w:val="00BD1863"/>
    <w:rsid w:val="00C42CCF"/>
    <w:rsid w:val="00CC0148"/>
    <w:rsid w:val="00D3524B"/>
    <w:rsid w:val="00D42F92"/>
    <w:rsid w:val="00E03B96"/>
    <w:rsid w:val="00E45375"/>
    <w:rsid w:val="00E84EEC"/>
    <w:rsid w:val="00E94A41"/>
    <w:rsid w:val="00EC0802"/>
    <w:rsid w:val="00F002A4"/>
    <w:rsid w:val="00F9489E"/>
    <w:rsid w:val="08522FA9"/>
    <w:rsid w:val="5F39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7FEA3"/>
  <w15:docId w15:val="{D7FB2CA6-68D3-4DF1-96E2-188BF03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飞燕</dc:creator>
  <cp:lastModifiedBy>飞燕</cp:lastModifiedBy>
  <cp:revision>59</cp:revision>
  <dcterms:created xsi:type="dcterms:W3CDTF">2021-02-24T03:16:00Z</dcterms:created>
  <dcterms:modified xsi:type="dcterms:W3CDTF">2021-04-29T02:11:00Z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