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46397" w14:textId="5A9F8193" w:rsidR="001B4ABA" w:rsidRDefault="001B4ABA" w:rsidP="001B4ABA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Figures</w:t>
      </w:r>
    </w:p>
    <w:p w14:paraId="6D8035E2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4F0E92" w14:textId="62A19FE6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E926E4">
        <w:rPr>
          <w:rFonts w:ascii="Times New Roman" w:hAnsi="Times New Roman" w:cs="Times New Roman"/>
          <w:sz w:val="24"/>
          <w:szCs w:val="24"/>
        </w:rPr>
        <w:t>The role of interaction between two factors including age-period (A), age-cohort (B), and cohort-period (C) on the incidence of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>.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AEEB899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332CC350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4DA61C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E926E4">
        <w:rPr>
          <w:rFonts w:ascii="Times New Roman" w:hAnsi="Times New Roman" w:cs="Times New Roman"/>
          <w:sz w:val="24"/>
          <w:szCs w:val="24"/>
        </w:rPr>
        <w:t xml:space="preserve">The role of interaction between two factors including age-period (A), age-cohort (B), and cohort-period (C) on the prevalence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>.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8EA560A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30F39D9E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28407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Pr="00E926E4">
        <w:rPr>
          <w:rFonts w:ascii="Times New Roman" w:hAnsi="Times New Roman" w:cs="Times New Roman"/>
          <w:sz w:val="24"/>
          <w:szCs w:val="24"/>
        </w:rPr>
        <w:t xml:space="preserve">The global trends of case number, crude rate and age-standardized rate of incidence, prevalence and DALYs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 xml:space="preserve"> from 1990 to 2</w:t>
      </w:r>
      <w:r w:rsidRPr="00E926E4">
        <w:rPr>
          <w:rFonts w:ascii="Times New Roman" w:hAnsi="Times New Roman" w:cs="Times New Roman" w:hint="eastAsia"/>
          <w:sz w:val="24"/>
          <w:szCs w:val="24"/>
        </w:rPr>
        <w:t>021</w:t>
      </w:r>
      <w:r w:rsidRPr="00E926E4">
        <w:rPr>
          <w:rFonts w:ascii="Times New Roman" w:hAnsi="Times New Roman" w:cs="Times New Roman"/>
          <w:sz w:val="24"/>
          <w:szCs w:val="24"/>
        </w:rPr>
        <w:t>. DALYs, disability-adjusted life-years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4EBFBAE9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2C726997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49A3BE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2475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 w:rsidRPr="0002475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24759">
        <w:rPr>
          <w:rFonts w:hint="eastAsia"/>
          <w:b/>
          <w:bCs/>
        </w:rPr>
        <w:t xml:space="preserve"> 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(A) The joinpoint regression analysis on the case number of incidence; (B) The joinpoint regression analysis on the ASR of incidence; (C) The joinpoint regression analysis on the case number of prevalence; (D) The joinpoint regression analysis on the ASR of prevalence; (E) The joinpoint regression analysis on the case number of DALYs; (F) The joinpoint regression analysis on the ASR of DALYs;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globally.</w:t>
      </w:r>
      <w:r w:rsidRPr="000247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01B7A5A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 w:rsidRPr="00E926E4">
        <w:rPr>
          <w:rFonts w:ascii="Times New Roman" w:hAnsi="Times New Roman" w:cs="Times New Roman"/>
          <w:sz w:val="24"/>
          <w:szCs w:val="24"/>
        </w:rPr>
        <w:t xml:space="preserve">ASR, age-standardized rate; DALYs, disability-adjusted life-years;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>,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/>
          <w:sz w:val="24"/>
          <w:szCs w:val="24"/>
        </w:rPr>
        <w:t>.</w:t>
      </w:r>
    </w:p>
    <w:p w14:paraId="6931AFBA" w14:textId="77777777" w:rsidR="001B4ABA" w:rsidRPr="00024759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2F551A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2475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S5</w:t>
      </w:r>
      <w:r w:rsidRPr="0002475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926E4">
        <w:rPr>
          <w:rFonts w:ascii="Times New Roman" w:hAnsi="Times New Roman" w:cs="Times New Roman"/>
          <w:sz w:val="24"/>
          <w:szCs w:val="24"/>
        </w:rPr>
        <w:t xml:space="preserve">The effects of age, period, and birth cohort on the relative risk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 xml:space="preserve"> incidence (A) and prevalence (B). </w:t>
      </w:r>
    </w:p>
    <w:p w14:paraId="5CE09AD0" w14:textId="77777777" w:rsidR="001B4ABA" w:rsidRPr="00024759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>,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/>
          <w:sz w:val="24"/>
          <w:szCs w:val="24"/>
        </w:rPr>
        <w:t>.</w:t>
      </w:r>
    </w:p>
    <w:p w14:paraId="2FA00BA2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B192C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D21F69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926E4">
        <w:rPr>
          <w:rFonts w:ascii="Times New Roman" w:hAnsi="Times New Roman" w:cs="Times New Roman"/>
          <w:sz w:val="24"/>
          <w:szCs w:val="24"/>
        </w:rPr>
        <w:t xml:space="preserve">The effects of age, period, and birth cohort on the relative risk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 xml:space="preserve"> incidence stratified by sexes.</w:t>
      </w: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B318639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75F71F5B" w14:textId="77777777" w:rsidR="001B4ABA" w:rsidRDefault="001B4ABA" w:rsidP="001B4A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AE06B" w14:textId="77777777" w:rsidR="001B4ABA" w:rsidRPr="00E926E4" w:rsidRDefault="001B4ABA" w:rsidP="001B4A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D21F69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926E4">
        <w:rPr>
          <w:rFonts w:ascii="Times New Roman" w:hAnsi="Times New Roman" w:cs="Times New Roman"/>
          <w:sz w:val="24"/>
          <w:szCs w:val="24"/>
        </w:rPr>
        <w:t xml:space="preserve">The effects of age, period, and birth cohort on the relative risk of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/>
          <w:sz w:val="24"/>
          <w:szCs w:val="24"/>
        </w:rPr>
        <w:t xml:space="preserve"> prevalence stratified by sexes. </w:t>
      </w:r>
    </w:p>
    <w:p w14:paraId="1900342D" w14:textId="77777777" w:rsidR="001B4ABA" w:rsidRDefault="001B4ABA" w:rsidP="001B4ABA">
      <w:pPr>
        <w:spacing w:line="48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D21F69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MM</w:t>
      </w:r>
      <w:r w:rsidRPr="00E926E4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multiple myeloma</w:t>
      </w:r>
      <w:r w:rsidRPr="00E926E4">
        <w:rPr>
          <w:rFonts w:ascii="Times New Roman" w:hAnsi="Times New Roman" w:cs="Times New Roman" w:hint="eastAsia"/>
          <w:sz w:val="24"/>
          <w:szCs w:val="24"/>
        </w:rPr>
        <w:t>.</w:t>
      </w:r>
    </w:p>
    <w:p w14:paraId="3062AA65" w14:textId="77777777" w:rsidR="00D340EA" w:rsidRDefault="00D340EA">
      <w:pPr>
        <w:rPr>
          <w:rFonts w:hint="eastAsia"/>
        </w:rPr>
      </w:pPr>
    </w:p>
    <w:sectPr w:rsidR="00D340EA" w:rsidSect="001B4ABA">
      <w:headerReference w:type="default" r:id="rId6"/>
      <w:pgSz w:w="11906" w:h="16838" w:code="9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16DCD0" w14:textId="77777777" w:rsidR="00033BCF" w:rsidRDefault="00033BCF" w:rsidP="001B4ABA">
      <w:pPr>
        <w:rPr>
          <w:rFonts w:hint="eastAsia"/>
        </w:rPr>
      </w:pPr>
      <w:r>
        <w:separator/>
      </w:r>
    </w:p>
  </w:endnote>
  <w:endnote w:type="continuationSeparator" w:id="0">
    <w:p w14:paraId="36A99D68" w14:textId="77777777" w:rsidR="00033BCF" w:rsidRDefault="00033BCF" w:rsidP="001B4AB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2A6958" w14:textId="77777777" w:rsidR="00033BCF" w:rsidRDefault="00033BCF" w:rsidP="001B4ABA">
      <w:pPr>
        <w:rPr>
          <w:rFonts w:hint="eastAsia"/>
        </w:rPr>
      </w:pPr>
      <w:r>
        <w:separator/>
      </w:r>
    </w:p>
  </w:footnote>
  <w:footnote w:type="continuationSeparator" w:id="0">
    <w:p w14:paraId="33D9F79B" w14:textId="77777777" w:rsidR="00033BCF" w:rsidRDefault="00033BCF" w:rsidP="001B4AB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42458049"/>
      <w:docPartObj>
        <w:docPartGallery w:val="Page Numbers (Top of Page)"/>
        <w:docPartUnique/>
      </w:docPartObj>
    </w:sdtPr>
    <w:sdtContent>
      <w:p w14:paraId="37DE6AE1" w14:textId="77777777" w:rsidR="00000000" w:rsidRDefault="00000000">
        <w:pPr>
          <w:pStyle w:val="a3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B70CFB" w14:textId="77777777" w:rsidR="00000000" w:rsidRDefault="00000000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45"/>
    <w:rsid w:val="00033BCF"/>
    <w:rsid w:val="001B4ABA"/>
    <w:rsid w:val="002E4345"/>
    <w:rsid w:val="00760C5D"/>
    <w:rsid w:val="009E4EAB"/>
    <w:rsid w:val="00D340EA"/>
    <w:rsid w:val="00DD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59132"/>
  <w15:chartTrackingRefBased/>
  <w15:docId w15:val="{84132CC4-069C-4911-B841-B2C7CCA10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B4A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1B4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AB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B4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lixinyang1997@qq.com</dc:creator>
  <cp:keywords/>
  <dc:description/>
  <cp:lastModifiedBy>lixinyang1997@qq.com</cp:lastModifiedBy>
  <cp:revision>2</cp:revision>
  <dcterms:created xsi:type="dcterms:W3CDTF">2024-09-19T16:42:00Z</dcterms:created>
  <dcterms:modified xsi:type="dcterms:W3CDTF">2024-09-19T16:43:00Z</dcterms:modified>
</cp:coreProperties>
</file>