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961A0">
      <w:pPr>
        <w:spacing w:line="360" w:lineRule="auto"/>
        <w:rPr>
          <w:rFonts w:ascii="Times New Roman Bold" w:hAnsi="Times New Roman Bold" w:cs="Times New Roman Bold"/>
          <w:b/>
          <w:color w:val="auto"/>
          <w:kern w:val="0"/>
          <w:sz w:val="28"/>
          <w:szCs w:val="28"/>
        </w:rPr>
      </w:pPr>
      <w:r>
        <w:rPr>
          <w:rFonts w:ascii="Times New Roman Bold" w:hAnsi="Times New Roman Bold" w:cs="Times New Roman Bold"/>
          <w:b/>
          <w:color w:val="auto"/>
          <w:sz w:val="28"/>
          <w:szCs w:val="28"/>
        </w:rPr>
        <w:t>SUPPLEMENTARY TABLE. Postoperative adjuvant therapy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007"/>
      </w:tblGrid>
      <w:tr w14:paraId="12710A43">
        <w:trPr>
          <w:jc w:val="center"/>
        </w:trPr>
        <w:tc>
          <w:tcPr>
            <w:tcW w:w="4261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 w14:paraId="7672F6A9">
            <w:pPr>
              <w:spacing w:line="360" w:lineRule="auto"/>
              <w:rPr>
                <w:rFonts w:ascii="Times New Roman Bold" w:hAnsi="Times New Roman Bold" w:eastAsia="Times New Roman" w:cs="Times New Roman Bold"/>
                <w:b/>
                <w:color w:val="auto"/>
                <w:sz w:val="24"/>
              </w:rPr>
            </w:pPr>
            <w:r>
              <w:rPr>
                <w:rFonts w:ascii="Times New Roman Bold" w:hAnsi="Times New Roman Bold" w:eastAsia="Times New Roman" w:cs="Times New Roman Bold"/>
                <w:b/>
                <w:color w:val="auto"/>
              </w:rPr>
              <w:t>Adjuvant therapy</w:t>
            </w:r>
          </w:p>
        </w:tc>
        <w:tc>
          <w:tcPr>
            <w:tcW w:w="4007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</w:tcPr>
          <w:p w14:paraId="336DB2CC">
            <w:pPr>
              <w:spacing w:line="360" w:lineRule="auto"/>
              <w:jc w:val="center"/>
              <w:rPr>
                <w:rFonts w:ascii="Times New Roman Bold" w:hAnsi="Times New Roman Bold" w:eastAsia="Times New Roman" w:cs="Times New Roman Bold"/>
                <w:b/>
                <w:color w:val="auto"/>
              </w:rPr>
            </w:pPr>
            <w:r>
              <w:rPr>
                <w:rFonts w:ascii="Times New Roman Bold" w:hAnsi="Times New Roman Bold" w:eastAsia="Times New Roman" w:cs="Times New Roman Bold"/>
                <w:b/>
                <w:color w:val="auto"/>
              </w:rPr>
              <w:t>Patient numbers</w:t>
            </w:r>
          </w:p>
        </w:tc>
      </w:tr>
      <w:tr w14:paraId="0450A1B8">
        <w:trPr>
          <w:jc w:val="center"/>
        </w:trPr>
        <w:tc>
          <w:tcPr>
            <w:tcW w:w="4261" w:type="dxa"/>
            <w:tcBorders>
              <w:top w:val="single" w:color="auto" w:sz="18" w:space="0"/>
              <w:left w:val="nil"/>
              <w:bottom w:val="nil"/>
              <w:right w:val="nil"/>
            </w:tcBorders>
          </w:tcPr>
          <w:p w14:paraId="15A37120">
            <w:pPr>
              <w:spacing w:line="360" w:lineRule="auto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Bold" w:hAnsi="Times New Roman Bold" w:eastAsia="Times New Roman" w:cs="Times New Roman Bold"/>
                <w:b/>
                <w:color w:val="auto"/>
              </w:rPr>
              <w:t>Chemotherapy</w:t>
            </w:r>
          </w:p>
        </w:tc>
        <w:tc>
          <w:tcPr>
            <w:tcW w:w="4007" w:type="dxa"/>
            <w:tcBorders>
              <w:top w:val="single" w:color="auto" w:sz="18" w:space="0"/>
              <w:left w:val="nil"/>
              <w:bottom w:val="nil"/>
              <w:right w:val="nil"/>
            </w:tcBorders>
          </w:tcPr>
          <w:p w14:paraId="3A37A8B9">
            <w:pPr>
              <w:spacing w:line="360" w:lineRule="auto"/>
              <w:jc w:val="center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Bold" w:hAnsi="Times New Roman Bold" w:eastAsia="Times New Roman" w:cs="Times New Roman Bold"/>
                <w:b/>
                <w:color w:val="auto"/>
              </w:rPr>
              <w:t>11</w:t>
            </w:r>
          </w:p>
        </w:tc>
      </w:tr>
      <w:tr w14:paraId="654D84E1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458C186">
            <w:pPr>
              <w:spacing w:line="360" w:lineRule="auto"/>
              <w:ind w:firstLine="210" w:firstLineChars="100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Gemcitabine plus Oxaliplatin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7C04F590">
            <w:pPr>
              <w:spacing w:line="360" w:lineRule="auto"/>
              <w:jc w:val="center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3</w:t>
            </w:r>
          </w:p>
        </w:tc>
      </w:tr>
      <w:tr w14:paraId="6B65240D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9EF9768">
            <w:pPr>
              <w:spacing w:line="360" w:lineRule="auto"/>
              <w:ind w:firstLine="210" w:firstLineChars="100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5-Fluorouracil plus Oxaliplatin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279071A9">
            <w:pPr>
              <w:spacing w:line="360" w:lineRule="auto"/>
              <w:jc w:val="center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3</w:t>
            </w:r>
          </w:p>
        </w:tc>
      </w:tr>
      <w:tr w14:paraId="03DD82C2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22507C0">
            <w:pPr>
              <w:spacing w:line="360" w:lineRule="auto"/>
              <w:ind w:firstLine="210" w:firstLineChars="100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Gemcitabine plus Cisplatin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01A7225A">
            <w:pPr>
              <w:spacing w:line="360" w:lineRule="auto"/>
              <w:jc w:val="center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3</w:t>
            </w:r>
          </w:p>
        </w:tc>
      </w:tr>
      <w:tr w14:paraId="2AED8693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3EDF875">
            <w:pPr>
              <w:spacing w:line="360" w:lineRule="auto"/>
              <w:ind w:firstLine="210" w:firstLineChars="100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Capecitabine monotherapy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3B619DBF">
            <w:pPr>
              <w:spacing w:line="360" w:lineRule="auto"/>
              <w:jc w:val="center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1</w:t>
            </w:r>
          </w:p>
        </w:tc>
      </w:tr>
      <w:tr w14:paraId="07A64292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550753D">
            <w:pPr>
              <w:spacing w:line="360" w:lineRule="auto"/>
              <w:ind w:firstLine="210" w:firstLineChars="100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TGOPC monotherapy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2AAE9C13">
            <w:pPr>
              <w:spacing w:line="360" w:lineRule="auto"/>
              <w:jc w:val="center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1</w:t>
            </w:r>
          </w:p>
        </w:tc>
      </w:tr>
      <w:tr w14:paraId="1CF5B913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054A153">
            <w:pPr>
              <w:spacing w:line="360" w:lineRule="auto"/>
              <w:rPr>
                <w:rFonts w:ascii="Times New Roman Regular" w:hAnsi="Times New Roman Regular" w:eastAsia="Times New Roman" w:cs="Times New Roman Regular"/>
                <w:color w:val="auto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19BDAF2B">
            <w:pPr>
              <w:spacing w:line="360" w:lineRule="auto"/>
              <w:jc w:val="center"/>
              <w:rPr>
                <w:rFonts w:ascii="Times New Roman Regular" w:hAnsi="Times New Roman Regular" w:eastAsia="Times New Roman" w:cs="Times New Roman Regular"/>
                <w:color w:val="auto"/>
              </w:rPr>
            </w:pPr>
          </w:p>
        </w:tc>
      </w:tr>
      <w:tr w14:paraId="72486EB9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9C9C713">
            <w:pPr>
              <w:spacing w:line="360" w:lineRule="auto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Bold" w:hAnsi="Times New Roman Bold" w:eastAsia="Times New Roman" w:cs="Times New Roman Bold"/>
                <w:b/>
                <w:color w:val="auto"/>
              </w:rPr>
              <w:t>Anti-PD</w:t>
            </w:r>
            <w:r>
              <w:rPr>
                <w:rFonts w:hint="eastAsia" w:ascii="Times New Roman Bold" w:hAnsi="Times New Roman Bold" w:eastAsia="Times New Roman" w:cs="Times New Roman Bold"/>
                <w:b/>
                <w:color w:val="auto"/>
              </w:rPr>
              <w:t>-</w:t>
            </w:r>
            <w:r>
              <w:rPr>
                <w:rFonts w:ascii="Times New Roman Bold" w:hAnsi="Times New Roman Bold" w:eastAsia="Times New Roman" w:cs="Times New Roman Bold"/>
                <w:b/>
                <w:color w:val="auto"/>
              </w:rPr>
              <w:t>1 therapy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6CE6EE14">
            <w:pPr>
              <w:spacing w:line="360" w:lineRule="auto"/>
              <w:jc w:val="center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Bold" w:hAnsi="Times New Roman Bold" w:eastAsia="Times New Roman" w:cs="Times New Roman Bold"/>
                <w:b/>
                <w:color w:val="auto"/>
              </w:rPr>
              <w:t>11</w:t>
            </w:r>
          </w:p>
        </w:tc>
      </w:tr>
      <w:tr w14:paraId="64BA5E74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FCC99FA">
            <w:pPr>
              <w:spacing w:line="360" w:lineRule="auto"/>
              <w:ind w:firstLine="210" w:firstLineChars="100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Sintilimab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473C05E1">
            <w:pPr>
              <w:spacing w:line="360" w:lineRule="auto"/>
              <w:jc w:val="center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5</w:t>
            </w:r>
          </w:p>
        </w:tc>
      </w:tr>
      <w:tr w14:paraId="656B8D56">
        <w:trPr>
          <w:jc w:val="center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5CC6808D">
            <w:pPr>
              <w:spacing w:line="360" w:lineRule="auto"/>
              <w:ind w:firstLine="210" w:firstLineChars="100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 xml:space="preserve">Toripalimab   </w:t>
            </w: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</w:tcPr>
          <w:p w14:paraId="463E7717">
            <w:pPr>
              <w:spacing w:line="360" w:lineRule="auto"/>
              <w:jc w:val="center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2</w:t>
            </w:r>
          </w:p>
        </w:tc>
      </w:tr>
      <w:tr w14:paraId="278DA035">
        <w:trPr>
          <w:jc w:val="center"/>
        </w:trPr>
        <w:tc>
          <w:tcPr>
            <w:tcW w:w="4261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6A1A103B">
            <w:pPr>
              <w:spacing w:line="360" w:lineRule="auto"/>
              <w:ind w:firstLine="210" w:firstLineChars="100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Camrelizumab</w:t>
            </w:r>
          </w:p>
        </w:tc>
        <w:tc>
          <w:tcPr>
            <w:tcW w:w="4007" w:type="dxa"/>
            <w:tcBorders>
              <w:top w:val="nil"/>
              <w:left w:val="nil"/>
              <w:bottom w:val="single" w:color="auto" w:sz="18" w:space="0"/>
              <w:right w:val="nil"/>
            </w:tcBorders>
          </w:tcPr>
          <w:p w14:paraId="04ED882C">
            <w:pPr>
              <w:spacing w:line="360" w:lineRule="auto"/>
              <w:jc w:val="center"/>
              <w:rPr>
                <w:rFonts w:ascii="Times New Roman Regular" w:hAnsi="Times New Roman Regular" w:eastAsia="Times New Roman" w:cs="Times New Roman Regular"/>
                <w:color w:val="auto"/>
              </w:rPr>
            </w:pPr>
            <w:r>
              <w:rPr>
                <w:rFonts w:ascii="Times New Roman Regular" w:hAnsi="Times New Roman Regular" w:eastAsia="Times New Roman" w:cs="Times New Roman Regular"/>
                <w:color w:val="auto"/>
              </w:rPr>
              <w:t>4</w:t>
            </w:r>
          </w:p>
        </w:tc>
      </w:tr>
    </w:tbl>
    <w:p w14:paraId="7F47C8C6">
      <w:pPr>
        <w:rPr>
          <w:rFonts w:ascii="Times New Roman Regular" w:hAnsi="Times New Roman Regular" w:cs="Times New Roman Regular"/>
          <w:color w:val="auto"/>
          <w:szCs w:val="21"/>
        </w:rPr>
      </w:pPr>
      <w:r>
        <w:rPr>
          <w:rFonts w:ascii="Times New Roman Regular" w:hAnsi="Times New Roman Regular" w:cs="Times New Roman Regular"/>
          <w:color w:val="auto"/>
          <w:szCs w:val="21"/>
        </w:rPr>
        <w:t>Abbreviations: TGOPC, Tegafur, Gimeracil and Oteracil Potassium Capsules</w:t>
      </w:r>
    </w:p>
    <w:p w14:paraId="0E66B1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mNWViN2VjZTY4ZTkyZDUwZTg4ZTY2ODJlNjA3ZTEifQ=="/>
  </w:docVars>
  <w:rsids>
    <w:rsidRoot w:val="5FDFE8D5"/>
    <w:rsid w:val="5FDFE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2024-10-20T19:19:00Z</dcterms:created>
  <dc:creator>  em_</dc:creator>
  <cp:lastModifiedBy>  em_</cp:lastModifiedBy>
  <dcterms:modified xsi:type="dcterms:W3CDTF">2024-10-20T19:19:50Z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61424C3D3A321DBF3AE71467CA226E30_41</vt:lpwstr>
  </property>
</Properties>
</file>