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ABACA" w14:textId="59100339" w:rsidR="005B7554" w:rsidRPr="00DD1893" w:rsidRDefault="005B7554" w:rsidP="005B7554">
      <w:pPr>
        <w:spacing w:line="240" w:lineRule="auto"/>
        <w:rPr>
          <w:rFonts w:ascii="Times New Roman" w:hAnsi="Times New Roman" w:cs="Times New Roman"/>
          <w:i/>
          <w:iCs/>
          <w:sz w:val="24"/>
          <w:lang w:val="en-AU"/>
        </w:rPr>
      </w:pPr>
      <w:r w:rsidRPr="005B7554">
        <w:rPr>
          <w:rFonts w:ascii="Times New Roman" w:hAnsi="Times New Roman" w:cs="Times New Roman"/>
          <w:b/>
          <w:bCs/>
          <w:sz w:val="24"/>
          <w:szCs w:val="24"/>
        </w:rPr>
        <w:t>Table S_1.</w:t>
      </w:r>
      <w:r w:rsidRPr="00DD1893">
        <w:rPr>
          <w:rFonts w:ascii="Times New Roman" w:hAnsi="Times New Roman" w:cs="Times New Roman"/>
          <w:sz w:val="24"/>
          <w:szCs w:val="24"/>
        </w:rPr>
        <w:t xml:space="preserve"> Objective function value (OFV) differences between different disease progression models.</w:t>
      </w:r>
    </w:p>
    <w:tbl>
      <w:tblPr>
        <w:tblStyle w:val="ListTable1Light-Accent3"/>
        <w:tblW w:w="10440" w:type="dxa"/>
        <w:tblLayout w:type="fixed"/>
        <w:tblLook w:val="04A0" w:firstRow="1" w:lastRow="0" w:firstColumn="1" w:lastColumn="0" w:noHBand="0" w:noVBand="1"/>
      </w:tblPr>
      <w:tblGrid>
        <w:gridCol w:w="1446"/>
        <w:gridCol w:w="4404"/>
        <w:gridCol w:w="1594"/>
        <w:gridCol w:w="1845"/>
        <w:gridCol w:w="1151"/>
      </w:tblGrid>
      <w:tr w:rsidR="005B7554" w:rsidRPr="00AF3003" w14:paraId="772493DE" w14:textId="77777777" w:rsidTr="0064469C">
        <w:trPr>
          <w:cnfStyle w:val="100000000000" w:firstRow="1" w:lastRow="0" w:firstColumn="0" w:lastColumn="0" w:oddVBand="0" w:evenVBand="0" w:oddHBand="0"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46" w:type="dxa"/>
            <w:shd w:val="clear" w:color="auto" w:fill="BDD6EE" w:themeFill="accent5" w:themeFillTint="66"/>
          </w:tcPr>
          <w:p w14:paraId="3A0C88FC" w14:textId="77777777" w:rsidR="005B7554" w:rsidRPr="00AF3003" w:rsidRDefault="005B7554" w:rsidP="0064469C">
            <w:pPr>
              <w:pStyle w:val="PARATABLE"/>
              <w:rPr>
                <w:b w:val="0"/>
                <w:bCs/>
                <w:sz w:val="18"/>
                <w:szCs w:val="18"/>
                <w:shd w:val="clear" w:color="auto" w:fill="auto"/>
              </w:rPr>
            </w:pPr>
            <w:bookmarkStart w:id="0" w:name="_Hlk144894284"/>
            <w:r w:rsidRPr="00AF3003">
              <w:rPr>
                <w:sz w:val="18"/>
                <w:szCs w:val="18"/>
                <w:shd w:val="clear" w:color="auto" w:fill="auto"/>
              </w:rPr>
              <w:t>Number of parameters</w:t>
            </w:r>
          </w:p>
        </w:tc>
        <w:tc>
          <w:tcPr>
            <w:tcW w:w="4404" w:type="dxa"/>
            <w:shd w:val="clear" w:color="auto" w:fill="BDD6EE" w:themeFill="accent5" w:themeFillTint="66"/>
          </w:tcPr>
          <w:p w14:paraId="0DF00ED5" w14:textId="77777777" w:rsidR="005B7554" w:rsidRPr="00AF3003" w:rsidRDefault="005B7554" w:rsidP="0064469C">
            <w:pPr>
              <w:pStyle w:val="PARATABLE"/>
              <w:cnfStyle w:val="100000000000" w:firstRow="1" w:lastRow="0" w:firstColumn="0" w:lastColumn="0" w:oddVBand="0" w:evenVBand="0" w:oddHBand="0" w:evenHBand="0" w:firstRowFirstColumn="0" w:firstRowLastColumn="0" w:lastRowFirstColumn="0" w:lastRowLastColumn="0"/>
              <w:rPr>
                <w:b w:val="0"/>
                <w:bCs/>
                <w:sz w:val="18"/>
                <w:szCs w:val="18"/>
                <w:shd w:val="clear" w:color="auto" w:fill="auto"/>
              </w:rPr>
            </w:pPr>
            <w:r w:rsidRPr="00AF3003">
              <w:rPr>
                <w:sz w:val="18"/>
                <w:szCs w:val="18"/>
                <w:shd w:val="clear" w:color="auto" w:fill="auto"/>
              </w:rPr>
              <w:t>Base model</w:t>
            </w:r>
          </w:p>
        </w:tc>
        <w:tc>
          <w:tcPr>
            <w:tcW w:w="1594" w:type="dxa"/>
            <w:shd w:val="clear" w:color="auto" w:fill="BDD6EE" w:themeFill="accent5" w:themeFillTint="66"/>
          </w:tcPr>
          <w:p w14:paraId="4D75A857" w14:textId="77777777" w:rsidR="005B7554" w:rsidRPr="00AF3003" w:rsidRDefault="005B7554" w:rsidP="0064469C">
            <w:pPr>
              <w:pStyle w:val="PARATABLE"/>
              <w:cnfStyle w:val="100000000000" w:firstRow="1" w:lastRow="0" w:firstColumn="0" w:lastColumn="0" w:oddVBand="0" w:evenVBand="0" w:oddHBand="0" w:evenHBand="0" w:firstRowFirstColumn="0" w:firstRowLastColumn="0" w:lastRowFirstColumn="0" w:lastRowLastColumn="0"/>
              <w:rPr>
                <w:b w:val="0"/>
                <w:bCs/>
                <w:sz w:val="18"/>
                <w:szCs w:val="18"/>
                <w:shd w:val="clear" w:color="auto" w:fill="auto"/>
              </w:rPr>
            </w:pPr>
            <w:r w:rsidRPr="00AF3003">
              <w:rPr>
                <w:sz w:val="18"/>
                <w:szCs w:val="18"/>
                <w:shd w:val="clear" w:color="auto" w:fill="auto"/>
              </w:rPr>
              <w:t>OFV</w:t>
            </w:r>
          </w:p>
        </w:tc>
        <w:tc>
          <w:tcPr>
            <w:tcW w:w="1845" w:type="dxa"/>
            <w:shd w:val="clear" w:color="auto" w:fill="BDD6EE" w:themeFill="accent5" w:themeFillTint="66"/>
          </w:tcPr>
          <w:p w14:paraId="35C7FCD4" w14:textId="77777777" w:rsidR="005B7554" w:rsidRPr="00AF3003" w:rsidRDefault="005B7554" w:rsidP="0064469C">
            <w:pPr>
              <w:pStyle w:val="PARATABLE"/>
              <w:cnfStyle w:val="100000000000" w:firstRow="1" w:lastRow="0" w:firstColumn="0" w:lastColumn="0" w:oddVBand="0" w:evenVBand="0" w:oddHBand="0" w:evenHBand="0" w:firstRowFirstColumn="0" w:firstRowLastColumn="0" w:lastRowFirstColumn="0" w:lastRowLastColumn="0"/>
              <w:rPr>
                <w:b w:val="0"/>
                <w:bCs/>
                <w:sz w:val="18"/>
                <w:szCs w:val="18"/>
                <w:shd w:val="clear" w:color="auto" w:fill="auto"/>
              </w:rPr>
            </w:pPr>
            <w:r w:rsidRPr="00AF3003">
              <w:rPr>
                <w:sz w:val="18"/>
                <w:szCs w:val="18"/>
                <w:shd w:val="clear" w:color="auto" w:fill="auto"/>
              </w:rPr>
              <w:t>∆OFV</w:t>
            </w:r>
          </w:p>
        </w:tc>
        <w:tc>
          <w:tcPr>
            <w:tcW w:w="1151" w:type="dxa"/>
            <w:shd w:val="clear" w:color="auto" w:fill="BDD6EE" w:themeFill="accent5" w:themeFillTint="66"/>
          </w:tcPr>
          <w:p w14:paraId="543B2815" w14:textId="77777777" w:rsidR="005B7554" w:rsidRPr="001814BB" w:rsidRDefault="005B7554" w:rsidP="0064469C">
            <w:pPr>
              <w:pStyle w:val="PARATABLE"/>
              <w:cnfStyle w:val="100000000000" w:firstRow="1" w:lastRow="0" w:firstColumn="0" w:lastColumn="0" w:oddVBand="0" w:evenVBand="0" w:oddHBand="0" w:evenHBand="0" w:firstRowFirstColumn="0" w:firstRowLastColumn="0" w:lastRowFirstColumn="0" w:lastRowLastColumn="0"/>
              <w:rPr>
                <w:sz w:val="18"/>
                <w:szCs w:val="18"/>
                <w:shd w:val="clear" w:color="auto" w:fill="auto"/>
              </w:rPr>
            </w:pPr>
            <w:r w:rsidRPr="001814BB">
              <w:rPr>
                <w:sz w:val="18"/>
                <w:szCs w:val="18"/>
                <w:shd w:val="clear" w:color="auto" w:fill="auto"/>
              </w:rPr>
              <w:t>AIC</w:t>
            </w:r>
          </w:p>
          <w:p w14:paraId="7C7D8A03" w14:textId="77777777" w:rsidR="005B7554" w:rsidRPr="00AF3003" w:rsidRDefault="005B7554" w:rsidP="0064469C">
            <w:pPr>
              <w:pStyle w:val="PARATABLE"/>
              <w:cnfStyle w:val="100000000000" w:firstRow="1" w:lastRow="0" w:firstColumn="0" w:lastColumn="0" w:oddVBand="0" w:evenVBand="0" w:oddHBand="0" w:evenHBand="0" w:firstRowFirstColumn="0" w:firstRowLastColumn="0" w:lastRowFirstColumn="0" w:lastRowLastColumn="0"/>
              <w:rPr>
                <w:b w:val="0"/>
                <w:bCs/>
                <w:sz w:val="18"/>
                <w:szCs w:val="18"/>
                <w:shd w:val="clear" w:color="auto" w:fill="auto"/>
              </w:rPr>
            </w:pPr>
            <w:r w:rsidRPr="001814BB">
              <w:rPr>
                <w:sz w:val="18"/>
                <w:szCs w:val="18"/>
                <w:shd w:val="clear" w:color="auto" w:fill="auto"/>
              </w:rPr>
              <w:t>2P+</w:t>
            </w:r>
            <w:r w:rsidRPr="00AF3003">
              <w:rPr>
                <w:sz w:val="18"/>
                <w:szCs w:val="18"/>
                <w:shd w:val="clear" w:color="auto" w:fill="auto"/>
              </w:rPr>
              <w:t>∆</w:t>
            </w:r>
            <w:r w:rsidRPr="001814BB">
              <w:rPr>
                <w:sz w:val="18"/>
                <w:szCs w:val="18"/>
                <w:shd w:val="clear" w:color="auto" w:fill="auto"/>
              </w:rPr>
              <w:t>OFV</w:t>
            </w:r>
            <w:r w:rsidRPr="00AF3003">
              <w:rPr>
                <w:sz w:val="18"/>
                <w:szCs w:val="18"/>
                <w:shd w:val="clear" w:color="auto" w:fill="auto"/>
              </w:rPr>
              <w:t xml:space="preserve"> </w:t>
            </w:r>
          </w:p>
        </w:tc>
      </w:tr>
      <w:tr w:rsidR="005B7554" w:rsidRPr="00AF3003" w14:paraId="6246A296" w14:textId="77777777" w:rsidTr="0064469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46" w:type="dxa"/>
          </w:tcPr>
          <w:p w14:paraId="51499260" w14:textId="77777777" w:rsidR="005B7554" w:rsidRPr="00F469F7" w:rsidRDefault="005B7554" w:rsidP="0064469C">
            <w:pPr>
              <w:pStyle w:val="PARATABLE"/>
              <w:rPr>
                <w:b w:val="0"/>
                <w:bCs/>
                <w:sz w:val="18"/>
                <w:szCs w:val="18"/>
                <w:shd w:val="clear" w:color="auto" w:fill="auto"/>
              </w:rPr>
            </w:pPr>
            <w:bookmarkStart w:id="1" w:name="_Hlk144843606"/>
            <w:bookmarkEnd w:id="0"/>
            <w:r w:rsidRPr="00F469F7">
              <w:rPr>
                <w:b w:val="0"/>
                <w:bCs/>
                <w:sz w:val="18"/>
                <w:szCs w:val="18"/>
                <w:shd w:val="clear" w:color="auto" w:fill="auto"/>
              </w:rPr>
              <w:t>6</w:t>
            </w:r>
          </w:p>
        </w:tc>
        <w:tc>
          <w:tcPr>
            <w:tcW w:w="4404" w:type="dxa"/>
          </w:tcPr>
          <w:p w14:paraId="0E8147EB" w14:textId="77777777" w:rsidR="005B7554"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lang w:val="en-US"/>
              </w:rPr>
            </w:pPr>
            <w:r w:rsidRPr="006C5E3A">
              <w:rPr>
                <w:bCs w:val="0"/>
                <w:sz w:val="18"/>
                <w:szCs w:val="18"/>
                <w:shd w:val="clear" w:color="auto" w:fill="auto"/>
                <w:lang w:val="en-US"/>
              </w:rPr>
              <w:t xml:space="preserve">Linear </w:t>
            </w:r>
          </w:p>
          <w:p w14:paraId="10B0AA16" w14:textId="77777777" w:rsidR="005B7554" w:rsidRPr="00AF3003"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rPr>
            </w:pPr>
            <w:r w:rsidRPr="006C5E3A">
              <w:rPr>
                <w:bCs w:val="0"/>
                <w:sz w:val="18"/>
                <w:szCs w:val="18"/>
                <w:shd w:val="clear" w:color="auto" w:fill="auto"/>
                <w:lang w:val="en-US"/>
              </w:rPr>
              <w:t>DS=BASE*(1+SLOPE*(TIME))</w:t>
            </w:r>
          </w:p>
        </w:tc>
        <w:tc>
          <w:tcPr>
            <w:tcW w:w="1594" w:type="dxa"/>
          </w:tcPr>
          <w:p w14:paraId="6479CBCE" w14:textId="77777777" w:rsidR="005B7554"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rPr>
            </w:pPr>
          </w:p>
          <w:p w14:paraId="2F8C986C" w14:textId="77777777" w:rsidR="005B7554" w:rsidRPr="00AF3003"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rPr>
            </w:pPr>
            <w:r w:rsidRPr="00AF3003">
              <w:rPr>
                <w:bCs w:val="0"/>
                <w:sz w:val="18"/>
                <w:szCs w:val="18"/>
                <w:shd w:val="clear" w:color="auto" w:fill="auto"/>
              </w:rPr>
              <w:t>-</w:t>
            </w:r>
            <w:r w:rsidRPr="006C5E3A">
              <w:rPr>
                <w:bCs w:val="0"/>
                <w:sz w:val="18"/>
                <w:szCs w:val="18"/>
                <w:shd w:val="clear" w:color="auto" w:fill="auto"/>
              </w:rPr>
              <w:t>10293.625</w:t>
            </w:r>
          </w:p>
        </w:tc>
        <w:tc>
          <w:tcPr>
            <w:tcW w:w="1845" w:type="dxa"/>
          </w:tcPr>
          <w:p w14:paraId="3FC02101" w14:textId="77777777" w:rsidR="005B7554" w:rsidRPr="00AF3003"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rPr>
            </w:pPr>
            <w:r w:rsidRPr="00AF3003">
              <w:rPr>
                <w:bCs w:val="0"/>
                <w:sz w:val="18"/>
                <w:szCs w:val="18"/>
                <w:shd w:val="clear" w:color="auto" w:fill="auto"/>
              </w:rPr>
              <w:t>-</w:t>
            </w:r>
          </w:p>
        </w:tc>
        <w:tc>
          <w:tcPr>
            <w:tcW w:w="1151" w:type="dxa"/>
          </w:tcPr>
          <w:p w14:paraId="48BEFEED" w14:textId="77777777" w:rsidR="005B7554" w:rsidRPr="00AF3003"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rPr>
            </w:pPr>
          </w:p>
        </w:tc>
      </w:tr>
      <w:bookmarkEnd w:id="1"/>
      <w:tr w:rsidR="005B7554" w:rsidRPr="00AF3003" w14:paraId="2EB515F3" w14:textId="77777777" w:rsidTr="0064469C">
        <w:trPr>
          <w:trHeight w:val="144"/>
        </w:trPr>
        <w:tc>
          <w:tcPr>
            <w:cnfStyle w:val="001000000000" w:firstRow="0" w:lastRow="0" w:firstColumn="1" w:lastColumn="0" w:oddVBand="0" w:evenVBand="0" w:oddHBand="0" w:evenHBand="0" w:firstRowFirstColumn="0" w:firstRowLastColumn="0" w:lastRowFirstColumn="0" w:lastRowLastColumn="0"/>
            <w:tcW w:w="1446" w:type="dxa"/>
            <w:shd w:val="clear" w:color="auto" w:fill="BDD6EE" w:themeFill="accent5" w:themeFillTint="66"/>
          </w:tcPr>
          <w:p w14:paraId="4AD84230" w14:textId="77777777" w:rsidR="005B7554" w:rsidRPr="00F469F7" w:rsidRDefault="005B7554" w:rsidP="0064469C">
            <w:pPr>
              <w:pStyle w:val="PARATABLE"/>
              <w:rPr>
                <w:b w:val="0"/>
                <w:bCs/>
                <w:sz w:val="18"/>
                <w:szCs w:val="18"/>
                <w:shd w:val="clear" w:color="auto" w:fill="auto"/>
              </w:rPr>
            </w:pPr>
            <w:r w:rsidRPr="00F469F7">
              <w:rPr>
                <w:b w:val="0"/>
                <w:bCs/>
                <w:sz w:val="18"/>
                <w:szCs w:val="18"/>
                <w:shd w:val="clear" w:color="auto" w:fill="auto"/>
              </w:rPr>
              <w:t>9</w:t>
            </w:r>
          </w:p>
        </w:tc>
        <w:tc>
          <w:tcPr>
            <w:tcW w:w="4404" w:type="dxa"/>
            <w:shd w:val="clear" w:color="auto" w:fill="BDD6EE" w:themeFill="accent5" w:themeFillTint="66"/>
          </w:tcPr>
          <w:p w14:paraId="65700247" w14:textId="77777777" w:rsidR="005B7554" w:rsidRPr="006C5E3A" w:rsidRDefault="005B7554" w:rsidP="0064469C">
            <w:pPr>
              <w:spacing w:after="160" w:line="259" w:lineRule="auto"/>
              <w:cnfStyle w:val="000000000000" w:firstRow="0" w:lastRow="0" w:firstColumn="0" w:lastColumn="0" w:oddVBand="0" w:evenVBand="0" w:oddHBand="0" w:evenHBand="0" w:firstRowFirstColumn="0" w:firstRowLastColumn="0" w:lastRowFirstColumn="0" w:lastRowLastColumn="0"/>
              <w:rPr>
                <w:color w:val="000000" w:themeColor="text1"/>
                <w:sz w:val="18"/>
                <w:szCs w:val="18"/>
                <w:lang w:eastAsia="en-US"/>
              </w:rPr>
            </w:pPr>
            <w:r w:rsidRPr="006C5E3A">
              <w:rPr>
                <w:color w:val="000000" w:themeColor="text1"/>
                <w:sz w:val="18"/>
                <w:szCs w:val="18"/>
                <w:lang w:eastAsia="en-US"/>
              </w:rPr>
              <w:t xml:space="preserve">Nonlinear </w:t>
            </w:r>
          </w:p>
          <w:p w14:paraId="15144BA4" w14:textId="77777777" w:rsidR="005B7554" w:rsidRPr="00AF3003" w:rsidRDefault="005B7554" w:rsidP="0064469C">
            <w:pPr>
              <w:pStyle w:val="PARATABLE"/>
              <w:cnfStyle w:val="000000000000" w:firstRow="0" w:lastRow="0" w:firstColumn="0" w:lastColumn="0" w:oddVBand="0" w:evenVBand="0" w:oddHBand="0" w:evenHBand="0" w:firstRowFirstColumn="0" w:firstRowLastColumn="0" w:lastRowFirstColumn="0" w:lastRowLastColumn="0"/>
              <w:rPr>
                <w:bCs w:val="0"/>
                <w:sz w:val="18"/>
                <w:szCs w:val="18"/>
                <w:shd w:val="clear" w:color="auto" w:fill="auto"/>
              </w:rPr>
            </w:pPr>
            <w:r w:rsidRPr="006C5E3A">
              <w:rPr>
                <w:bCs w:val="0"/>
                <w:sz w:val="18"/>
                <w:szCs w:val="18"/>
                <w:shd w:val="clear" w:color="auto" w:fill="auto"/>
              </w:rPr>
              <w:t>DS=BASE+((EMAX*(TIME**HILL))/((EC50**</w:t>
            </w:r>
            <w:proofErr w:type="gramStart"/>
            <w:r w:rsidRPr="006C5E3A">
              <w:rPr>
                <w:bCs w:val="0"/>
                <w:sz w:val="18"/>
                <w:szCs w:val="18"/>
                <w:shd w:val="clear" w:color="auto" w:fill="auto"/>
              </w:rPr>
              <w:t>HILL)+</w:t>
            </w:r>
            <w:proofErr w:type="gramEnd"/>
            <w:r w:rsidRPr="006C5E3A">
              <w:rPr>
                <w:bCs w:val="0"/>
                <w:sz w:val="18"/>
                <w:szCs w:val="18"/>
                <w:shd w:val="clear" w:color="auto" w:fill="auto"/>
              </w:rPr>
              <w:t>(TIME**HILL)))</w:t>
            </w:r>
            <w:r w:rsidRPr="00AF3003">
              <w:rPr>
                <w:bCs w:val="0"/>
                <w:sz w:val="18"/>
                <w:szCs w:val="18"/>
                <w:shd w:val="clear" w:color="auto" w:fill="auto"/>
              </w:rPr>
              <w:t xml:space="preserve"> </w:t>
            </w:r>
            <w:r w:rsidRPr="006C5E3A">
              <w:rPr>
                <w:bCs w:val="0"/>
                <w:sz w:val="18"/>
                <w:szCs w:val="18"/>
                <w:shd w:val="clear" w:color="auto" w:fill="auto"/>
              </w:rPr>
              <w:t>-</w:t>
            </w:r>
          </w:p>
        </w:tc>
        <w:tc>
          <w:tcPr>
            <w:tcW w:w="1594" w:type="dxa"/>
            <w:shd w:val="clear" w:color="auto" w:fill="BDD6EE" w:themeFill="accent5" w:themeFillTint="66"/>
          </w:tcPr>
          <w:p w14:paraId="46A690FE" w14:textId="77777777" w:rsidR="005B7554" w:rsidRPr="00AF3003" w:rsidRDefault="005B7554" w:rsidP="0064469C">
            <w:pPr>
              <w:pStyle w:val="PARATABLE"/>
              <w:cnfStyle w:val="000000000000" w:firstRow="0" w:lastRow="0" w:firstColumn="0" w:lastColumn="0" w:oddVBand="0" w:evenVBand="0" w:oddHBand="0" w:evenHBand="0" w:firstRowFirstColumn="0" w:firstRowLastColumn="0" w:lastRowFirstColumn="0" w:lastRowLastColumn="0"/>
              <w:rPr>
                <w:bCs w:val="0"/>
                <w:sz w:val="18"/>
                <w:szCs w:val="18"/>
                <w:shd w:val="clear" w:color="auto" w:fill="auto"/>
              </w:rPr>
            </w:pPr>
            <w:r w:rsidRPr="00AF3003">
              <w:rPr>
                <w:bCs w:val="0"/>
                <w:sz w:val="18"/>
                <w:szCs w:val="18"/>
                <w:shd w:val="clear" w:color="auto" w:fill="auto"/>
              </w:rPr>
              <w:t>-</w:t>
            </w:r>
            <w:r w:rsidRPr="006C5E3A">
              <w:rPr>
                <w:bCs w:val="0"/>
                <w:sz w:val="18"/>
                <w:szCs w:val="18"/>
                <w:shd w:val="clear" w:color="auto" w:fill="auto"/>
              </w:rPr>
              <w:t>9966.541</w:t>
            </w:r>
          </w:p>
        </w:tc>
        <w:tc>
          <w:tcPr>
            <w:tcW w:w="1845" w:type="dxa"/>
            <w:shd w:val="clear" w:color="auto" w:fill="BDD6EE" w:themeFill="accent5" w:themeFillTint="66"/>
          </w:tcPr>
          <w:p w14:paraId="7F1545DF" w14:textId="77777777" w:rsidR="005B7554" w:rsidRPr="00AF3003" w:rsidRDefault="005B7554" w:rsidP="0064469C">
            <w:pPr>
              <w:pStyle w:val="PARATABLE"/>
              <w:cnfStyle w:val="000000000000" w:firstRow="0" w:lastRow="0" w:firstColumn="0" w:lastColumn="0" w:oddVBand="0" w:evenVBand="0" w:oddHBand="0" w:evenHBand="0" w:firstRowFirstColumn="0" w:firstRowLastColumn="0" w:lastRowFirstColumn="0" w:lastRowLastColumn="0"/>
              <w:rPr>
                <w:bCs w:val="0"/>
                <w:sz w:val="18"/>
                <w:szCs w:val="18"/>
                <w:shd w:val="clear" w:color="auto" w:fill="auto"/>
              </w:rPr>
            </w:pPr>
            <w:r w:rsidRPr="006C5E3A">
              <w:rPr>
                <w:bCs w:val="0"/>
                <w:sz w:val="18"/>
                <w:szCs w:val="18"/>
                <w:shd w:val="clear" w:color="auto" w:fill="auto"/>
              </w:rPr>
              <w:t>327.84</w:t>
            </w:r>
          </w:p>
        </w:tc>
        <w:tc>
          <w:tcPr>
            <w:tcW w:w="1151" w:type="dxa"/>
            <w:shd w:val="clear" w:color="auto" w:fill="BDD6EE" w:themeFill="accent5" w:themeFillTint="66"/>
          </w:tcPr>
          <w:p w14:paraId="6E2687E6" w14:textId="77777777" w:rsidR="005B7554" w:rsidRDefault="005B7554" w:rsidP="0064469C">
            <w:pPr>
              <w:pStyle w:val="PARATABLE"/>
              <w:cnfStyle w:val="000000000000" w:firstRow="0" w:lastRow="0" w:firstColumn="0" w:lastColumn="0" w:oddVBand="0" w:evenVBand="0" w:oddHBand="0" w:evenHBand="0" w:firstRowFirstColumn="0" w:firstRowLastColumn="0" w:lastRowFirstColumn="0" w:lastRowLastColumn="0"/>
              <w:rPr>
                <w:bCs w:val="0"/>
                <w:sz w:val="18"/>
                <w:szCs w:val="18"/>
                <w:shd w:val="clear" w:color="auto" w:fill="auto"/>
              </w:rPr>
            </w:pPr>
            <w:r>
              <w:rPr>
                <w:bCs w:val="0"/>
                <w:sz w:val="18"/>
                <w:szCs w:val="18"/>
                <w:shd w:val="clear" w:color="auto" w:fill="auto"/>
              </w:rPr>
              <w:t>345.84</w:t>
            </w:r>
          </w:p>
          <w:p w14:paraId="5738878D" w14:textId="77777777" w:rsidR="005B7554" w:rsidRPr="007565EA" w:rsidRDefault="005B7554" w:rsidP="0064469C">
            <w:pPr>
              <w:cnfStyle w:val="000000000000" w:firstRow="0" w:lastRow="0" w:firstColumn="0" w:lastColumn="0" w:oddVBand="0" w:evenVBand="0" w:oddHBand="0" w:evenHBand="0" w:firstRowFirstColumn="0" w:firstRowLastColumn="0" w:lastRowFirstColumn="0" w:lastRowLastColumn="0"/>
              <w:rPr>
                <w:lang w:val="en-AU" w:eastAsia="en-US"/>
              </w:rPr>
            </w:pPr>
          </w:p>
        </w:tc>
      </w:tr>
      <w:tr w:rsidR="005B7554" w:rsidRPr="00AF3003" w14:paraId="5344A7C9" w14:textId="77777777" w:rsidTr="0064469C">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446" w:type="dxa"/>
          </w:tcPr>
          <w:p w14:paraId="7417CA10" w14:textId="77777777" w:rsidR="005B7554" w:rsidRPr="00F469F7" w:rsidRDefault="005B7554" w:rsidP="0064469C">
            <w:pPr>
              <w:pStyle w:val="PARATABLE"/>
              <w:rPr>
                <w:b w:val="0"/>
                <w:bCs/>
                <w:sz w:val="18"/>
                <w:szCs w:val="18"/>
                <w:shd w:val="clear" w:color="auto" w:fill="auto"/>
              </w:rPr>
            </w:pPr>
            <w:r w:rsidRPr="00F469F7">
              <w:rPr>
                <w:b w:val="0"/>
                <w:bCs/>
                <w:sz w:val="18"/>
                <w:szCs w:val="18"/>
                <w:shd w:val="clear" w:color="auto" w:fill="auto"/>
              </w:rPr>
              <w:t>6</w:t>
            </w:r>
          </w:p>
        </w:tc>
        <w:tc>
          <w:tcPr>
            <w:tcW w:w="4404" w:type="dxa"/>
          </w:tcPr>
          <w:p w14:paraId="4FAFD042" w14:textId="77777777" w:rsidR="005B7554" w:rsidRPr="006C5E3A" w:rsidRDefault="005B7554" w:rsidP="0064469C">
            <w:pPr>
              <w:spacing w:after="160" w:line="259" w:lineRule="auto"/>
              <w:cnfStyle w:val="000000100000" w:firstRow="0" w:lastRow="0" w:firstColumn="0" w:lastColumn="0" w:oddVBand="0" w:evenVBand="0" w:oddHBand="1" w:evenHBand="0" w:firstRowFirstColumn="0" w:firstRowLastColumn="0" w:lastRowFirstColumn="0" w:lastRowLastColumn="0"/>
              <w:rPr>
                <w:color w:val="000000" w:themeColor="text1"/>
                <w:sz w:val="18"/>
                <w:szCs w:val="18"/>
                <w:lang w:eastAsia="en-US"/>
              </w:rPr>
            </w:pPr>
            <w:r w:rsidRPr="006C5E3A">
              <w:rPr>
                <w:color w:val="000000" w:themeColor="text1"/>
                <w:sz w:val="18"/>
                <w:szCs w:val="18"/>
                <w:lang w:eastAsia="en-US"/>
              </w:rPr>
              <w:t xml:space="preserve">Exponential </w:t>
            </w:r>
          </w:p>
          <w:p w14:paraId="26D544FA" w14:textId="77777777" w:rsidR="005B7554" w:rsidRPr="00AF3003" w:rsidRDefault="005B7554" w:rsidP="0064469C">
            <w:pPr>
              <w:cnfStyle w:val="000000100000" w:firstRow="0" w:lastRow="0" w:firstColumn="0" w:lastColumn="0" w:oddVBand="0" w:evenVBand="0" w:oddHBand="1" w:evenHBand="0" w:firstRowFirstColumn="0" w:firstRowLastColumn="0" w:lastRowFirstColumn="0" w:lastRowLastColumn="0"/>
              <w:rPr>
                <w:sz w:val="18"/>
                <w:szCs w:val="18"/>
                <w:lang w:eastAsia="en-US"/>
              </w:rPr>
            </w:pPr>
            <w:r w:rsidRPr="006C5E3A">
              <w:rPr>
                <w:color w:val="000000" w:themeColor="text1"/>
                <w:sz w:val="18"/>
                <w:szCs w:val="18"/>
                <w:lang w:eastAsia="en-US"/>
              </w:rPr>
              <w:t xml:space="preserve"> DS=BASE*EXP(SLOPE*TIME)</w:t>
            </w:r>
          </w:p>
        </w:tc>
        <w:tc>
          <w:tcPr>
            <w:tcW w:w="1594" w:type="dxa"/>
          </w:tcPr>
          <w:p w14:paraId="5EC3EBDB" w14:textId="77777777" w:rsidR="005B7554" w:rsidRPr="00AF3003"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rPr>
            </w:pPr>
            <w:r w:rsidRPr="006C5E3A">
              <w:rPr>
                <w:bCs w:val="0"/>
                <w:sz w:val="18"/>
                <w:szCs w:val="18"/>
                <w:shd w:val="clear" w:color="auto" w:fill="auto"/>
              </w:rPr>
              <w:t>-10313.308</w:t>
            </w:r>
          </w:p>
        </w:tc>
        <w:tc>
          <w:tcPr>
            <w:tcW w:w="1845" w:type="dxa"/>
          </w:tcPr>
          <w:p w14:paraId="1D3C23E0" w14:textId="77777777" w:rsidR="005B7554" w:rsidRPr="00AF3003"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rPr>
            </w:pPr>
            <w:r w:rsidRPr="006C5E3A">
              <w:rPr>
                <w:bCs w:val="0"/>
                <w:sz w:val="18"/>
                <w:szCs w:val="18"/>
                <w:shd w:val="clear" w:color="auto" w:fill="auto"/>
              </w:rPr>
              <w:t>-19.683</w:t>
            </w:r>
          </w:p>
        </w:tc>
        <w:tc>
          <w:tcPr>
            <w:tcW w:w="1151" w:type="dxa"/>
          </w:tcPr>
          <w:p w14:paraId="273910C2" w14:textId="77777777" w:rsidR="005B7554" w:rsidRPr="00AF3003" w:rsidRDefault="005B7554" w:rsidP="0064469C">
            <w:pPr>
              <w:pStyle w:val="PARATABLE"/>
              <w:cnfStyle w:val="000000100000" w:firstRow="0" w:lastRow="0" w:firstColumn="0" w:lastColumn="0" w:oddVBand="0" w:evenVBand="0" w:oddHBand="1" w:evenHBand="0" w:firstRowFirstColumn="0" w:firstRowLastColumn="0" w:lastRowFirstColumn="0" w:lastRowLastColumn="0"/>
              <w:rPr>
                <w:bCs w:val="0"/>
                <w:sz w:val="18"/>
                <w:szCs w:val="18"/>
                <w:shd w:val="clear" w:color="auto" w:fill="auto"/>
              </w:rPr>
            </w:pPr>
            <w:r>
              <w:rPr>
                <w:bCs w:val="0"/>
                <w:sz w:val="18"/>
                <w:szCs w:val="18"/>
                <w:shd w:val="clear" w:color="auto" w:fill="auto"/>
              </w:rPr>
              <w:t>-7</w:t>
            </w:r>
          </w:p>
        </w:tc>
      </w:tr>
    </w:tbl>
    <w:p w14:paraId="0BE5A489" w14:textId="328B45BA" w:rsidR="005B7554" w:rsidRPr="00AF3003" w:rsidRDefault="005B7554" w:rsidP="005B7554">
      <w:pPr>
        <w:pStyle w:val="PARATABLE"/>
        <w:rPr>
          <w:b/>
          <w:bCs w:val="0"/>
          <w:sz w:val="18"/>
          <w:szCs w:val="18"/>
          <w:shd w:val="clear" w:color="auto" w:fill="auto"/>
        </w:rPr>
      </w:pPr>
      <w:r w:rsidRPr="000F2266">
        <w:rPr>
          <w:b/>
          <w:szCs w:val="20"/>
        </w:rPr>
        <w:t>Abbreviations:</w:t>
      </w:r>
      <w:r w:rsidRPr="00F20628">
        <w:rPr>
          <w:i/>
          <w:iCs/>
          <w:szCs w:val="20"/>
        </w:rPr>
        <w:t xml:space="preserve"> </w:t>
      </w:r>
      <w:r>
        <w:rPr>
          <w:rFonts w:ascii="Cambria Math" w:hAnsi="Cambria Math" w:cs="Cambria Math"/>
          <w:i/>
          <w:iCs/>
          <w:szCs w:val="20"/>
        </w:rPr>
        <w:t xml:space="preserve">AIC; </w:t>
      </w:r>
      <w:proofErr w:type="spellStart"/>
      <w:r>
        <w:rPr>
          <w:rFonts w:ascii="Cambria Math" w:hAnsi="Cambria Math" w:cs="Cambria Math"/>
          <w:i/>
          <w:iCs/>
          <w:szCs w:val="20"/>
        </w:rPr>
        <w:t>Akiake</w:t>
      </w:r>
      <w:proofErr w:type="spellEnd"/>
      <w:r>
        <w:rPr>
          <w:rFonts w:ascii="Cambria Math" w:hAnsi="Cambria Math" w:cs="Cambria Math"/>
          <w:i/>
          <w:iCs/>
          <w:szCs w:val="20"/>
        </w:rPr>
        <w:t xml:space="preserve"> information criteria, </w:t>
      </w:r>
      <w:r w:rsidRPr="00F20628">
        <w:rPr>
          <w:i/>
          <w:iCs/>
          <w:szCs w:val="20"/>
        </w:rPr>
        <w:t>variability, D</w:t>
      </w:r>
      <w:r>
        <w:rPr>
          <w:i/>
          <w:iCs/>
          <w:szCs w:val="20"/>
        </w:rPr>
        <w:t>S</w:t>
      </w:r>
      <w:r w:rsidRPr="00F20628">
        <w:rPr>
          <w:i/>
          <w:iCs/>
          <w:szCs w:val="20"/>
        </w:rPr>
        <w:t>; d</w:t>
      </w:r>
      <w:r>
        <w:rPr>
          <w:i/>
          <w:iCs/>
          <w:szCs w:val="20"/>
        </w:rPr>
        <w:t>isease status</w:t>
      </w:r>
      <w:r w:rsidRPr="00F20628">
        <w:rPr>
          <w:i/>
          <w:iCs/>
          <w:szCs w:val="20"/>
        </w:rPr>
        <w:t>,</w:t>
      </w:r>
      <w:r>
        <w:rPr>
          <w:i/>
          <w:iCs/>
          <w:szCs w:val="20"/>
        </w:rPr>
        <w:t xml:space="preserve"> EMAX; maximum level of amyloid plaque, EC50: the time at which accumulation reached to 50%,</w:t>
      </w:r>
      <w:r w:rsidRPr="00F20628">
        <w:rPr>
          <w:i/>
          <w:iCs/>
          <w:szCs w:val="20"/>
        </w:rPr>
        <w:t xml:space="preserve"> OFV: objective function value</w:t>
      </w:r>
      <w:r>
        <w:rPr>
          <w:i/>
          <w:iCs/>
          <w:szCs w:val="20"/>
        </w:rPr>
        <w:t>,</w:t>
      </w:r>
      <w:r w:rsidRPr="003466F8">
        <w:rPr>
          <w:sz w:val="18"/>
          <w:szCs w:val="18"/>
          <w:shd w:val="clear" w:color="auto" w:fill="auto"/>
        </w:rPr>
        <w:t xml:space="preserve"> </w:t>
      </w:r>
      <w:r w:rsidRPr="00AF3003">
        <w:rPr>
          <w:sz w:val="18"/>
          <w:szCs w:val="18"/>
          <w:shd w:val="clear" w:color="auto" w:fill="auto"/>
        </w:rPr>
        <w:t>∆OFV</w:t>
      </w:r>
      <w:r>
        <w:rPr>
          <w:sz w:val="18"/>
          <w:szCs w:val="18"/>
          <w:shd w:val="clear" w:color="auto" w:fill="auto"/>
        </w:rPr>
        <w:t>:</w:t>
      </w:r>
      <w:r w:rsidRPr="003466F8">
        <w:rPr>
          <w:i/>
          <w:iCs/>
          <w:szCs w:val="20"/>
        </w:rPr>
        <w:t xml:space="preserve"> </w:t>
      </w:r>
      <w:r w:rsidRPr="00F20628">
        <w:rPr>
          <w:i/>
          <w:iCs/>
          <w:szCs w:val="20"/>
        </w:rPr>
        <w:t>objective function value</w:t>
      </w:r>
      <w:r>
        <w:rPr>
          <w:i/>
          <w:iCs/>
          <w:szCs w:val="20"/>
        </w:rPr>
        <w:t xml:space="preserve"> difference.</w:t>
      </w:r>
    </w:p>
    <w:p w14:paraId="71A31440" w14:textId="65C478F7" w:rsidR="00B40BCA" w:rsidRDefault="00B40BCA" w:rsidP="00B40BCA">
      <w:pPr>
        <w:pStyle w:val="Caption"/>
        <w:spacing w:before="240"/>
        <w:jc w:val="both"/>
        <w:rPr>
          <w:iCs w:val="0"/>
        </w:rPr>
      </w:pPr>
      <w:r>
        <w:rPr>
          <w:b/>
          <w:bCs/>
        </w:rPr>
        <w:t>Figure S_1.</w:t>
      </w:r>
      <w:r>
        <w:t xml:space="preserve"> </w:t>
      </w:r>
      <w:r>
        <w:rPr>
          <w:iCs w:val="0"/>
        </w:rPr>
        <w:t>Goodness-of-fit for the final developed DP model</w:t>
      </w:r>
      <w:bookmarkStart w:id="2" w:name="_Hlk144906894"/>
      <w:r>
        <w:rPr>
          <w:iCs w:val="0"/>
        </w:rPr>
        <w:t xml:space="preserve"> of amyloid </w:t>
      </w:r>
      <w:r w:rsidR="00A30DB4">
        <w:rPr>
          <w:iCs w:val="0"/>
        </w:rPr>
        <w:t>plaque.</w:t>
      </w:r>
    </w:p>
    <w:p w14:paraId="184CC5CD" w14:textId="33121F68" w:rsidR="00B40BCA" w:rsidRDefault="00B40BCA" w:rsidP="00B40BCA">
      <w:pPr>
        <w:rPr>
          <w:highlight w:val="green"/>
          <w:lang w:eastAsia="en-US"/>
        </w:rPr>
      </w:pPr>
      <w:r>
        <w:rPr>
          <w:noProof/>
        </w:rPr>
        <w:drawing>
          <wp:inline distT="0" distB="0" distL="0" distR="0" wp14:anchorId="470B11B0" wp14:editId="035A1CDE">
            <wp:extent cx="4724400" cy="2956560"/>
            <wp:effectExtent l="0" t="0" r="0" b="0"/>
            <wp:docPr id="570786411" name="Picture 4" descr="A group of graphs showing different statistical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group of graphs showing different statistical data&#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l="2534"/>
                    <a:stretch>
                      <a:fillRect/>
                    </a:stretch>
                  </pic:blipFill>
                  <pic:spPr bwMode="auto">
                    <a:xfrm>
                      <a:off x="0" y="0"/>
                      <a:ext cx="4724400" cy="2956560"/>
                    </a:xfrm>
                    <a:prstGeom prst="rect">
                      <a:avLst/>
                    </a:prstGeom>
                    <a:noFill/>
                    <a:ln>
                      <a:noFill/>
                    </a:ln>
                  </pic:spPr>
                </pic:pic>
              </a:graphicData>
            </a:graphic>
          </wp:inline>
        </w:drawing>
      </w:r>
    </w:p>
    <w:p w14:paraId="66683096" w14:textId="0F60F772" w:rsidR="00A30DB4" w:rsidRPr="00C92728" w:rsidRDefault="00B40BCA" w:rsidP="00C92728">
      <w:pPr>
        <w:jc w:val="both"/>
        <w:rPr>
          <w:rFonts w:ascii="Times New Roman" w:hAnsi="Times New Roman" w:cs="Times New Roman"/>
          <w:lang w:eastAsia="en-US"/>
        </w:rPr>
      </w:pPr>
      <w:r>
        <w:rPr>
          <w:rFonts w:ascii="Times New Roman" w:hAnsi="Times New Roman" w:cs="Times New Roman"/>
        </w:rPr>
        <w:t>Goodness-of-fit for the final DP model of amyloid plaque, observed amyloid plaque versus population predicted amyloid plaque, observed amyloid plaque versus individual amyloid plaque, Individual weighted residuals (IWRES) versus individual prediction and conditional weighted residuals versus time (months).</w:t>
      </w:r>
      <w:bookmarkEnd w:id="2"/>
      <w:r>
        <w:rPr>
          <w:rFonts w:ascii="Times New Roman" w:hAnsi="Times New Roman" w:cs="Times New Roman"/>
        </w:rPr>
        <w:t xml:space="preserve"> </w:t>
      </w:r>
      <w:r>
        <w:rPr>
          <w:rFonts w:ascii="Times New Roman" w:hAnsi="Times New Roman" w:cs="Times New Roman"/>
          <w:b/>
          <w:bCs/>
        </w:rPr>
        <w:t>Abbreviations:</w:t>
      </w:r>
      <w:r>
        <w:rPr>
          <w:rFonts w:ascii="Times New Roman" w:hAnsi="Times New Roman" w:cs="Times New Roman"/>
        </w:rPr>
        <w:t xml:space="preserve"> </w:t>
      </w:r>
      <w:r>
        <w:rPr>
          <w:rFonts w:ascii="Times New Roman" w:hAnsi="Times New Roman" w:cs="Times New Roman"/>
          <w:i/>
        </w:rPr>
        <w:t>IWRES; individual weighted residuals.</w:t>
      </w:r>
    </w:p>
    <w:p w14:paraId="47DF1E5D" w14:textId="77777777" w:rsidR="00A070BB" w:rsidRDefault="00A070BB" w:rsidP="00B40BCA">
      <w:pPr>
        <w:pStyle w:val="Caption"/>
        <w:jc w:val="both"/>
        <w:rPr>
          <w:b/>
          <w:bCs/>
        </w:rPr>
      </w:pPr>
    </w:p>
    <w:p w14:paraId="79F89D0A" w14:textId="77777777" w:rsidR="00A070BB" w:rsidRDefault="00A070BB" w:rsidP="00B40BCA">
      <w:pPr>
        <w:pStyle w:val="Caption"/>
        <w:jc w:val="both"/>
        <w:rPr>
          <w:b/>
          <w:bCs/>
        </w:rPr>
      </w:pPr>
    </w:p>
    <w:p w14:paraId="091F6ECD" w14:textId="77777777" w:rsidR="00A070BB" w:rsidRDefault="00A070BB" w:rsidP="00B40BCA">
      <w:pPr>
        <w:pStyle w:val="Caption"/>
        <w:jc w:val="both"/>
        <w:rPr>
          <w:b/>
          <w:bCs/>
        </w:rPr>
      </w:pPr>
    </w:p>
    <w:p w14:paraId="0F464FD4" w14:textId="51AD86F6" w:rsidR="00B40BCA" w:rsidRDefault="00B40BCA" w:rsidP="00B40BCA">
      <w:pPr>
        <w:pStyle w:val="Caption"/>
        <w:jc w:val="both"/>
        <w:rPr>
          <w:szCs w:val="22"/>
        </w:rPr>
      </w:pPr>
      <w:r>
        <w:rPr>
          <w:b/>
          <w:bCs/>
        </w:rPr>
        <w:lastRenderedPageBreak/>
        <w:t>Figure S_</w:t>
      </w:r>
      <w:r w:rsidR="00C92728">
        <w:rPr>
          <w:b/>
          <w:bCs/>
        </w:rPr>
        <w:t>2</w:t>
      </w:r>
      <w:r>
        <w:rPr>
          <w:b/>
          <w:bCs/>
        </w:rPr>
        <w:t>.</w:t>
      </w:r>
      <w:r>
        <w:t xml:space="preserve"> </w:t>
      </w:r>
      <w:r>
        <w:rPr>
          <w:szCs w:val="22"/>
        </w:rPr>
        <w:t>Visual predictive checks of the amyloid plaque progression a) before and b) after dropout censoring.</w:t>
      </w:r>
    </w:p>
    <w:p w14:paraId="17712354" w14:textId="77777777" w:rsidR="00B40BCA" w:rsidRDefault="00B40BCA" w:rsidP="00B40BCA">
      <w:pPr>
        <w:rPr>
          <w:b/>
          <w:bCs/>
          <w:lang w:eastAsia="en-US"/>
        </w:rPr>
      </w:pPr>
      <w:r>
        <w:rPr>
          <w:b/>
          <w:bCs/>
          <w:lang w:eastAsia="en-US"/>
        </w:rPr>
        <w:t>a)</w:t>
      </w:r>
    </w:p>
    <w:p w14:paraId="6A65008A" w14:textId="313F2FA9" w:rsidR="00B40BCA" w:rsidRDefault="00B40BCA" w:rsidP="00B40BCA">
      <w:pPr>
        <w:rPr>
          <w:lang w:eastAsia="en-US"/>
        </w:rPr>
      </w:pPr>
      <w:r>
        <w:rPr>
          <w:noProof/>
          <w:lang w:eastAsia="en-US"/>
        </w:rPr>
        <w:drawing>
          <wp:inline distT="0" distB="0" distL="0" distR="0" wp14:anchorId="6C295CF5" wp14:editId="710AF3A0">
            <wp:extent cx="5138254" cy="2317750"/>
            <wp:effectExtent l="0" t="0" r="5715" b="6350"/>
            <wp:docPr id="317003606" name="Picture 2"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graph of a graph&#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52585" cy="2324215"/>
                    </a:xfrm>
                    <a:prstGeom prst="rect">
                      <a:avLst/>
                    </a:prstGeom>
                    <a:noFill/>
                    <a:ln>
                      <a:noFill/>
                    </a:ln>
                  </pic:spPr>
                </pic:pic>
              </a:graphicData>
            </a:graphic>
          </wp:inline>
        </w:drawing>
      </w:r>
    </w:p>
    <w:p w14:paraId="0EB95EF6" w14:textId="688E3D37" w:rsidR="00B40BCA" w:rsidRPr="00C92728" w:rsidRDefault="00B40BCA" w:rsidP="00C92728">
      <w:pPr>
        <w:rPr>
          <w:b/>
          <w:bCs/>
          <w:lang w:eastAsia="en-US"/>
        </w:rPr>
      </w:pPr>
      <w:r>
        <w:rPr>
          <w:b/>
          <w:bCs/>
          <w:lang w:eastAsia="en-US"/>
        </w:rPr>
        <w:t>b)</w:t>
      </w:r>
    </w:p>
    <w:p w14:paraId="3CD30471" w14:textId="155BC7FC" w:rsidR="00C92728" w:rsidRDefault="00C92728" w:rsidP="00C92728">
      <w:pPr>
        <w:pStyle w:val="Caption"/>
        <w:ind w:left="720"/>
        <w:jc w:val="both"/>
        <w:rPr>
          <w:szCs w:val="22"/>
        </w:rPr>
      </w:pPr>
      <w:r>
        <w:rPr>
          <w:szCs w:val="22"/>
        </w:rPr>
        <w:t xml:space="preserve">    </w:t>
      </w:r>
      <w:r w:rsidRPr="00C92728">
        <w:rPr>
          <w:noProof/>
          <w:szCs w:val="22"/>
        </w:rPr>
        <w:drawing>
          <wp:inline distT="0" distB="0" distL="0" distR="0" wp14:anchorId="1A2E60EC" wp14:editId="75A225BA">
            <wp:extent cx="5341155" cy="2927985"/>
            <wp:effectExtent l="0" t="0" r="0" b="5715"/>
            <wp:docPr id="1639269080" name="Picture 1" descr="A graph showing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269080" name="Picture 1" descr="A graph showing a number of numbers&#10;&#10;Description automatically generated with medium confidence"/>
                    <pic:cNvPicPr/>
                  </pic:nvPicPr>
                  <pic:blipFill rotWithShape="1">
                    <a:blip r:embed="rId7"/>
                    <a:srcRect l="7693"/>
                    <a:stretch/>
                  </pic:blipFill>
                  <pic:spPr bwMode="auto">
                    <a:xfrm>
                      <a:off x="0" y="0"/>
                      <a:ext cx="5380296" cy="2949442"/>
                    </a:xfrm>
                    <a:prstGeom prst="rect">
                      <a:avLst/>
                    </a:prstGeom>
                    <a:noFill/>
                    <a:ln>
                      <a:noFill/>
                    </a:ln>
                    <a:extLst>
                      <a:ext uri="{53640926-AAD7-44D8-BBD7-CCE9431645EC}">
                        <a14:shadowObscured xmlns:a14="http://schemas.microsoft.com/office/drawing/2010/main"/>
                      </a:ext>
                    </a:extLst>
                  </pic:spPr>
                </pic:pic>
              </a:graphicData>
            </a:graphic>
          </wp:inline>
        </w:drawing>
      </w:r>
    </w:p>
    <w:p w14:paraId="5F987E41" w14:textId="3DE95E4A" w:rsidR="001D58B5" w:rsidRDefault="00B40BCA" w:rsidP="00B40BCA">
      <w:pPr>
        <w:pStyle w:val="Caption"/>
        <w:ind w:left="720"/>
        <w:jc w:val="both"/>
        <w:rPr>
          <w:szCs w:val="22"/>
        </w:rPr>
      </w:pPr>
      <w:r>
        <w:rPr>
          <w:szCs w:val="22"/>
        </w:rPr>
        <w:t>VPCs of the final amyloid plaque model with bins =8, while b) represents the final amyloid plaque model after considering dropouts censoring with bins =8. Solid red lines represent the median of observed data; dashed lines represent the 5th percentile (lower part) and 95th percentile (upper part) for observed data. Shaded areas are the 90</w:t>
      </w:r>
      <w:r w:rsidR="00307662">
        <w:rPr>
          <w:szCs w:val="22"/>
        </w:rPr>
        <w:t xml:space="preserve">% </w:t>
      </w:r>
      <w:r>
        <w:rPr>
          <w:szCs w:val="22"/>
        </w:rPr>
        <w:t>confidence interval for the 5th percentile (lower part) and 95th percentile (upper part) from 1000 simulated datasets. Bins=8.</w:t>
      </w:r>
    </w:p>
    <w:p w14:paraId="5BF3167E" w14:textId="77777777" w:rsidR="00A070BB" w:rsidRDefault="00A070BB" w:rsidP="00C92728">
      <w:pPr>
        <w:pStyle w:val="Caption"/>
        <w:jc w:val="both"/>
        <w:rPr>
          <w:b/>
          <w:bCs/>
        </w:rPr>
      </w:pPr>
    </w:p>
    <w:p w14:paraId="3BB96BAC" w14:textId="15EA6360" w:rsidR="00C92728" w:rsidRDefault="00C92728" w:rsidP="00C92728">
      <w:pPr>
        <w:pStyle w:val="Caption"/>
        <w:jc w:val="both"/>
        <w:rPr>
          <w:szCs w:val="22"/>
        </w:rPr>
      </w:pPr>
      <w:r>
        <w:rPr>
          <w:b/>
          <w:bCs/>
        </w:rPr>
        <w:lastRenderedPageBreak/>
        <w:t xml:space="preserve">Figure S_3. </w:t>
      </w:r>
      <w:r w:rsidRPr="00A30DB4">
        <w:t>Dropout from the study based on diagnosis at baseline</w:t>
      </w:r>
      <w:r w:rsidRPr="00A30DB4">
        <w:rPr>
          <w:szCs w:val="22"/>
        </w:rPr>
        <w:t>.</w:t>
      </w:r>
    </w:p>
    <w:p w14:paraId="536481F2" w14:textId="77777777" w:rsidR="00C92728" w:rsidRDefault="00C92728" w:rsidP="00C92728">
      <w:pPr>
        <w:rPr>
          <w:lang w:eastAsia="en-US"/>
        </w:rPr>
      </w:pPr>
      <w:r w:rsidRPr="00A30DB4">
        <w:rPr>
          <w:noProof/>
          <w:lang w:eastAsia="en-US"/>
        </w:rPr>
        <w:drawing>
          <wp:inline distT="0" distB="0" distL="0" distR="0" wp14:anchorId="334A4637" wp14:editId="43748751">
            <wp:extent cx="5943600" cy="2374900"/>
            <wp:effectExtent l="0" t="0" r="0" b="6350"/>
            <wp:docPr id="2047836152" name="Picture 1" descr="A graph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836152" name="Picture 1" descr="A graph of a number of patients&#10;&#10;Description automatically generated"/>
                    <pic:cNvPicPr/>
                  </pic:nvPicPr>
                  <pic:blipFill rotWithShape="1">
                    <a:blip r:embed="rId8"/>
                    <a:srcRect t="4004"/>
                    <a:stretch/>
                  </pic:blipFill>
                  <pic:spPr bwMode="auto">
                    <a:xfrm>
                      <a:off x="0" y="0"/>
                      <a:ext cx="5943600" cy="2374900"/>
                    </a:xfrm>
                    <a:prstGeom prst="rect">
                      <a:avLst/>
                    </a:prstGeom>
                    <a:ln>
                      <a:noFill/>
                    </a:ln>
                    <a:extLst>
                      <a:ext uri="{53640926-AAD7-44D8-BBD7-CCE9431645EC}">
                        <a14:shadowObscured xmlns:a14="http://schemas.microsoft.com/office/drawing/2010/main"/>
                      </a:ext>
                    </a:extLst>
                  </pic:spPr>
                </pic:pic>
              </a:graphicData>
            </a:graphic>
          </wp:inline>
        </w:drawing>
      </w:r>
    </w:p>
    <w:p w14:paraId="51DA004C" w14:textId="77777777" w:rsidR="00C92728" w:rsidRPr="00A30DB4" w:rsidRDefault="00C92728" w:rsidP="00C92728">
      <w:pPr>
        <w:rPr>
          <w:lang w:eastAsia="en-US"/>
        </w:rPr>
      </w:pPr>
      <w:r>
        <w:rPr>
          <w:lang w:eastAsia="en-US"/>
        </w:rPr>
        <w:t xml:space="preserve">Plots of dropping out from the study according to diagnosis at baseline. </w:t>
      </w:r>
      <w:r>
        <w:rPr>
          <w:rFonts w:ascii="Times New Roman" w:hAnsi="Times New Roman" w:cs="Times New Roman"/>
          <w:b/>
          <w:bCs/>
        </w:rPr>
        <w:t>Abbreviations:</w:t>
      </w:r>
      <w:r w:rsidRPr="00A30DB4">
        <w:t xml:space="preserve"> </w:t>
      </w:r>
      <w:r w:rsidRPr="00A30DB4">
        <w:rPr>
          <w:rFonts w:ascii="Times New Roman" w:hAnsi="Times New Roman" w:cs="Times New Roman"/>
        </w:rPr>
        <w:t>CN; cognitively normal, SMCs; subjective memory concerns, EMCI; early mild cognitive impairment, LMCI; late mild cognitive impairment, AD; Alzheimer disease.</w:t>
      </w:r>
    </w:p>
    <w:p w14:paraId="6433EB64" w14:textId="59BA9DC8" w:rsidR="00C92728" w:rsidRPr="00C92728" w:rsidRDefault="00C92728" w:rsidP="00C92728">
      <w:pPr>
        <w:rPr>
          <w:lang w:eastAsia="en-US"/>
        </w:rPr>
      </w:pPr>
    </w:p>
    <w:sectPr w:rsidR="00C92728" w:rsidRPr="00C927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430D0"/>
    <w:multiLevelType w:val="hybridMultilevel"/>
    <w:tmpl w:val="745C85D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B1D438B"/>
    <w:multiLevelType w:val="hybridMultilevel"/>
    <w:tmpl w:val="174E7902"/>
    <w:lvl w:ilvl="0" w:tplc="F45E4DA6">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922505B"/>
    <w:multiLevelType w:val="multilevel"/>
    <w:tmpl w:val="D02E1B22"/>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0421481">
    <w:abstractNumId w:val="1"/>
  </w:num>
  <w:num w:numId="2" w16cid:durableId="563222032">
    <w:abstractNumId w:val="2"/>
  </w:num>
  <w:num w:numId="3" w16cid:durableId="12915917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28"/>
    <w:rsid w:val="000151A7"/>
    <w:rsid w:val="00034C72"/>
    <w:rsid w:val="0004305E"/>
    <w:rsid w:val="000C0258"/>
    <w:rsid w:val="0010799A"/>
    <w:rsid w:val="001426E6"/>
    <w:rsid w:val="0016329E"/>
    <w:rsid w:val="001D58B5"/>
    <w:rsid w:val="002F7728"/>
    <w:rsid w:val="00307662"/>
    <w:rsid w:val="00393EEB"/>
    <w:rsid w:val="003A1D57"/>
    <w:rsid w:val="003C17F4"/>
    <w:rsid w:val="003E3529"/>
    <w:rsid w:val="00537CA7"/>
    <w:rsid w:val="005B3E50"/>
    <w:rsid w:val="005B7554"/>
    <w:rsid w:val="006752DD"/>
    <w:rsid w:val="008E1AAF"/>
    <w:rsid w:val="00902F1F"/>
    <w:rsid w:val="00933FFA"/>
    <w:rsid w:val="009A76A0"/>
    <w:rsid w:val="009D3024"/>
    <w:rsid w:val="009F0787"/>
    <w:rsid w:val="00A070BB"/>
    <w:rsid w:val="00A2012B"/>
    <w:rsid w:val="00A30DB4"/>
    <w:rsid w:val="00B0691E"/>
    <w:rsid w:val="00B40BCA"/>
    <w:rsid w:val="00C92728"/>
    <w:rsid w:val="00DB5C15"/>
    <w:rsid w:val="00E3622D"/>
    <w:rsid w:val="00E36D58"/>
    <w:rsid w:val="7F317242"/>
  </w:rsids>
  <m:mathPr>
    <m:mathFont m:val="Cambria Math"/>
    <m:brkBin m:val="before"/>
    <m:brkBinSub m:val="--"/>
    <m:smallFrac m:val="0"/>
    <m:dispDef/>
    <m:lMargin m:val="0"/>
    <m:rMargin m:val="0"/>
    <m:defJc m:val="centerGroup"/>
    <m:wrapIndent m:val="1440"/>
    <m:intLim m:val="subSup"/>
    <m:naryLim m:val="undOvr"/>
  </m:mathPr>
  <w:themeFontLang w:val="en-MY"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B588B1"/>
  <w15:chartTrackingRefBased/>
  <w15:docId w15:val="{4E029DB8-3C69-4394-A784-8178E6904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6A0"/>
    <w:rPr>
      <w:rFonts w:eastAsiaTheme="minorEastAsia"/>
      <w:kern w:val="2"/>
      <w:lang w:eastAsia="ja-JP"/>
    </w:rPr>
  </w:style>
  <w:style w:type="paragraph" w:styleId="Heading2">
    <w:name w:val="heading 2"/>
    <w:basedOn w:val="Normal"/>
    <w:next w:val="Normal"/>
    <w:link w:val="Heading2Char"/>
    <w:autoRedefine/>
    <w:unhideWhenUsed/>
    <w:qFormat/>
    <w:rsid w:val="001426E6"/>
    <w:pPr>
      <w:keepNext/>
      <w:keepLines/>
      <w:numPr>
        <w:numId w:val="2"/>
      </w:numPr>
      <w:spacing w:before="40" w:after="0" w:line="480" w:lineRule="auto"/>
      <w:ind w:hanging="360"/>
      <w:outlineLvl w:val="1"/>
    </w:pPr>
    <w:rPr>
      <w:rFonts w:ascii="Times New Roman" w:eastAsiaTheme="majorEastAsia" w:hAnsi="Times New Roman" w:cstheme="majorBidi"/>
      <w:b/>
      <w:kern w:val="0"/>
      <w:sz w:val="24"/>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426E6"/>
    <w:rPr>
      <w:rFonts w:ascii="Times New Roman" w:eastAsiaTheme="majorEastAsia" w:hAnsi="Times New Roman" w:cstheme="majorBidi"/>
      <w:b/>
      <w:sz w:val="24"/>
      <w:szCs w:val="26"/>
      <w:lang w:val="en-US"/>
    </w:rPr>
  </w:style>
  <w:style w:type="paragraph" w:styleId="NormalWeb">
    <w:name w:val="Normal (Web)"/>
    <w:basedOn w:val="Normal"/>
    <w:link w:val="NormalWebChar"/>
    <w:uiPriority w:val="99"/>
    <w:unhideWhenUsed/>
    <w:rsid w:val="009A76A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WebChar">
    <w:name w:val="Normal (Web) Char"/>
    <w:basedOn w:val="DefaultParagraphFont"/>
    <w:link w:val="NormalWeb"/>
    <w:uiPriority w:val="99"/>
    <w:rsid w:val="009A76A0"/>
    <w:rPr>
      <w:rFonts w:ascii="Times New Roman" w:eastAsia="Times New Roman" w:hAnsi="Times New Roman" w:cs="Times New Roman"/>
      <w:sz w:val="24"/>
      <w:szCs w:val="24"/>
      <w:lang w:eastAsia="ja-JP"/>
      <w14:ligatures w14:val="none"/>
    </w:rPr>
  </w:style>
  <w:style w:type="table" w:styleId="PlainTable5">
    <w:name w:val="Plain Table 5"/>
    <w:basedOn w:val="TableNormal"/>
    <w:uiPriority w:val="45"/>
    <w:rsid w:val="009A76A0"/>
    <w:pPr>
      <w:spacing w:after="0" w:line="240" w:lineRule="auto"/>
    </w:pPr>
    <w:rPr>
      <w:rFonts w:eastAsiaTheme="minorEastAsia"/>
      <w:kern w:val="2"/>
      <w:lang w:eastAsia="ja-JP"/>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mdTblEntry">
    <w:name w:val="md_Tbl Entry"/>
    <w:basedOn w:val="Normal"/>
    <w:link w:val="mdTblEntryChar"/>
    <w:uiPriority w:val="99"/>
    <w:qFormat/>
    <w:rsid w:val="003E3529"/>
    <w:pPr>
      <w:keepLines/>
      <w:spacing w:after="0" w:line="259" w:lineRule="atLeast"/>
    </w:pPr>
    <w:rPr>
      <w:rFonts w:ascii="Times New Roman" w:eastAsia="Times New Roman" w:hAnsi="Times New Roman" w:cs="Times New Roman"/>
      <w:kern w:val="0"/>
      <w:sz w:val="20"/>
      <w:szCs w:val="20"/>
      <w:lang w:eastAsia="en-US"/>
      <w14:ligatures w14:val="none"/>
    </w:rPr>
  </w:style>
  <w:style w:type="character" w:customStyle="1" w:styleId="mdTblEntryChar">
    <w:name w:val="md_Tbl Entry Char"/>
    <w:basedOn w:val="DefaultParagraphFont"/>
    <w:link w:val="mdTblEntry"/>
    <w:uiPriority w:val="99"/>
    <w:locked/>
    <w:rsid w:val="003E3529"/>
    <w:rPr>
      <w:rFonts w:ascii="Times New Roman" w:eastAsia="Times New Roman" w:hAnsi="Times New Roman" w:cs="Times New Roman"/>
      <w:sz w:val="20"/>
      <w:szCs w:val="20"/>
      <w14:ligatures w14:val="none"/>
    </w:rPr>
  </w:style>
  <w:style w:type="character" w:styleId="CommentReference">
    <w:name w:val="annotation reference"/>
    <w:basedOn w:val="DefaultParagraphFont"/>
    <w:uiPriority w:val="99"/>
    <w:unhideWhenUsed/>
    <w:rsid w:val="00DB5C15"/>
    <w:rPr>
      <w:sz w:val="16"/>
      <w:szCs w:val="16"/>
    </w:rPr>
  </w:style>
  <w:style w:type="paragraph" w:styleId="CommentText">
    <w:name w:val="annotation text"/>
    <w:basedOn w:val="Normal"/>
    <w:link w:val="CommentTextChar"/>
    <w:uiPriority w:val="99"/>
    <w:unhideWhenUsed/>
    <w:rsid w:val="00DB5C15"/>
    <w:pPr>
      <w:spacing w:line="240" w:lineRule="auto"/>
    </w:pPr>
    <w:rPr>
      <w:sz w:val="20"/>
      <w:szCs w:val="20"/>
    </w:rPr>
  </w:style>
  <w:style w:type="character" w:customStyle="1" w:styleId="CommentTextChar">
    <w:name w:val="Comment Text Char"/>
    <w:basedOn w:val="DefaultParagraphFont"/>
    <w:link w:val="CommentText"/>
    <w:uiPriority w:val="99"/>
    <w:rsid w:val="00DB5C15"/>
    <w:rPr>
      <w:rFonts w:eastAsiaTheme="minorEastAsia"/>
      <w:kern w:val="2"/>
      <w:sz w:val="20"/>
      <w:szCs w:val="20"/>
      <w:lang w:eastAsia="ja-JP"/>
    </w:rPr>
  </w:style>
  <w:style w:type="paragraph" w:styleId="CommentSubject">
    <w:name w:val="annotation subject"/>
    <w:basedOn w:val="CommentText"/>
    <w:next w:val="CommentText"/>
    <w:link w:val="CommentSubjectChar"/>
    <w:uiPriority w:val="99"/>
    <w:semiHidden/>
    <w:unhideWhenUsed/>
    <w:rsid w:val="00DB5C15"/>
    <w:rPr>
      <w:b/>
      <w:bCs/>
    </w:rPr>
  </w:style>
  <w:style w:type="character" w:customStyle="1" w:styleId="CommentSubjectChar">
    <w:name w:val="Comment Subject Char"/>
    <w:basedOn w:val="CommentTextChar"/>
    <w:link w:val="CommentSubject"/>
    <w:uiPriority w:val="99"/>
    <w:semiHidden/>
    <w:rsid w:val="00DB5C15"/>
    <w:rPr>
      <w:rFonts w:eastAsiaTheme="minorEastAsia"/>
      <w:b/>
      <w:bCs/>
      <w:kern w:val="2"/>
      <w:sz w:val="20"/>
      <w:szCs w:val="20"/>
      <w:lang w:eastAsia="ja-JP"/>
    </w:rPr>
  </w:style>
  <w:style w:type="paragraph" w:styleId="Caption">
    <w:name w:val="caption"/>
    <w:basedOn w:val="Normal"/>
    <w:next w:val="Normal"/>
    <w:uiPriority w:val="35"/>
    <w:unhideWhenUsed/>
    <w:qFormat/>
    <w:rsid w:val="00B40BCA"/>
    <w:pPr>
      <w:spacing w:after="200" w:line="240" w:lineRule="auto"/>
      <w:jc w:val="center"/>
    </w:pPr>
    <w:rPr>
      <w:rFonts w:ascii="Times New Roman" w:eastAsiaTheme="minorHAnsi" w:hAnsi="Times New Roman"/>
      <w:iCs/>
      <w:color w:val="000000" w:themeColor="text1"/>
      <w:kern w:val="0"/>
      <w:sz w:val="24"/>
      <w:szCs w:val="18"/>
      <w:lang w:eastAsia="en-US"/>
      <w14:ligatures w14:val="none"/>
    </w:rPr>
  </w:style>
  <w:style w:type="paragraph" w:customStyle="1" w:styleId="PARATABLE">
    <w:name w:val="PARA TABLE"/>
    <w:basedOn w:val="Normal"/>
    <w:next w:val="Normal"/>
    <w:qFormat/>
    <w:rsid w:val="005B7554"/>
    <w:pPr>
      <w:spacing w:before="60" w:after="60" w:line="240" w:lineRule="auto"/>
    </w:pPr>
    <w:rPr>
      <w:rFonts w:ascii="Times New Roman" w:eastAsiaTheme="minorHAnsi" w:hAnsi="Times New Roman" w:cs="Times New Roman"/>
      <w:bCs/>
      <w:color w:val="000000"/>
      <w:kern w:val="0"/>
      <w:szCs w:val="24"/>
      <w:shd w:val="clear" w:color="auto" w:fill="FFFFFF"/>
      <w:lang w:val="en-AU" w:eastAsia="en-US"/>
      <w14:ligatures w14:val="none"/>
    </w:rPr>
  </w:style>
  <w:style w:type="table" w:styleId="ListTable1Light-Accent3">
    <w:name w:val="List Table 1 Light Accent 3"/>
    <w:basedOn w:val="TableNormal"/>
    <w:uiPriority w:val="46"/>
    <w:rsid w:val="005B7554"/>
    <w:pPr>
      <w:spacing w:after="0" w:line="240" w:lineRule="auto"/>
    </w:pPr>
    <w:rPr>
      <w:rFonts w:eastAsiaTheme="minorEastAsia"/>
      <w:kern w:val="2"/>
      <w:lang w:eastAsia="ja-JP"/>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15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294</Words>
  <Characters>1681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Elhefnawy Marwa Elsaeed Abdelhamid</dc:creator>
  <cp:keywords/>
  <dc:description/>
  <cp:lastModifiedBy>Marwa El Saeed El Hefnawy</cp:lastModifiedBy>
  <cp:revision>5</cp:revision>
  <dcterms:created xsi:type="dcterms:W3CDTF">2024-01-17T18:47:00Z</dcterms:created>
  <dcterms:modified xsi:type="dcterms:W3CDTF">2024-01-25T08:15:00Z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e07931f6cf7e0e1a511fd502e84a4467f82c6bdd0cf6ed7b926f5f55a8941d52</vt:lpwstr>
  </property>
</Properties>
</file>