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D09" w:rsidRPr="00492D09" w:rsidRDefault="00492D09" w:rsidP="00492D09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492D09">
        <w:rPr>
          <w:rFonts w:ascii="Times New Roman" w:eastAsia="Times New Roman" w:hAnsi="Times New Roman" w:cs="Times New Roman"/>
          <w:b/>
          <w:sz w:val="32"/>
          <w:szCs w:val="32"/>
        </w:rPr>
        <w:t>Supplementary information</w:t>
      </w:r>
    </w:p>
    <w:p w:rsidR="00BC2410" w:rsidRDefault="00BC2410" w:rsidP="00BC2410">
      <w:pPr>
        <w:spacing w:line="480" w:lineRule="auto"/>
        <w:jc w:val="left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>TNMD</w:t>
      </w:r>
      <w:r>
        <w:rPr>
          <w:rFonts w:ascii="Times New Roman" w:eastAsia="Times New Roman" w:hAnsi="Times New Roman" w:cs="Times New Roman"/>
          <w:b/>
          <w:sz w:val="32"/>
        </w:rPr>
        <w:t xml:space="preserve"> in pan-cancer analysis: Exploring its impact on immune modulation and uncovering functional insights in colorectal cancer</w:t>
      </w:r>
      <w:r>
        <w:t xml:space="preserve"> </w:t>
      </w:r>
    </w:p>
    <w:p w:rsidR="00BC2410" w:rsidRDefault="00BC2410" w:rsidP="00BC2410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C2410" w:rsidRDefault="00BC2410" w:rsidP="00BC2410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BC2410" w:rsidRDefault="00BC2410" w:rsidP="00BC2410">
      <w:pPr>
        <w:snapToGrid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Jingfeng Chen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1,3</w:t>
      </w:r>
      <w:r>
        <w:rPr>
          <w:rFonts w:ascii="Times New Roman" w:eastAsia="Times New Roman" w:hAnsi="Times New Roman" w:cs="Times New Roman"/>
          <w:color w:val="000000"/>
          <w:sz w:val="24"/>
        </w:rPr>
        <w:t>, Qin Hu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</w:rPr>
        <w:t>, Cong Zhang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</w:rPr>
        <w:t>, Bihua Guan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</w:rPr>
        <w:t>, YiFan Wang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</w:rPr>
        <w:t>, Min Zhang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</w:rPr>
        <w:t>, Xia Li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</w:rPr>
        <w:t>, Biao Chen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</w:rPr>
        <w:t>, Lulu Zeng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</w:rPr>
        <w:t>, Minjiang Chen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1,5</w:t>
      </w:r>
      <w:r>
        <w:rPr>
          <w:rFonts w:ascii="Times New Roman" w:eastAsia="Times New Roman" w:hAnsi="Times New Roman" w:cs="Times New Roman"/>
          <w:color w:val="000000"/>
          <w:sz w:val="24"/>
        </w:rPr>
        <w:t>, Bing Wu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</w:rPr>
        <w:t>, Jianping Wang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</w:rPr>
        <w:t>***, Yang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1,5</w:t>
      </w:r>
      <w:r>
        <w:rPr>
          <w:rFonts w:ascii="Times New Roman" w:eastAsia="Times New Roman" w:hAnsi="Times New Roman" w:cs="Times New Roman"/>
          <w:color w:val="000000"/>
          <w:sz w:val="24"/>
        </w:rPr>
        <w:t>**, and Jiansong Ji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1,2,5</w:t>
      </w:r>
      <w:r>
        <w:rPr>
          <w:rFonts w:ascii="Times New Roman" w:eastAsia="Times New Roman" w:hAnsi="Times New Roman" w:cs="Times New Roman"/>
          <w:color w:val="000000"/>
          <w:sz w:val="24"/>
        </w:rPr>
        <w:t>*</w:t>
      </w:r>
    </w:p>
    <w:p w:rsidR="00BC2410" w:rsidRDefault="00BC2410" w:rsidP="00BC2410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1</w:t>
      </w:r>
      <w:r>
        <w:rPr>
          <w:color w:val="000000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Zhejiang Engineering Research Center of Interventional Medicine Engineering and Biotechnology, The Fifth Affiliated Hospital of Wenzhou Medical University, Lishui Central Hospital, Lishui 323000, China.</w:t>
      </w:r>
    </w:p>
    <w:p w:rsidR="00BC2410" w:rsidRDefault="00BC2410" w:rsidP="00BC2410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4"/>
        </w:rPr>
        <w:t>Department of Radiology, School of Medicine, Lishui Hospital, Zhejiang University, Lishui Central Hospital, Lishui, 323000, China.</w:t>
      </w:r>
    </w:p>
    <w:p w:rsidR="00BC2410" w:rsidRDefault="00BC2410" w:rsidP="00BC2410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4"/>
        </w:rPr>
        <w:t>Anorectal surgery of The Fifth Affiliated Hospital of Wenzhou Medical University, Lishui, 323000, China.</w:t>
      </w:r>
    </w:p>
    <w:p w:rsidR="00BC2410" w:rsidRDefault="00BC2410" w:rsidP="00BC2410">
      <w:pPr>
        <w:snapToGrid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24"/>
        </w:rPr>
        <w:t>Department, Pathology, The Fifth Affiliated Hospital of Wenzhou Medical University, Lishui, 323000, China.</w:t>
      </w:r>
    </w:p>
    <w:p w:rsidR="00BC2410" w:rsidRDefault="00BC2410" w:rsidP="00BC2410">
      <w:pPr>
        <w:snapToGrid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4"/>
        </w:rPr>
        <w:t>Key Laboratory of Precision Medicine of Lishui, Lishui Central Hospital, Lishui 323000, China.</w:t>
      </w:r>
    </w:p>
    <w:p w:rsidR="00BC2410" w:rsidRDefault="00BC2410" w:rsidP="00BC2410">
      <w:pPr>
        <w:snapToGrid w:val="0"/>
        <w:spacing w:line="480" w:lineRule="auto"/>
        <w:rPr>
          <w:rFonts w:ascii="Times New Roman" w:eastAsia="Times New Roman" w:hAnsi="Times New Roman" w:cs="Times New Roman"/>
          <w:color w:val="FF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Department, Pharmacy, The Fifth Affiliated Hospital of Wenzhou Medical University, Lishui, 323000, China.</w:t>
      </w:r>
    </w:p>
    <w:p w:rsidR="00BC2410" w:rsidRDefault="00BC2410" w:rsidP="00BC2410">
      <w:pPr>
        <w:snapToGrid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*: Correspondence should be addressed to the following authors: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</w:p>
    <w:p w:rsidR="00BC2410" w:rsidRDefault="00BC2410" w:rsidP="00BC2410">
      <w:pPr>
        <w:snapToGrid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Dr. J.S. Ji (Key Laboratory of Imaging Diagnosis and Minimally Invasive Intervention </w:t>
      </w: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 xml:space="preserve">Research, The Fifth Affiliated Hospital of Wenzhou Medical University), Tel: +86-578-2285011; Fax: +86-578-2285011; E-mail: jjstcty@wmu.edu.cn </w:t>
      </w:r>
    </w:p>
    <w:p w:rsidR="00BC2410" w:rsidRDefault="00BC2410" w:rsidP="00BC2410">
      <w:pPr>
        <w:snapToGrid w:val="0"/>
        <w:spacing w:line="48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Dr. Y. Yang (Key Laboratory of Imaging Diagnosis and Minimally Invasive Intervention Research, The Fifth Affiliated Hospital of Wenzhou Medical University), Tel: +86-578-2285011; E-mail: yangyang_8668@163.com </w:t>
      </w:r>
    </w:p>
    <w:p w:rsidR="00BC2410" w:rsidRDefault="00BC2410" w:rsidP="00BC2410">
      <w:pPr>
        <w:snapToGrid w:val="0"/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Dr. J.P. Wang (Anorectal surgery of The Fifth Affiliated Hospital of Wenzhou Medical University, Lishui, 323000, China.), Tel: +86-578-2285215; E-mail: Wy705652899@163.com</w:t>
      </w: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hAnsi="Times New Roman" w:cs="Times New Roman"/>
          <w:sz w:val="24"/>
        </w:rPr>
      </w:pPr>
    </w:p>
    <w:p w:rsidR="00BC2410" w:rsidRPr="00EB3DF8" w:rsidRDefault="00BC2410" w:rsidP="00BC2410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Additional </w:t>
      </w:r>
      <w:r w:rsidRPr="00EB3DF8">
        <w:rPr>
          <w:rFonts w:ascii="Times New Roman" w:eastAsia="Times New Roman" w:hAnsi="Times New Roman" w:cs="Times New Roman"/>
          <w:sz w:val="24"/>
        </w:rPr>
        <w:t>Fig</w:t>
      </w:r>
      <w:r>
        <w:rPr>
          <w:rFonts w:ascii="Times New Roman" w:eastAsia="Times New Roman" w:hAnsi="Times New Roman" w:cs="Times New Roman"/>
          <w:sz w:val="24"/>
        </w:rPr>
        <w:t>.</w:t>
      </w:r>
      <w:r w:rsidRPr="00EB3DF8">
        <w:rPr>
          <w:rFonts w:ascii="Times New Roman" w:eastAsia="Times New Roman" w:hAnsi="Times New Roman" w:cs="Times New Roman"/>
          <w:sz w:val="24"/>
        </w:rPr>
        <w:t>1</w:t>
      </w:r>
      <w:r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等线" w:hAnsi="Times New Roman" w:cs="Times New Roman" w:hint="eastAsia"/>
          <w:sz w:val="24"/>
        </w:rPr>
        <w:t xml:space="preserve"> </w:t>
      </w:r>
      <w:r w:rsidRPr="00EB3DF8">
        <w:rPr>
          <w:rFonts w:ascii="Times New Roman" w:eastAsia="Times New Roman" w:hAnsi="Times New Roman" w:cs="Times New Roman"/>
          <w:b/>
          <w:i/>
          <w:sz w:val="24"/>
        </w:rPr>
        <w:t>TNMD</w:t>
      </w:r>
      <w:r w:rsidRPr="00EB3DF8">
        <w:rPr>
          <w:rFonts w:ascii="Times New Roman" w:eastAsia="Times New Roman" w:hAnsi="Times New Roman" w:cs="Times New Roman"/>
          <w:b/>
          <w:sz w:val="24"/>
        </w:rPr>
        <w:t xml:space="preserve"> is associated with clinicopathologic staging in pan-cancer.</w:t>
      </w:r>
      <w:r w:rsidRPr="00EB3DF8">
        <w:rPr>
          <w:rFonts w:ascii="Times New Roman" w:eastAsia="Times New Roman" w:hAnsi="Times New Roman" w:cs="Times New Roman"/>
          <w:sz w:val="24"/>
        </w:rPr>
        <w:t xml:space="preserve"> </w:t>
      </w:r>
      <w:r w:rsidRPr="00EB3DF8">
        <w:rPr>
          <w:rFonts w:ascii="Times New Roman" w:eastAsia="Times New Roman" w:hAnsi="Times New Roman" w:cs="Times New Roman"/>
          <w:b/>
          <w:sz w:val="24"/>
        </w:rPr>
        <w:t>a-d</w:t>
      </w:r>
      <w:r w:rsidRPr="00EB3DF8">
        <w:rPr>
          <w:rFonts w:ascii="Times New Roman" w:eastAsia="Times New Roman" w:hAnsi="Times New Roman" w:cs="Times New Roman"/>
          <w:sz w:val="24"/>
        </w:rPr>
        <w:t xml:space="preserve"> Correlation between the pathological T stage of BLCA, KIRC, OSCC and LUSC and TNMD expression. e-h Correlation between the pathological N stage of KICH, KIRC, OSCC and LUSC and TNMD expression. </w:t>
      </w:r>
      <w:r w:rsidRPr="00EB3DF8">
        <w:rPr>
          <w:rFonts w:ascii="Times New Roman" w:eastAsia="Times New Roman" w:hAnsi="Times New Roman" w:cs="Times New Roman"/>
          <w:b/>
          <w:sz w:val="24"/>
        </w:rPr>
        <w:t>i-p</w:t>
      </w:r>
      <w:r w:rsidRPr="00EB3DF8">
        <w:rPr>
          <w:rFonts w:ascii="Times New Roman" w:eastAsia="Times New Roman" w:hAnsi="Times New Roman" w:cs="Times New Roman"/>
          <w:sz w:val="24"/>
        </w:rPr>
        <w:t xml:space="preserve"> Correlation between the pathological stage of BLCA, BRCA, KIRC, PAAD, TGCT, LUSC, THCA, and GBMLGG and TNMD expression.</w:t>
      </w:r>
    </w:p>
    <w:p w:rsidR="001F6B11" w:rsidRDefault="00BC2410">
      <w:r w:rsidRPr="00BC2410">
        <w:rPr>
          <w:noProof/>
        </w:rPr>
        <w:drawing>
          <wp:inline distT="0" distB="0" distL="0" distR="0">
            <wp:extent cx="5274310" cy="6194892"/>
            <wp:effectExtent l="0" t="0" r="2540" b="0"/>
            <wp:docPr id="2" name="图片 2" descr="F:\Users\Administrator\Desktop\投稿\BMC Cancer\Additional  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Users\Administrator\Desktop\投稿\BMC Cancer\Additional  Figure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94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410" w:rsidRPr="00EB3DF8" w:rsidRDefault="00BC2410" w:rsidP="00BC2410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Additional </w:t>
      </w:r>
      <w:r w:rsidRPr="0047286D">
        <w:rPr>
          <w:rFonts w:ascii="Times New Roman" w:eastAsia="Times New Roman" w:hAnsi="Times New Roman" w:cs="Times New Roman"/>
          <w:sz w:val="24"/>
        </w:rPr>
        <w:t>Fig</w:t>
      </w:r>
      <w:r>
        <w:rPr>
          <w:rFonts w:ascii="Times New Roman" w:eastAsia="Times New Roman" w:hAnsi="Times New Roman" w:cs="Times New Roman"/>
          <w:sz w:val="24"/>
        </w:rPr>
        <w:t xml:space="preserve">.2. </w:t>
      </w:r>
      <w:r w:rsidRPr="00EB3DF8">
        <w:rPr>
          <w:rFonts w:ascii="Times New Roman" w:eastAsia="Times New Roman" w:hAnsi="Times New Roman" w:cs="Times New Roman"/>
          <w:b/>
          <w:sz w:val="24"/>
        </w:rPr>
        <w:t xml:space="preserve">Validation through TIDE analysis in GSE81986 database. </w:t>
      </w:r>
    </w:p>
    <w:p w:rsidR="00BC2410" w:rsidRPr="00EB3DF8" w:rsidRDefault="00BC2410" w:rsidP="00BC2410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 w:rsidRPr="00EB3DF8">
        <w:rPr>
          <w:rFonts w:ascii="Times New Roman" w:eastAsia="Times New Roman" w:hAnsi="Times New Roman" w:cs="Times New Roman"/>
          <w:b/>
          <w:sz w:val="24"/>
        </w:rPr>
        <w:t>a</w:t>
      </w:r>
      <w:r w:rsidRPr="00EB3DF8">
        <w:rPr>
          <w:rFonts w:ascii="Times New Roman" w:eastAsia="Times New Roman" w:hAnsi="Times New Roman" w:cs="Times New Roman"/>
          <w:sz w:val="24"/>
        </w:rPr>
        <w:t xml:space="preserve"> The immunomatrix score of MSI-High group was significantly higher than that of MSS group (P&lt;0.001). </w:t>
      </w:r>
      <w:r w:rsidRPr="00EB3DF8">
        <w:rPr>
          <w:rFonts w:ascii="Times New Roman" w:eastAsia="Times New Roman" w:hAnsi="Times New Roman" w:cs="Times New Roman"/>
          <w:b/>
          <w:sz w:val="24"/>
        </w:rPr>
        <w:t>b</w:t>
      </w:r>
      <w:r w:rsidRPr="00EB3DF8">
        <w:rPr>
          <w:rFonts w:ascii="Times New Roman" w:eastAsia="Times New Roman" w:hAnsi="Times New Roman" w:cs="Times New Roman"/>
          <w:sz w:val="24"/>
        </w:rPr>
        <w:t xml:space="preserve"> Immunoinfiltration score of MSI-High group was higher than that of MSS group (P&lt;0.001).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EB3DF8">
        <w:rPr>
          <w:rFonts w:ascii="Times New Roman" w:eastAsia="Times New Roman" w:hAnsi="Times New Roman" w:cs="Times New Roman"/>
          <w:b/>
          <w:sz w:val="24"/>
        </w:rPr>
        <w:t>c</w:t>
      </w:r>
      <w:r w:rsidRPr="00EB3DF8">
        <w:rPr>
          <w:rFonts w:ascii="Times New Roman" w:eastAsia="Times New Roman" w:hAnsi="Times New Roman" w:cs="Times New Roman"/>
          <w:sz w:val="24"/>
        </w:rPr>
        <w:t xml:space="preserve"> Higher TNMD expression was associated with improved immunotherapy outcomes (P=0.22). </w:t>
      </w:r>
      <w:r w:rsidRPr="00EB3DF8">
        <w:rPr>
          <w:rFonts w:ascii="Times New Roman" w:eastAsia="Times New Roman" w:hAnsi="Times New Roman" w:cs="Times New Roman"/>
          <w:b/>
          <w:sz w:val="24"/>
        </w:rPr>
        <w:t>d</w:t>
      </w:r>
      <w:r w:rsidRPr="00EB3DF8">
        <w:rPr>
          <w:rFonts w:ascii="Times New Roman" w:eastAsia="Times New Roman" w:hAnsi="Times New Roman" w:cs="Times New Roman"/>
          <w:sz w:val="24"/>
        </w:rPr>
        <w:t xml:space="preserve"> Patients with elevated TNMD expression exhibited higher Merck18 scores (P=0.35).</w:t>
      </w:r>
    </w:p>
    <w:p w:rsidR="00BC2410" w:rsidRDefault="00BC2410">
      <w:r w:rsidRPr="00BC2410">
        <w:rPr>
          <w:noProof/>
        </w:rPr>
        <w:drawing>
          <wp:inline distT="0" distB="0" distL="0" distR="0">
            <wp:extent cx="5274310" cy="6104389"/>
            <wp:effectExtent l="0" t="0" r="2540" b="0"/>
            <wp:docPr id="4" name="图片 4" descr="F:\Users\Administrator\Desktop\投稿\BMC Cancer\Additional  Figur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Users\Administrator\Desktop\投稿\BMC Cancer\Additional  Figure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04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2410" w:rsidRDefault="00BC2410" w:rsidP="00BC2410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:rsidR="00BC2410" w:rsidRDefault="00BC2410" w:rsidP="00BC2410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Additional </w:t>
      </w:r>
      <w:r w:rsidRPr="0047286D">
        <w:rPr>
          <w:rFonts w:ascii="Times New Roman" w:eastAsia="Times New Roman" w:hAnsi="Times New Roman" w:cs="Times New Roman"/>
          <w:sz w:val="24"/>
        </w:rPr>
        <w:t>Fig</w:t>
      </w:r>
      <w:r>
        <w:rPr>
          <w:rFonts w:ascii="Times New Roman" w:eastAsia="Times New Roman" w:hAnsi="Times New Roman" w:cs="Times New Roman"/>
          <w:sz w:val="24"/>
        </w:rPr>
        <w:t xml:space="preserve">.3. </w:t>
      </w:r>
      <w:r w:rsidRPr="00EB3DF8">
        <w:rPr>
          <w:rFonts w:ascii="Times New Roman" w:eastAsia="Times New Roman" w:hAnsi="Times New Roman" w:cs="Times New Roman"/>
          <w:b/>
          <w:sz w:val="24"/>
        </w:rPr>
        <w:t>Single cell sequencing analysis of GSE132465.</w:t>
      </w:r>
      <w:r w:rsidRPr="00EB3DF8">
        <w:rPr>
          <w:rFonts w:ascii="Times New Roman" w:eastAsia="Times New Roman" w:hAnsi="Times New Roman" w:cs="Times New Roman"/>
          <w:sz w:val="24"/>
        </w:rPr>
        <w:t xml:space="preserve"> </w:t>
      </w:r>
      <w:r w:rsidRPr="00EB3DF8">
        <w:rPr>
          <w:rFonts w:ascii="Times New Roman" w:eastAsia="Times New Roman" w:hAnsi="Times New Roman" w:cs="Times New Roman"/>
          <w:b/>
          <w:sz w:val="24"/>
        </w:rPr>
        <w:t>a</w:t>
      </w:r>
      <w:r w:rsidRPr="00EB3DF8">
        <w:rPr>
          <w:rFonts w:ascii="Times New Roman" w:eastAsia="Times New Roman" w:hAnsi="Times New Roman" w:cs="Times New Roman"/>
          <w:sz w:val="24"/>
        </w:rPr>
        <w:t xml:space="preserve"> Post-correction, cells were classified into 24 cluster. </w:t>
      </w:r>
      <w:r w:rsidRPr="00EB3DF8">
        <w:rPr>
          <w:rFonts w:ascii="Times New Roman" w:eastAsia="Times New Roman" w:hAnsi="Times New Roman" w:cs="Times New Roman"/>
          <w:b/>
          <w:sz w:val="24"/>
        </w:rPr>
        <w:t>b</w:t>
      </w:r>
      <w:r w:rsidRPr="00EB3DF8">
        <w:rPr>
          <w:rFonts w:ascii="Times New Roman" w:eastAsia="Times New Roman" w:hAnsi="Times New Roman" w:cs="Times New Roman"/>
          <w:sz w:val="24"/>
        </w:rPr>
        <w:t xml:space="preserve"> Bubble chart illustrating potential ligand-receptor pairs between TNMD+ epithelial subpopulations and macrophages, as well as TNMD- epithelial subpopulations and macrophages.</w:t>
      </w:r>
    </w:p>
    <w:p w:rsidR="00BC2410" w:rsidRDefault="00BC2410" w:rsidP="00BC2410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p w:rsidR="00BC2410" w:rsidRPr="00BC2410" w:rsidRDefault="00BC2410" w:rsidP="00BC2410">
      <w:pPr>
        <w:spacing w:line="480" w:lineRule="auto"/>
        <w:rPr>
          <w:rFonts w:ascii="Times New Roman" w:hAnsi="Times New Roman" w:cs="Times New Roman" w:hint="eastAsia"/>
          <w:sz w:val="24"/>
        </w:rPr>
        <w:sectPr w:rsidR="00BC2410" w:rsidRPr="00BC2410">
          <w:footerReference w:type="default" r:id="rId8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0" w:name="_GoBack"/>
      <w:r w:rsidRPr="00BC2410"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4804156" cy="6534150"/>
            <wp:effectExtent l="0" t="0" r="0" b="0"/>
            <wp:docPr id="5" name="图片 5" descr="F:\Users\Administrator\Desktop\投稿\BMC Cancer\Additional Fig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Users\Administrator\Desktop\投稿\BMC Cancer\Additional Figure 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089" cy="6535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C2410" w:rsidRDefault="00BC2410">
      <w:pPr>
        <w:rPr>
          <w:rFonts w:hint="eastAsia"/>
        </w:rPr>
      </w:pPr>
    </w:p>
    <w:sectPr w:rsidR="00BC24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C75" w:rsidRDefault="00B66C75">
      <w:r>
        <w:separator/>
      </w:r>
    </w:p>
  </w:endnote>
  <w:endnote w:type="continuationSeparator" w:id="0">
    <w:p w:rsidR="00B66C75" w:rsidRDefault="00B66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C3E" w:rsidRDefault="00D63882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27DF5">
      <w:rPr>
        <w:noProof/>
      </w:rPr>
      <w:t>1</w:t>
    </w:r>
    <w:r>
      <w:fldChar w:fldCharType="end"/>
    </w:r>
  </w:p>
  <w:p w:rsidR="004E0C3E" w:rsidRDefault="00B66C7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C75" w:rsidRDefault="00B66C75">
      <w:r>
        <w:separator/>
      </w:r>
    </w:p>
  </w:footnote>
  <w:footnote w:type="continuationSeparator" w:id="0">
    <w:p w:rsidR="00B66C75" w:rsidRDefault="00B66C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592"/>
    <w:rsid w:val="000A0CDC"/>
    <w:rsid w:val="000A4592"/>
    <w:rsid w:val="000E4B62"/>
    <w:rsid w:val="00177725"/>
    <w:rsid w:val="00195E61"/>
    <w:rsid w:val="001F6B11"/>
    <w:rsid w:val="003768D4"/>
    <w:rsid w:val="00414D0D"/>
    <w:rsid w:val="0047473A"/>
    <w:rsid w:val="00492D09"/>
    <w:rsid w:val="004F16A3"/>
    <w:rsid w:val="00664DD0"/>
    <w:rsid w:val="006E43F6"/>
    <w:rsid w:val="006F267A"/>
    <w:rsid w:val="00727DF5"/>
    <w:rsid w:val="0089401F"/>
    <w:rsid w:val="008A10A0"/>
    <w:rsid w:val="00A0131A"/>
    <w:rsid w:val="00A12802"/>
    <w:rsid w:val="00A5415A"/>
    <w:rsid w:val="00AF7FCC"/>
    <w:rsid w:val="00B314A2"/>
    <w:rsid w:val="00B66C75"/>
    <w:rsid w:val="00BC2410"/>
    <w:rsid w:val="00C3488F"/>
    <w:rsid w:val="00C42958"/>
    <w:rsid w:val="00C85BDA"/>
    <w:rsid w:val="00CE2358"/>
    <w:rsid w:val="00D63882"/>
    <w:rsid w:val="00D76BA9"/>
    <w:rsid w:val="00D9416A"/>
    <w:rsid w:val="00E1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10975"/>
  <w15:chartTrackingRefBased/>
  <w15:docId w15:val="{E70ACD4D-3FD3-4060-A27F-8C4D4FA9E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BC2410"/>
    <w:pPr>
      <w:tabs>
        <w:tab w:val="center" w:pos="4153"/>
        <w:tab w:val="right" w:pos="8306"/>
      </w:tabs>
      <w:snapToGrid w:val="0"/>
      <w:jc w:val="left"/>
    </w:pPr>
    <w:rPr>
      <w:rFonts w:ascii="Calibri" w:eastAsia="Calibri" w:hAnsi="Calibri" w:cs="Calibri"/>
      <w:kern w:val="0"/>
      <w:sz w:val="18"/>
      <w:szCs w:val="20"/>
    </w:rPr>
  </w:style>
  <w:style w:type="character" w:customStyle="1" w:styleId="a4">
    <w:name w:val="页脚 字符"/>
    <w:basedOn w:val="a0"/>
    <w:link w:val="a3"/>
    <w:rsid w:val="00BC2410"/>
    <w:rPr>
      <w:rFonts w:ascii="Calibri" w:eastAsia="Calibri" w:hAnsi="Calibri" w:cs="Calibri"/>
      <w:kern w:val="0"/>
      <w:sz w:val="18"/>
      <w:szCs w:val="20"/>
    </w:rPr>
  </w:style>
  <w:style w:type="character" w:styleId="a5">
    <w:name w:val="line number"/>
    <w:basedOn w:val="a0"/>
    <w:uiPriority w:val="99"/>
    <w:semiHidden/>
    <w:unhideWhenUsed/>
    <w:rsid w:val="00BC2410"/>
  </w:style>
  <w:style w:type="table" w:styleId="a6">
    <w:name w:val="Table Grid"/>
    <w:basedOn w:val="a1"/>
    <w:rsid w:val="00D6388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439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2024-10-21T13:03:00Z</dcterms:created>
  <dcterms:modified xsi:type="dcterms:W3CDTF">2024-10-21T13:21:00Z</dcterms:modified>
</cp:coreProperties>
</file>