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AB4E89" w14:textId="25FE7573" w:rsidR="004905EA" w:rsidRPr="00311AB2" w:rsidRDefault="004905EA" w:rsidP="00190CD0">
      <w:pPr>
        <w:pStyle w:val="TableCaption"/>
        <w:spacing w:line="480" w:lineRule="auto"/>
        <w:rPr>
          <w:rFonts w:ascii="Times New Roman" w:hAnsi="Times New Roman" w:cs="Times New Roman"/>
          <w:i w:val="0"/>
          <w:iCs w:val="0"/>
        </w:rPr>
      </w:pPr>
      <w:r w:rsidRPr="6F2C008A">
        <w:rPr>
          <w:rFonts w:ascii="Times New Roman" w:hAnsi="Times New Roman" w:cs="Times New Roman"/>
          <w:i w:val="0"/>
          <w:iCs w:val="0"/>
        </w:rPr>
        <w:t>Day 1 myocardial work and RV FWS parameters according to gender, with normal values taken from EACVI NORRE 2019 study</w:t>
      </w:r>
      <w:sdt>
        <w:sdtPr>
          <w:rPr>
            <w:rFonts w:ascii="Times New Roman" w:hAnsi="Times New Roman" w:cs="Times New Roman"/>
            <w:i w:val="0"/>
            <w:iCs w:val="0"/>
            <w:color w:val="000000"/>
          </w:rPr>
          <w:tag w:val="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"/>
          <w:id w:val="970555242"/>
          <w:placeholder>
            <w:docPart w:val="DefaultPlaceholder_-1854013440"/>
          </w:placeholder>
        </w:sdtPr>
        <w:sdtContent>
          <w:r w:rsidR="00190CD0" w:rsidRPr="00190CD0">
            <w:rPr>
              <w:rFonts w:ascii="Times New Roman" w:hAnsi="Times New Roman" w:cs="Times New Roman"/>
              <w:i w:val="0"/>
              <w:iCs w:val="0"/>
              <w:color w:val="000000"/>
            </w:rPr>
            <w:t>[1]</w:t>
          </w:r>
        </w:sdtContent>
      </w:sdt>
      <w:r w:rsidRPr="6F2C008A">
        <w:rPr>
          <w:rFonts w:ascii="Times New Roman" w:hAnsi="Times New Roman" w:cs="Times New Roman"/>
          <w:i w:val="0"/>
          <w:iCs w:val="0"/>
        </w:rPr>
        <w:t xml:space="preserve"> (RV FWS was not assessed). Data presented as mean (SD) or median [IQR]; p values represent comparison of our study data in relation to gender.</w:t>
      </w:r>
    </w:p>
    <w:tbl>
      <w:tblPr>
        <w:tblStyle w:val="Table"/>
        <w:tblW w:w="9360"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020" w:firstRow="1" w:lastRow="0" w:firstColumn="0" w:lastColumn="0" w:noHBand="0" w:noVBand="0"/>
        <w:tblCaption w:val="Day 1 myocardial work and RV FWS parameters according to gender, with normal values taken from EACVI NORRE 2019 study. Data presented as mean (SD) or median [IQR]; p values represent comparison of our study data in relation to gender."/>
      </w:tblPr>
      <w:tblGrid>
        <w:gridCol w:w="1587"/>
        <w:gridCol w:w="1493"/>
        <w:gridCol w:w="1502"/>
        <w:gridCol w:w="1425"/>
        <w:gridCol w:w="1330"/>
        <w:gridCol w:w="822"/>
        <w:gridCol w:w="1201"/>
      </w:tblGrid>
      <w:tr w:rsidR="004905EA" w14:paraId="41ADE777" w14:textId="77777777" w:rsidTr="003574F0">
        <w:trPr>
          <w:cnfStyle w:val="100000000000" w:firstRow="1" w:lastRow="0" w:firstColumn="0" w:lastColumn="0" w:oddVBand="0" w:evenVBand="0" w:oddHBand="0" w:evenHBand="0" w:firstRowFirstColumn="0" w:firstRowLastColumn="0" w:lastRowFirstColumn="0" w:lastRowLastColumn="0"/>
          <w:tblHeader/>
        </w:trPr>
        <w:tc>
          <w:tcPr>
            <w:tcW w:w="1587" w:type="dxa"/>
          </w:tcPr>
          <w:p w14:paraId="09F0AF5F"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Variable</w:t>
            </w:r>
          </w:p>
        </w:tc>
        <w:tc>
          <w:tcPr>
            <w:tcW w:w="1493" w:type="dxa"/>
          </w:tcPr>
          <w:p w14:paraId="71847B91"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Normal Male</w:t>
            </w:r>
          </w:p>
        </w:tc>
        <w:tc>
          <w:tcPr>
            <w:tcW w:w="1502" w:type="dxa"/>
          </w:tcPr>
          <w:p w14:paraId="02856264"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Male (n = 14)</w:t>
            </w:r>
          </w:p>
        </w:tc>
        <w:tc>
          <w:tcPr>
            <w:tcW w:w="1425" w:type="dxa"/>
          </w:tcPr>
          <w:p w14:paraId="521C3B6B"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Normal Female</w:t>
            </w:r>
          </w:p>
        </w:tc>
        <w:tc>
          <w:tcPr>
            <w:tcW w:w="1330" w:type="dxa"/>
          </w:tcPr>
          <w:p w14:paraId="20204E58"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Female (n = 18)</w:t>
            </w:r>
          </w:p>
        </w:tc>
        <w:tc>
          <w:tcPr>
            <w:tcW w:w="822" w:type="dxa"/>
          </w:tcPr>
          <w:p w14:paraId="126A419D"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p</w:t>
            </w:r>
          </w:p>
        </w:tc>
        <w:tc>
          <w:tcPr>
            <w:tcW w:w="1201" w:type="dxa"/>
          </w:tcPr>
          <w:p w14:paraId="1163EDFE"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Bayes Factor</w:t>
            </w:r>
          </w:p>
        </w:tc>
      </w:tr>
      <w:tr w:rsidR="004905EA" w:rsidRPr="00311AB2" w14:paraId="0948F644" w14:textId="77777777" w:rsidTr="003574F0">
        <w:tc>
          <w:tcPr>
            <w:tcW w:w="1587" w:type="dxa"/>
          </w:tcPr>
          <w:p w14:paraId="479590EE"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GWI (mmHg %)</w:t>
            </w:r>
          </w:p>
        </w:tc>
        <w:tc>
          <w:tcPr>
            <w:tcW w:w="1493" w:type="dxa"/>
          </w:tcPr>
          <w:p w14:paraId="4FE5C5FD"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1849.0 (295.0)</w:t>
            </w:r>
          </w:p>
        </w:tc>
        <w:tc>
          <w:tcPr>
            <w:tcW w:w="1502" w:type="dxa"/>
          </w:tcPr>
          <w:p w14:paraId="3CE95859"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1487.9 (632.1)</w:t>
            </w:r>
          </w:p>
        </w:tc>
        <w:tc>
          <w:tcPr>
            <w:tcW w:w="1425" w:type="dxa"/>
          </w:tcPr>
          <w:p w14:paraId="5EEF1536"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1924.0 (313.0)</w:t>
            </w:r>
          </w:p>
        </w:tc>
        <w:tc>
          <w:tcPr>
            <w:tcW w:w="1330" w:type="dxa"/>
          </w:tcPr>
          <w:p w14:paraId="150DB261"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1430.2 (545.9)</w:t>
            </w:r>
          </w:p>
        </w:tc>
        <w:tc>
          <w:tcPr>
            <w:tcW w:w="822" w:type="dxa"/>
          </w:tcPr>
          <w:p w14:paraId="4980ED15"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0.78</w:t>
            </w:r>
          </w:p>
        </w:tc>
        <w:tc>
          <w:tcPr>
            <w:tcW w:w="1201" w:type="dxa"/>
          </w:tcPr>
          <w:p w14:paraId="72142128"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0.35</w:t>
            </w:r>
          </w:p>
        </w:tc>
      </w:tr>
      <w:tr w:rsidR="004905EA" w:rsidRPr="00311AB2" w14:paraId="2F362E6B" w14:textId="77777777" w:rsidTr="003574F0">
        <w:tc>
          <w:tcPr>
            <w:tcW w:w="1587" w:type="dxa"/>
          </w:tcPr>
          <w:p w14:paraId="4F1C5669"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GCW (mmHg %)</w:t>
            </w:r>
          </w:p>
        </w:tc>
        <w:tc>
          <w:tcPr>
            <w:tcW w:w="1493" w:type="dxa"/>
          </w:tcPr>
          <w:p w14:paraId="0D2BCD78"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2228.0 (295.0)</w:t>
            </w:r>
          </w:p>
        </w:tc>
        <w:tc>
          <w:tcPr>
            <w:tcW w:w="1502" w:type="dxa"/>
          </w:tcPr>
          <w:p w14:paraId="64762778"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1722.1 (661.3)</w:t>
            </w:r>
          </w:p>
        </w:tc>
        <w:tc>
          <w:tcPr>
            <w:tcW w:w="1425" w:type="dxa"/>
          </w:tcPr>
          <w:p w14:paraId="23D50D3F"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2234 (352)</w:t>
            </w:r>
          </w:p>
        </w:tc>
        <w:tc>
          <w:tcPr>
            <w:tcW w:w="1330" w:type="dxa"/>
          </w:tcPr>
          <w:p w14:paraId="3F69FDE2"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1616.7 (577.8)</w:t>
            </w:r>
          </w:p>
        </w:tc>
        <w:tc>
          <w:tcPr>
            <w:tcW w:w="822" w:type="dxa"/>
          </w:tcPr>
          <w:p w14:paraId="603D9254"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0.63</w:t>
            </w:r>
          </w:p>
        </w:tc>
        <w:tc>
          <w:tcPr>
            <w:tcW w:w="1201" w:type="dxa"/>
          </w:tcPr>
          <w:p w14:paraId="35238871"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0.37</w:t>
            </w:r>
          </w:p>
        </w:tc>
      </w:tr>
      <w:tr w:rsidR="004905EA" w:rsidRPr="00311AB2" w14:paraId="4FAA447C" w14:textId="77777777" w:rsidTr="003574F0">
        <w:tc>
          <w:tcPr>
            <w:tcW w:w="1587" w:type="dxa"/>
          </w:tcPr>
          <w:p w14:paraId="4C9F90C4"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GWW (mmHg %)</w:t>
            </w:r>
          </w:p>
        </w:tc>
        <w:tc>
          <w:tcPr>
            <w:tcW w:w="1493" w:type="dxa"/>
          </w:tcPr>
          <w:p w14:paraId="20819D80"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94.0 [61.5-130.5]</w:t>
            </w:r>
          </w:p>
        </w:tc>
        <w:tc>
          <w:tcPr>
            <w:tcW w:w="1502" w:type="dxa"/>
          </w:tcPr>
          <w:p w14:paraId="2783F95D"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91.0 [61.8-143.8]</w:t>
            </w:r>
          </w:p>
        </w:tc>
        <w:tc>
          <w:tcPr>
            <w:tcW w:w="1425" w:type="dxa"/>
          </w:tcPr>
          <w:p w14:paraId="0D0231AA"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74 [49.5-111]</w:t>
            </w:r>
          </w:p>
        </w:tc>
        <w:tc>
          <w:tcPr>
            <w:tcW w:w="1330" w:type="dxa"/>
          </w:tcPr>
          <w:p w14:paraId="2838082C"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127 [110.3-180.3]</w:t>
            </w:r>
          </w:p>
        </w:tc>
        <w:tc>
          <w:tcPr>
            <w:tcW w:w="822" w:type="dxa"/>
          </w:tcPr>
          <w:p w14:paraId="089E496B"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0.15</w:t>
            </w:r>
          </w:p>
        </w:tc>
        <w:tc>
          <w:tcPr>
            <w:tcW w:w="1201" w:type="dxa"/>
          </w:tcPr>
          <w:p w14:paraId="3B7341A6"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0.72</w:t>
            </w:r>
          </w:p>
        </w:tc>
      </w:tr>
      <w:tr w:rsidR="004905EA" w:rsidRPr="00311AB2" w14:paraId="56344709" w14:textId="77777777" w:rsidTr="003574F0">
        <w:tc>
          <w:tcPr>
            <w:tcW w:w="1587" w:type="dxa"/>
          </w:tcPr>
          <w:p w14:paraId="52123851"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GWE (%)</w:t>
            </w:r>
          </w:p>
        </w:tc>
        <w:tc>
          <w:tcPr>
            <w:tcW w:w="1493" w:type="dxa"/>
          </w:tcPr>
          <w:p w14:paraId="20074B27"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95.0 [94.0-97.0]</w:t>
            </w:r>
          </w:p>
        </w:tc>
        <w:tc>
          <w:tcPr>
            <w:tcW w:w="1502" w:type="dxa"/>
          </w:tcPr>
          <w:p w14:paraId="52DAD4D5"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93.0 [90.5-95.8]</w:t>
            </w:r>
          </w:p>
        </w:tc>
        <w:tc>
          <w:tcPr>
            <w:tcW w:w="1425" w:type="dxa"/>
          </w:tcPr>
          <w:p w14:paraId="3023DC07"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96.0 [94.0-97.0]</w:t>
            </w:r>
          </w:p>
        </w:tc>
        <w:tc>
          <w:tcPr>
            <w:tcW w:w="1330" w:type="dxa"/>
          </w:tcPr>
          <w:p w14:paraId="6ABCBA8D"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90.5 [85.5-94.0]</w:t>
            </w:r>
          </w:p>
        </w:tc>
        <w:tc>
          <w:tcPr>
            <w:tcW w:w="822" w:type="dxa"/>
          </w:tcPr>
          <w:p w14:paraId="654DB466"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0.22</w:t>
            </w:r>
          </w:p>
        </w:tc>
        <w:tc>
          <w:tcPr>
            <w:tcW w:w="1201" w:type="dxa"/>
          </w:tcPr>
          <w:p w14:paraId="710E8C96"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0.55</w:t>
            </w:r>
          </w:p>
        </w:tc>
      </w:tr>
      <w:tr w:rsidR="004905EA" w:rsidRPr="00311AB2" w14:paraId="1C25DEA0" w14:textId="77777777" w:rsidTr="003574F0">
        <w:tc>
          <w:tcPr>
            <w:tcW w:w="1587" w:type="dxa"/>
          </w:tcPr>
          <w:p w14:paraId="2E95F75E"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RV FWS (%)</w:t>
            </w:r>
          </w:p>
        </w:tc>
        <w:tc>
          <w:tcPr>
            <w:tcW w:w="1493" w:type="dxa"/>
          </w:tcPr>
          <w:p w14:paraId="4A3F957C"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n/a</w:t>
            </w:r>
          </w:p>
        </w:tc>
        <w:tc>
          <w:tcPr>
            <w:tcW w:w="1502" w:type="dxa"/>
          </w:tcPr>
          <w:p w14:paraId="045682B4"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-19.7 [-26.2-16.6]</w:t>
            </w:r>
          </w:p>
        </w:tc>
        <w:tc>
          <w:tcPr>
            <w:tcW w:w="1425" w:type="dxa"/>
          </w:tcPr>
          <w:p w14:paraId="05E0DFE7"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n/a</w:t>
            </w:r>
          </w:p>
        </w:tc>
        <w:tc>
          <w:tcPr>
            <w:tcW w:w="1330" w:type="dxa"/>
          </w:tcPr>
          <w:p w14:paraId="1EFA505A"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-22.2 [-27.7-12.8]</w:t>
            </w:r>
          </w:p>
        </w:tc>
        <w:tc>
          <w:tcPr>
            <w:tcW w:w="822" w:type="dxa"/>
          </w:tcPr>
          <w:p w14:paraId="03E93F5A"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0.84</w:t>
            </w:r>
          </w:p>
        </w:tc>
        <w:tc>
          <w:tcPr>
            <w:tcW w:w="1201" w:type="dxa"/>
          </w:tcPr>
          <w:p w14:paraId="26300B15" w14:textId="77777777" w:rsidR="004905EA" w:rsidRPr="00311AB2" w:rsidRDefault="004905EA" w:rsidP="00190CD0">
            <w:pPr>
              <w:pStyle w:val="Compact"/>
              <w:spacing w:line="480" w:lineRule="auto"/>
              <w:rPr>
                <w:rFonts w:ascii="Times New Roman" w:hAnsi="Times New Roman" w:cs="Times New Roman"/>
              </w:rPr>
            </w:pPr>
            <w:r w:rsidRPr="7565F104">
              <w:rPr>
                <w:rFonts w:ascii="Times New Roman" w:hAnsi="Times New Roman" w:cs="Times New Roman"/>
              </w:rPr>
              <w:t>0.36</w:t>
            </w:r>
          </w:p>
        </w:tc>
      </w:tr>
    </w:tbl>
    <w:p w14:paraId="6BAA687E" w14:textId="77777777" w:rsidR="004B7167" w:rsidRDefault="004B7167" w:rsidP="00190CD0">
      <w:pPr>
        <w:spacing w:line="480" w:lineRule="auto"/>
      </w:pPr>
    </w:p>
    <w:sdt>
      <w:sdtPr>
        <w:rPr>
          <w:rFonts w:ascii="Times New Roman" w:hAnsi="Times New Roman" w:cs="Times New Roman"/>
          <w:color w:val="000000"/>
        </w:rPr>
        <w:tag w:val="MENDELEY_BIBLIOGRAPHY"/>
        <w:id w:val="-1841613194"/>
        <w:placeholder>
          <w:docPart w:val="DefaultPlaceholder_-1854013440"/>
        </w:placeholder>
      </w:sdtPr>
      <w:sdtContent>
        <w:p w14:paraId="431441BF" w14:textId="77777777" w:rsidR="00190CD0" w:rsidRPr="00190CD0" w:rsidRDefault="00190CD0" w:rsidP="00190CD0">
          <w:pPr>
            <w:spacing w:line="480" w:lineRule="auto"/>
            <w:divId w:val="1395468016"/>
            <w:rPr>
              <w:rFonts w:ascii="Times New Roman" w:eastAsia="Times New Roman" w:hAnsi="Times New Roman" w:cs="Times New Roman"/>
              <w:sz w:val="24"/>
              <w:szCs w:val="24"/>
            </w:rPr>
          </w:pPr>
          <w:r w:rsidRPr="00190CD0">
            <w:rPr>
              <w:rFonts w:ascii="Times New Roman" w:eastAsia="Times New Roman" w:hAnsi="Times New Roman" w:cs="Times New Roman"/>
            </w:rPr>
            <w:t xml:space="preserve">1. Manganaro R, Marchetta S, Dulgheru R, Ilardi F, Sugimoto T, Robinet S, et al. Echocardiographic reference ranges for normal non-invasive myocardial work indices: Results from the EACVI NORRE study. </w:t>
          </w:r>
          <w:proofErr w:type="spellStart"/>
          <w:r w:rsidRPr="00190CD0">
            <w:rPr>
              <w:rFonts w:ascii="Times New Roman" w:eastAsia="Times New Roman" w:hAnsi="Times New Roman" w:cs="Times New Roman"/>
            </w:rPr>
            <w:t>Eur</w:t>
          </w:r>
          <w:proofErr w:type="spellEnd"/>
          <w:r w:rsidRPr="00190CD0">
            <w:rPr>
              <w:rFonts w:ascii="Times New Roman" w:eastAsia="Times New Roman" w:hAnsi="Times New Roman" w:cs="Times New Roman"/>
            </w:rPr>
            <w:t xml:space="preserve"> Heart J Cardiovasc Imaging. </w:t>
          </w:r>
          <w:proofErr w:type="gramStart"/>
          <w:r w:rsidRPr="00190CD0">
            <w:rPr>
              <w:rFonts w:ascii="Times New Roman" w:eastAsia="Times New Roman" w:hAnsi="Times New Roman" w:cs="Times New Roman"/>
            </w:rPr>
            <w:t>2019;20:582</w:t>
          </w:r>
          <w:proofErr w:type="gramEnd"/>
          <w:r w:rsidRPr="00190CD0">
            <w:rPr>
              <w:rFonts w:ascii="Times New Roman" w:eastAsia="Times New Roman" w:hAnsi="Times New Roman" w:cs="Times New Roman"/>
            </w:rPr>
            <w:t xml:space="preserve">–90. </w:t>
          </w:r>
        </w:p>
        <w:p w14:paraId="4939C236" w14:textId="7B2B067D" w:rsidR="00C92A85" w:rsidRDefault="00190CD0" w:rsidP="00190CD0">
          <w:pPr>
            <w:spacing w:line="480" w:lineRule="auto"/>
          </w:pPr>
          <w:r w:rsidRPr="00190CD0">
            <w:rPr>
              <w:rFonts w:ascii="Times New Roman" w:eastAsia="Times New Roman" w:hAnsi="Times New Roman" w:cs="Times New Roman"/>
            </w:rPr>
            <w:t> </w:t>
          </w:r>
        </w:p>
      </w:sdtContent>
    </w:sdt>
    <w:sectPr w:rsidR="00C92A8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45056F" w14:textId="77777777" w:rsidR="00311AC8" w:rsidRDefault="00311AC8" w:rsidP="00400B79">
      <w:pPr>
        <w:spacing w:after="0" w:line="240" w:lineRule="auto"/>
      </w:pPr>
      <w:r>
        <w:separator/>
      </w:r>
    </w:p>
  </w:endnote>
  <w:endnote w:type="continuationSeparator" w:id="0">
    <w:p w14:paraId="7980A808" w14:textId="77777777" w:rsidR="00311AC8" w:rsidRDefault="00311AC8" w:rsidP="00400B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4BB329" w14:textId="77777777" w:rsidR="00311AC8" w:rsidRDefault="00311AC8" w:rsidP="00400B79">
      <w:pPr>
        <w:spacing w:after="0" w:line="240" w:lineRule="auto"/>
      </w:pPr>
      <w:r>
        <w:separator/>
      </w:r>
    </w:p>
  </w:footnote>
  <w:footnote w:type="continuationSeparator" w:id="0">
    <w:p w14:paraId="53A81984" w14:textId="77777777" w:rsidR="00311AC8" w:rsidRDefault="00311AC8" w:rsidP="00400B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5EA"/>
    <w:rsid w:val="00190CD0"/>
    <w:rsid w:val="00311AC8"/>
    <w:rsid w:val="003461E6"/>
    <w:rsid w:val="00400B79"/>
    <w:rsid w:val="004905EA"/>
    <w:rsid w:val="004B7167"/>
    <w:rsid w:val="004E721D"/>
    <w:rsid w:val="00507D37"/>
    <w:rsid w:val="00576CBF"/>
    <w:rsid w:val="005E20BB"/>
    <w:rsid w:val="008341A3"/>
    <w:rsid w:val="009233DC"/>
    <w:rsid w:val="00C92A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1AA5B"/>
  <w15:chartTrackingRefBased/>
  <w15:docId w15:val="{D938BCE4-B43D-5F45-8484-C678ACFF3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5EA"/>
    <w:pPr>
      <w:spacing w:after="160" w:line="259" w:lineRule="auto"/>
    </w:pPr>
    <w:rPr>
      <w:kern w:val="0"/>
      <w:sz w:val="22"/>
      <w:szCs w:val="22"/>
      <w14:ligatures w14:val="none"/>
    </w:rPr>
  </w:style>
  <w:style w:type="paragraph" w:styleId="Heading1">
    <w:name w:val="heading 1"/>
    <w:basedOn w:val="Normal"/>
    <w:next w:val="Normal"/>
    <w:link w:val="Heading1Char"/>
    <w:uiPriority w:val="9"/>
    <w:qFormat/>
    <w:rsid w:val="004905EA"/>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905EA"/>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905EA"/>
    <w:pPr>
      <w:keepNext/>
      <w:keepLines/>
      <w:spacing w:before="160" w:after="80" w:line="240"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905EA"/>
    <w:pPr>
      <w:keepNext/>
      <w:keepLines/>
      <w:spacing w:before="80" w:after="40" w:line="240"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4905EA"/>
    <w:pPr>
      <w:keepNext/>
      <w:keepLines/>
      <w:spacing w:before="80" w:after="40" w:line="240"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4905EA"/>
    <w:pPr>
      <w:keepNext/>
      <w:keepLines/>
      <w:spacing w:before="40" w:after="0" w:line="240"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4905EA"/>
    <w:pPr>
      <w:keepNext/>
      <w:keepLines/>
      <w:spacing w:before="40" w:after="0" w:line="240"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4905EA"/>
    <w:pPr>
      <w:keepNext/>
      <w:keepLines/>
      <w:spacing w:after="0" w:line="240"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4905EA"/>
    <w:pPr>
      <w:keepNext/>
      <w:keepLines/>
      <w:spacing w:after="0" w:line="240"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5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05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05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05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05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05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05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05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05EA"/>
    <w:rPr>
      <w:rFonts w:eastAsiaTheme="majorEastAsia" w:cstheme="majorBidi"/>
      <w:color w:val="272727" w:themeColor="text1" w:themeTint="D8"/>
    </w:rPr>
  </w:style>
  <w:style w:type="paragraph" w:styleId="Title">
    <w:name w:val="Title"/>
    <w:basedOn w:val="Normal"/>
    <w:next w:val="Normal"/>
    <w:link w:val="TitleChar"/>
    <w:uiPriority w:val="10"/>
    <w:qFormat/>
    <w:rsid w:val="004905E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905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05EA"/>
    <w:pPr>
      <w:numPr>
        <w:ilvl w:val="1"/>
      </w:numPr>
      <w:spacing w:line="240"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905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05EA"/>
    <w:pPr>
      <w:spacing w:before="160" w:line="240"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4905EA"/>
    <w:rPr>
      <w:i/>
      <w:iCs/>
      <w:color w:val="404040" w:themeColor="text1" w:themeTint="BF"/>
    </w:rPr>
  </w:style>
  <w:style w:type="paragraph" w:styleId="ListParagraph">
    <w:name w:val="List Paragraph"/>
    <w:basedOn w:val="Normal"/>
    <w:uiPriority w:val="34"/>
    <w:qFormat/>
    <w:rsid w:val="004905EA"/>
    <w:pPr>
      <w:spacing w:after="0" w:line="240"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4905EA"/>
    <w:rPr>
      <w:i/>
      <w:iCs/>
      <w:color w:val="0F4761" w:themeColor="accent1" w:themeShade="BF"/>
    </w:rPr>
  </w:style>
  <w:style w:type="paragraph" w:styleId="IntenseQuote">
    <w:name w:val="Intense Quote"/>
    <w:basedOn w:val="Normal"/>
    <w:next w:val="Normal"/>
    <w:link w:val="IntenseQuoteChar"/>
    <w:uiPriority w:val="30"/>
    <w:qFormat/>
    <w:rsid w:val="004905EA"/>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4905EA"/>
    <w:rPr>
      <w:i/>
      <w:iCs/>
      <w:color w:val="0F4761" w:themeColor="accent1" w:themeShade="BF"/>
    </w:rPr>
  </w:style>
  <w:style w:type="character" w:styleId="IntenseReference">
    <w:name w:val="Intense Reference"/>
    <w:basedOn w:val="DefaultParagraphFont"/>
    <w:uiPriority w:val="32"/>
    <w:qFormat/>
    <w:rsid w:val="004905EA"/>
    <w:rPr>
      <w:b/>
      <w:bCs/>
      <w:smallCaps/>
      <w:color w:val="0F4761" w:themeColor="accent1" w:themeShade="BF"/>
      <w:spacing w:val="5"/>
    </w:rPr>
  </w:style>
  <w:style w:type="paragraph" w:customStyle="1" w:styleId="Compact">
    <w:name w:val="Compact"/>
    <w:basedOn w:val="Normal"/>
    <w:qFormat/>
    <w:rsid w:val="004905EA"/>
    <w:pPr>
      <w:spacing w:before="36" w:after="36"/>
    </w:pPr>
  </w:style>
  <w:style w:type="paragraph" w:customStyle="1" w:styleId="TableCaption">
    <w:name w:val="Table Caption"/>
    <w:basedOn w:val="Normal"/>
    <w:rsid w:val="004905EA"/>
    <w:pPr>
      <w:keepNext/>
      <w:spacing w:after="120"/>
    </w:pPr>
    <w:rPr>
      <w:i/>
      <w:iCs/>
    </w:rPr>
  </w:style>
  <w:style w:type="table" w:customStyle="1" w:styleId="Table">
    <w:name w:val="Table"/>
    <w:semiHidden/>
    <w:unhideWhenUsed/>
    <w:qFormat/>
    <w:rsid w:val="004905EA"/>
    <w:pPr>
      <w:spacing w:after="200"/>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styleId="PlaceholderText">
    <w:name w:val="Placeholder Text"/>
    <w:basedOn w:val="DefaultParagraphFont"/>
    <w:uiPriority w:val="99"/>
    <w:semiHidden/>
    <w:rsid w:val="00C92A85"/>
    <w:rPr>
      <w:color w:val="666666"/>
    </w:rPr>
  </w:style>
  <w:style w:type="paragraph" w:styleId="Header">
    <w:name w:val="header"/>
    <w:basedOn w:val="Normal"/>
    <w:link w:val="HeaderChar"/>
    <w:uiPriority w:val="99"/>
    <w:unhideWhenUsed/>
    <w:rsid w:val="00400B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0B79"/>
    <w:rPr>
      <w:kern w:val="0"/>
      <w:sz w:val="22"/>
      <w:szCs w:val="22"/>
      <w14:ligatures w14:val="none"/>
    </w:rPr>
  </w:style>
  <w:style w:type="paragraph" w:styleId="Footer">
    <w:name w:val="footer"/>
    <w:basedOn w:val="Normal"/>
    <w:link w:val="FooterChar"/>
    <w:uiPriority w:val="99"/>
    <w:unhideWhenUsed/>
    <w:rsid w:val="00400B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0B79"/>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206921">
      <w:bodyDiv w:val="1"/>
      <w:marLeft w:val="0"/>
      <w:marRight w:val="0"/>
      <w:marTop w:val="0"/>
      <w:marBottom w:val="0"/>
      <w:divBdr>
        <w:top w:val="none" w:sz="0" w:space="0" w:color="auto"/>
        <w:left w:val="none" w:sz="0" w:space="0" w:color="auto"/>
        <w:bottom w:val="none" w:sz="0" w:space="0" w:color="auto"/>
        <w:right w:val="none" w:sz="0" w:space="0" w:color="auto"/>
      </w:divBdr>
      <w:divsChild>
        <w:div w:id="1395468016">
          <w:marLeft w:val="0"/>
          <w:marRight w:val="0"/>
          <w:marTop w:val="0"/>
          <w:marBottom w:val="0"/>
          <w:divBdr>
            <w:top w:val="none" w:sz="0" w:space="0" w:color="auto"/>
            <w:left w:val="none" w:sz="0" w:space="0" w:color="auto"/>
            <w:bottom w:val="none" w:sz="0" w:space="0" w:color="auto"/>
            <w:right w:val="none" w:sz="0" w:space="0" w:color="auto"/>
          </w:divBdr>
        </w:div>
      </w:divsChild>
    </w:div>
    <w:div w:id="204830090">
      <w:bodyDiv w:val="1"/>
      <w:marLeft w:val="0"/>
      <w:marRight w:val="0"/>
      <w:marTop w:val="0"/>
      <w:marBottom w:val="0"/>
      <w:divBdr>
        <w:top w:val="none" w:sz="0" w:space="0" w:color="auto"/>
        <w:left w:val="none" w:sz="0" w:space="0" w:color="auto"/>
        <w:bottom w:val="none" w:sz="0" w:space="0" w:color="auto"/>
        <w:right w:val="none" w:sz="0" w:space="0" w:color="auto"/>
      </w:divBdr>
      <w:divsChild>
        <w:div w:id="356857939">
          <w:marLeft w:val="640"/>
          <w:marRight w:val="0"/>
          <w:marTop w:val="0"/>
          <w:marBottom w:val="0"/>
          <w:divBdr>
            <w:top w:val="none" w:sz="0" w:space="0" w:color="auto"/>
            <w:left w:val="none" w:sz="0" w:space="0" w:color="auto"/>
            <w:bottom w:val="none" w:sz="0" w:space="0" w:color="auto"/>
            <w:right w:val="none" w:sz="0" w:space="0" w:color="auto"/>
          </w:divBdr>
        </w:div>
      </w:divsChild>
    </w:div>
    <w:div w:id="735394763">
      <w:bodyDiv w:val="1"/>
      <w:marLeft w:val="0"/>
      <w:marRight w:val="0"/>
      <w:marTop w:val="0"/>
      <w:marBottom w:val="0"/>
      <w:divBdr>
        <w:top w:val="none" w:sz="0" w:space="0" w:color="auto"/>
        <w:left w:val="none" w:sz="0" w:space="0" w:color="auto"/>
        <w:bottom w:val="none" w:sz="0" w:space="0" w:color="auto"/>
        <w:right w:val="none" w:sz="0" w:space="0" w:color="auto"/>
      </w:divBdr>
      <w:divsChild>
        <w:div w:id="1448937392">
          <w:marLeft w:val="640"/>
          <w:marRight w:val="0"/>
          <w:marTop w:val="0"/>
          <w:marBottom w:val="0"/>
          <w:divBdr>
            <w:top w:val="none" w:sz="0" w:space="0" w:color="auto"/>
            <w:left w:val="none" w:sz="0" w:space="0" w:color="auto"/>
            <w:bottom w:val="none" w:sz="0" w:space="0" w:color="auto"/>
            <w:right w:val="none" w:sz="0" w:space="0" w:color="auto"/>
          </w:divBdr>
        </w:div>
      </w:divsChild>
    </w:div>
    <w:div w:id="863323094">
      <w:bodyDiv w:val="1"/>
      <w:marLeft w:val="0"/>
      <w:marRight w:val="0"/>
      <w:marTop w:val="0"/>
      <w:marBottom w:val="0"/>
      <w:divBdr>
        <w:top w:val="none" w:sz="0" w:space="0" w:color="auto"/>
        <w:left w:val="none" w:sz="0" w:space="0" w:color="auto"/>
        <w:bottom w:val="none" w:sz="0" w:space="0" w:color="auto"/>
        <w:right w:val="none" w:sz="0" w:space="0" w:color="auto"/>
      </w:divBdr>
      <w:divsChild>
        <w:div w:id="1887448296">
          <w:marLeft w:val="640"/>
          <w:marRight w:val="0"/>
          <w:marTop w:val="0"/>
          <w:marBottom w:val="0"/>
          <w:divBdr>
            <w:top w:val="none" w:sz="0" w:space="0" w:color="auto"/>
            <w:left w:val="none" w:sz="0" w:space="0" w:color="auto"/>
            <w:bottom w:val="none" w:sz="0" w:space="0" w:color="auto"/>
            <w:right w:val="none" w:sz="0" w:space="0" w:color="auto"/>
          </w:divBdr>
        </w:div>
      </w:divsChild>
    </w:div>
    <w:div w:id="1722826131">
      <w:bodyDiv w:val="1"/>
      <w:marLeft w:val="0"/>
      <w:marRight w:val="0"/>
      <w:marTop w:val="0"/>
      <w:marBottom w:val="0"/>
      <w:divBdr>
        <w:top w:val="none" w:sz="0" w:space="0" w:color="auto"/>
        <w:left w:val="none" w:sz="0" w:space="0" w:color="auto"/>
        <w:bottom w:val="none" w:sz="0" w:space="0" w:color="auto"/>
        <w:right w:val="none" w:sz="0" w:space="0" w:color="auto"/>
      </w:divBdr>
      <w:divsChild>
        <w:div w:id="96693088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0A455301-BE51-224D-9C3E-47062E3FB1CC}"/>
      </w:docPartPr>
      <w:docPartBody>
        <w:p w:rsidR="00D358FB" w:rsidRDefault="00B3140B">
          <w:r w:rsidRPr="00851E8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40B"/>
    <w:rsid w:val="000F690E"/>
    <w:rsid w:val="002A577F"/>
    <w:rsid w:val="00507D37"/>
    <w:rsid w:val="005E20BB"/>
    <w:rsid w:val="00B3140B"/>
    <w:rsid w:val="00D358FB"/>
    <w:rsid w:val="00FF20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3140B"/>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B2238B2-D1D3-3E43-A279-D37705A8DBCC}">
  <we:reference id="wa104382081" version="1.55.1.0" store="en-GB" storeType="OMEX"/>
  <we:alternateReferences>
    <we:reference id="wa104382081" version="1.55.1.0" store="" storeType="OMEX"/>
  </we:alternateReferences>
  <we:properties>
    <we:property name="MENDELEY_CITATIONS" value="[{&quot;citationID&quot;:&quot;MENDELEY_CITATION_b62097b5-125c-4c0a-baf5-19cbcea9ef17&quot;,&quot;properties&quot;:{&quot;noteIndex&quot;:0},&quot;isEdited&quot;:false,&quot;manualOverride&quot;:{&quot;isManuallyOverridden&quot;:false,&quot;citeprocText&quot;:&quot;[1]&quot;,&quot;manualOverrideText&quot;:&quot;&quot;},&quot;citationTag&quot;:&quot;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&quot;,&quot;citationItems&quot;:[{&quot;id&quot;:&quot;e703df0c-4e15-3b68-a6ec-6d147381a9bc&quot;,&quot;itemData&quot;:{&quot;type&quot;:&quot;article-journal&quot;,&quot;id&quot;:&quot;e703df0c-4e15-3b68-a6ec-6d147381a9bc&quot;,&quot;title&quot;:&quot;Echocardiographic reference ranges for normal non-invasive myocardial work indices: Results from the EACVI NORRE study&quot;,&quot;author&quot;:[{&quot;family&quot;:&quot;Manganaro&quot;,&quot;given&quot;:&quot;Roberta&quot;,&quot;parse-names&quot;:false,&quot;dropping-particle&quot;:&quot;&quot;,&quot;non-dropping-particle&quot;:&quot;&quot;},{&quot;family&quot;:&quot;Marchetta&quot;,&quot;given&quot;:&quot;Stella&quot;,&quot;parse-names&quot;:false,&quot;dropping-particle&quot;:&quot;&quot;,&quot;non-dropping-particle&quot;:&quot;&quot;},{&quot;family&quot;:&quot;Dulgheru&quot;,&quot;given&quot;:&quot;Raluca&quot;,&quot;parse-names&quot;:false,&quot;dropping-particle&quot;:&quot;&quot;,&quot;non-dropping-particle&quot;:&quot;&quot;},{&quot;family&quot;:&quot;Ilardi&quot;,&quot;given&quot;:&quot;Federica&quot;,&quot;parse-names&quot;:false,&quot;dropping-particle&quot;:&quot;&quot;,&quot;non-dropping-particle&quot;:&quot;&quot;},{&quot;family&quot;:&quot;Sugimoto&quot;,&quot;given&quot;:&quot;Tadafumi&quot;,&quot;parse-names&quot;:false,&quot;dropping-particle&quot;:&quot;&quot;,&quot;non-dropping-particle&quot;:&quot;&quot;},{&quot;family&quot;:&quot;Robinet&quot;,&quot;given&quot;:&quot;Sébastien&quot;,&quot;parse-names&quot;:false,&quot;dropping-particle&quot;:&quot;&quot;,&quot;non-dropping-particle&quot;:&quot;&quot;},{&quot;family&quot;:&quot;Cimino&quot;,&quot;given&quot;:&quot;Sara&quot;,&quot;parse-names&quot;:false,&quot;dropping-particle&quot;:&quot;&quot;,&quot;non-dropping-particle&quot;:&quot;&quot;},{&quot;family&quot;:&quot;Go&quot;,&quot;given&quot;:&quot;Yun Yun&quot;,&quot;parse-names&quot;:false,&quot;dropping-particle&quot;:&quot;&quot;,&quot;non-dropping-particle&quot;:&quot;&quot;},{&quot;family&quot;:&quot;Bernard&quot;,&quot;given&quot;:&quot;Anne&quot;,&quot;parse-names&quot;:false,&quot;dropping-particle&quot;:&quot;&quot;,&quot;non-dropping-particle&quot;:&quot;&quot;},{&quot;family&quot;:&quot;Kacharava&quot;,&quot;given&quot;:&quot;George&quot;,&quot;parse-names&quot;:false,&quot;dropping-particle&quot;:&quot;&quot;,&quot;non-dropping-particle&quot;:&quot;&quot;},{&quot;family&quot;:&quot;Athanassopoulos&quot;,&quot;given&quot;:&quot;George D.&quot;,&quot;parse-names&quot;:false,&quot;dropping-particle&quot;:&quot;&quot;,&quot;non-dropping-particle&quot;:&quot;&quot;},{&quot;family&quot;:&quot;Barone&quot;,&quot;given&quot;:&quot;Daniele&quot;,&quot;parse-names&quot;:false,&quot;dropping-particle&quot;:&quot;&quot;,&quot;non-dropping-particle&quot;:&quot;&quot;},{&quot;family&quot;:&quot;Baroni&quot;,&quot;given&quot;:&quot;Monica&quot;,&quot;parse-names&quot;:false,&quot;dropping-particle&quot;:&quot;&quot;,&quot;non-dropping-particle&quot;:&quot;&quot;},{&quot;family&quot;:&quot;Cardim&quot;,&quot;given&quot;:&quot;Nuno&quot;,&quot;parse-names&quot;:false,&quot;dropping-particle&quot;:&quot;&quot;,&quot;non-dropping-particle&quot;:&quot;&quot;},{&quot;family&quot;:&quot;Hagendorff&quot;,&quot;given&quot;:&quot;Andreas&quot;,&quot;parse-names&quot;:false,&quot;dropping-particle&quot;:&quot;&quot;,&quot;non-dropping-particle&quot;:&quot;&quot;},{&quot;family&quot;:&quot;Hristova&quot;,&quot;given&quot;:&quot;Krasimira&quot;,&quot;parse-names&quot;:false,&quot;dropping-particle&quot;:&quot;&quot;,&quot;non-dropping-particle&quot;:&quot;&quot;},{&quot;family&quot;:&quot;López-Fernández&quot;,&quot;given&quot;:&quot;Teresa&quot;,&quot;parse-names&quot;:false,&quot;dropping-particle&quot;:&quot;&quot;,&quot;non-dropping-particle&quot;:&quot;&quot;},{&quot;family&quot;:&quot;La Morena&quot;,&quot;given&quot;:&quot;Gonzalo&quot;,&quot;parse-names&quot;:false,&quot;dropping-particle&quot;:&quot;&quot;,&quot;non-dropping-particle&quot;:&quot;De&quot;},{&quot;family&quot;:&quot;Popescu&quot;,&quot;given&quot;:&quot;Bogdan A.&quot;,&quot;parse-names&quot;:false,&quot;dropping-particle&quot;:&quot;&quot;,&quot;non-dropping-particle&quot;:&quot;&quot;},{&quot;family&quot;:&quot;Penicka&quot;,&quot;given&quot;:&quot;Martin&quot;,&quot;parse-names&quot;:false,&quot;dropping-particle&quot;:&quot;&quot;,&quot;non-dropping-particle&quot;:&quot;&quot;},{&quot;family&quot;:&quot;Ozyigit&quot;,&quot;given&quot;:&quot;Tolga&quot;,&quot;parse-names&quot;:false,&quot;dropping-particle&quot;:&quot;&quot;,&quot;non-dropping-particle&quot;:&quot;&quot;},{&quot;family&quot;:&quot;Rodrigo Carbonero&quot;,&quot;given&quot;:&quot;Jose David&quot;,&quot;parse-names&quot;:false,&quot;dropping-particle&quot;:&quot;&quot;,&quot;non-dropping-particle&quot;:&quot;&quot;},{&quot;family&quot;:&quot;Veire&quot;,&quot;given&quot;:&quot;Nico&quot;,&quot;parse-names&quot;:false,&quot;dropping-particle&quot;:&quot;&quot;,&quot;non-dropping-particle&quot;:&quot;Van De&quot;},{&quot;family&quot;:&quot;Bardeleben&quot;,&quot;given&quot;:&quot;Ralph Stephan&quot;,&quot;parse-names&quot;:false,&quot;dropping-particle&quot;:&quot;&quot;,&quot;non-dropping-particle&quot;:&quot;Von&quot;},{&quot;family&quot;:&quot;Vinereanu&quot;,&quot;given&quot;:&quot;Dragos&quot;,&quot;parse-names&quot;:false,&quot;dropping-particle&quot;:&quot;&quot;,&quot;non-dropping-particle&quot;:&quot;&quot;},{&quot;family&quot;:&quot;Zamorano&quot;,&quot;given&quot;:&quot;Jose Luis&quot;,&quot;parse-names&quot;:false,&quot;dropping-particle&quot;:&quot;&quot;,&quot;non-dropping-particle&quot;:&quot;&quot;},{&quot;family&quot;:&quot;Rosca&quot;,&quot;given&quot;:&quot;Monica&quot;,&quot;parse-names&quot;:false,&quot;dropping-particle&quot;:&quot;&quot;,&quot;non-dropping-particle&quot;:&quot;&quot;},{&quot;family&quot;:&quot;Calin&quot;,&quot;given&quot;:&quot;Andreea&quot;,&quot;parse-names&quot;:false,&quot;dropping-particle&quot;:&quot;&quot;,&quot;non-dropping-particle&quot;:&quot;&quot;},{&quot;family&quot;:&quot;Moonen&quot;,&quot;given&quot;:&quot;Marie&quot;,&quot;parse-names&quot;:false,&quot;dropping-particle&quot;:&quot;&quot;,&quot;non-dropping-particle&quot;:&quot;&quot;},{&quot;family&quot;:&quot;Magne&quot;,&quot;given&quot;:&quot;Julien&quot;,&quot;parse-names&quot;:false,&quot;dropping-particle&quot;:&quot;&quot;,&quot;non-dropping-particle&quot;:&quot;&quot;},{&quot;family&quot;:&quot;Cosyns&quot;,&quot;given&quot;:&quot;Bernard&quot;,&quot;parse-names&quot;:false,&quot;dropping-particle&quot;:&quot;&quot;,&quot;non-dropping-particle&quot;:&quot;&quot;},{&quot;family&quot;:&quot;Galli&quot;,&quot;given&quot;:&quot;Elena&quot;,&quot;parse-names&quot;:false,&quot;dropping-particle&quot;:&quot;&quot;,&quot;non-dropping-particle&quot;:&quot;&quot;},{&quot;family&quot;:&quot;Donal&quot;,&quot;given&quot;:&quot;Erwan&quot;,&quot;parse-names&quot;:false,&quot;dropping-particle&quot;:&quot;&quot;,&quot;non-dropping-particle&quot;:&quot;&quot;},{&quot;family&quot;:&quot;Carerj&quot;,&quot;given&quot;:&quot;Scipione&quot;,&quot;parse-names&quot;:false,&quot;dropping-particle&quot;:&quot;&quot;,&quot;non-dropping-particle&quot;:&quot;&quot;},{&quot;family&quot;:&quot;Zito&quot;,&quot;given&quot;:&quot;Concetta&quot;,&quot;parse-names&quot;:false,&quot;dropping-particle&quot;:&quot;&quot;,&quot;non-dropping-particle&quot;:&quot;&quot;},{&quot;family&quot;:&quot;Santoro&quot;,&quot;given&quot;:&quot;Ciro&quot;,&quot;parse-names&quot;:false,&quot;dropping-particle&quot;:&quot;&quot;,&quot;non-dropping-particle&quot;:&quot;&quot;},{&quot;family&quot;:&quot;Galderisi&quot;,&quot;given&quot;:&quot;Maurizio&quot;,&quot;parse-names&quot;:false,&quot;dropping-particle&quot;:&quot;&quot;,&quot;non-dropping-particle&quot;:&quot;&quot;},{&quot;family&quot;:&quot;Badano&quot;,&quot;given&quot;:&quot;Luigi P.&quot;,&quot;parse-names&quot;:false,&quot;dropping-particle&quot;:&quot;&quot;,&quot;non-dropping-particle&quot;:&quot;&quot;},{&quot;family&quot;:&quot;Lang&quot;,&quot;given&quot;:&quot;Roberto M.&quot;,&quot;parse-names&quot;:false,&quot;dropping-particle&quot;:&quot;&quot;,&quot;non-dropping-particle&quot;:&quot;&quot;},{&quot;family&quot;:&quot;Oury&quot;,&quot;given&quot;:&quot;Cecile&quot;,&quot;parse-names&quot;:false,&quot;dropping-particle&quot;:&quot;&quot;,&quot;non-dropping-particle&quot;:&quot;&quot;},{&quot;family&quot;:&quot;Lancellotti&quot;,&quot;given&quot;:&quot;Patrizio&quot;,&quot;parse-names&quot;:false,&quot;dropping-particle&quot;:&quot;&quot;,&quot;non-dropping-particle&quot;:&quot;&quot;}],&quot;container-title&quot;:&quot;European Heart Journal Cardiovascular Imaging&quot;,&quot;container-title-short&quot;:&quot;Eur Heart J Cardiovasc Imaging&quot;,&quot;DOI&quot;:&quot;10.1093/ehjci/jey188&quot;,&quot;ISSN&quot;:&quot;20472412&quot;,&quot;PMID&quot;:&quot;30590562&quot;,&quot;issued&quot;:{&quot;date-parts&quot;:[[2019,5,1]]},&quot;page&quot;:&quot;582-590&quot;,&quot;abstract&quot;:&quot;Aims: To obtain the normal ranges for 2D echocardiographic (2DE) indices of myocardial work (MW) from a large group of healthy volunteers over a wide range of ages and gender. Methods and results: A total of 226 (85 men, mean age: 45 ± 13 years) healthy subjects were enrolled at 22 collaborating institutions of the Normal Reference Ranges for Echocardiography (NORRE) study. Global work index (GWI), global constructive work (GCW), global work waste (GWW), and global work efficiency (GWE) were estimated from left ventricle (LV) pressure-strain loops. Peak LV systolic pressure was non-invasively derived from brachial artery cuff pressure. The lowest values of MW indices in men and women were 1270 mmHg% and 1310 mmHg% for GWI, 1650 mmHg% and 1544 mmHg% for GCW, and 90% and 91% for GWE, respectively. The highest value for GWW was 238 mmHg% in men and 239 mmHg% in women. Men had significant lower values of GWE and higher values of GWW. GWI and GCW significantly increased with age in women. Conclusion: The NORRE study provides useful 2DE reference ranges for novel indices of non-invasive MW.&quot;,&quot;publisher&quot;:&quot;Oxford University Press&quot;,&quot;issue&quot;:&quot;5&quot;,&quot;volume&quot;:&quot;20&quot;},&quot;isTemporary&quot;:false}]}]"/>
    <we:property name="MENDELEY_CITATIONS_LOCALE_CODE" value="&quot;en-US&quot;"/>
    <we:property name="MENDELEY_CITATIONS_STYLE" value="{&quot;id&quot;:&quot;https://www.zotero.org/styles/critical-care&quot;,&quot;title&quot;:&quot;Critical Car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EF05B-368A-CE4B-B6A8-677040CFD3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151</Words>
  <Characters>862</Characters>
  <Application>Microsoft Office Word</Application>
  <DocSecurity>0</DocSecurity>
  <Lines>7</Lines>
  <Paragraphs>2</Paragraphs>
  <ScaleCrop>false</ScaleCrop>
  <Company/>
  <LinksUpToDate>false</LinksUpToDate>
  <CharactersWithSpaces>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Theophilus Samuels</dc:creator>
  <cp:keywords/>
  <dc:description/>
  <cp:lastModifiedBy>Theophilus Samuels</cp:lastModifiedBy>
  <cp:revision>2</cp:revision>
  <dcterms:created xsi:type="dcterms:W3CDTF">2024-10-21T11:13:00Z</dcterms:created>
  <dcterms:modified xsi:type="dcterms:W3CDTF">2024-10-21T11:13:00Z</dcterms:modified>
</cp:coreProperties>
</file>