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7B71F" w14:textId="7FF50D75" w:rsidR="00134B0D" w:rsidRPr="00134B0D" w:rsidRDefault="00134B0D" w:rsidP="00E7383A">
      <w:pPr>
        <w:pStyle w:val="Title2"/>
        <w:spacing w:line="360" w:lineRule="auto"/>
        <w:jc w:val="center"/>
        <w:rPr>
          <w:sz w:val="32"/>
          <w:szCs w:val="32"/>
        </w:rPr>
      </w:pPr>
      <w:bookmarkStart w:id="0" w:name="_Hlk178254284"/>
      <w:bookmarkStart w:id="1" w:name="_Hlk178254182"/>
      <w:bookmarkEnd w:id="0"/>
      <w:r w:rsidRPr="00134B0D">
        <w:rPr>
          <w:sz w:val="32"/>
          <w:szCs w:val="32"/>
        </w:rPr>
        <w:t>Supporting Information</w:t>
      </w:r>
    </w:p>
    <w:p w14:paraId="16B888A2" w14:textId="6D819681" w:rsidR="00134B0D" w:rsidRPr="00A17F91" w:rsidRDefault="00134B0D" w:rsidP="00E7383A">
      <w:pPr>
        <w:pStyle w:val="Title2"/>
        <w:spacing w:line="360" w:lineRule="auto"/>
        <w:jc w:val="center"/>
        <w:rPr>
          <w:b w:val="0"/>
          <w:color w:val="FF0000"/>
          <w:sz w:val="32"/>
          <w:szCs w:val="32"/>
        </w:rPr>
      </w:pPr>
      <w:r w:rsidRPr="00A17F91">
        <w:rPr>
          <w:b w:val="0"/>
          <w:sz w:val="32"/>
          <w:szCs w:val="32"/>
        </w:rPr>
        <w:t xml:space="preserve">Aqueous Asymmetric </w:t>
      </w:r>
      <w:proofErr w:type="spellStart"/>
      <w:r w:rsidRPr="00A17F91">
        <w:rPr>
          <w:b w:val="0"/>
          <w:sz w:val="32"/>
          <w:szCs w:val="32"/>
        </w:rPr>
        <w:t>Pseudocapacitor</w:t>
      </w:r>
      <w:proofErr w:type="spellEnd"/>
      <w:r w:rsidRPr="00A17F91">
        <w:rPr>
          <w:b w:val="0"/>
          <w:sz w:val="32"/>
          <w:szCs w:val="32"/>
        </w:rPr>
        <w:t xml:space="preserve"> Featuring High Areal Energy and Power Using Conjugated Polyelectrolytes and Ti</w:t>
      </w:r>
      <w:r w:rsidRPr="00A17F91">
        <w:rPr>
          <w:b w:val="0"/>
          <w:sz w:val="32"/>
          <w:szCs w:val="32"/>
          <w:vertAlign w:val="subscript"/>
        </w:rPr>
        <w:t>3</w:t>
      </w:r>
      <w:r w:rsidRPr="00A17F91">
        <w:rPr>
          <w:b w:val="0"/>
          <w:sz w:val="32"/>
          <w:szCs w:val="32"/>
        </w:rPr>
        <w:t>C</w:t>
      </w:r>
      <w:r w:rsidRPr="00A17F91">
        <w:rPr>
          <w:b w:val="0"/>
          <w:sz w:val="32"/>
          <w:szCs w:val="32"/>
          <w:vertAlign w:val="subscript"/>
        </w:rPr>
        <w:t>2</w:t>
      </w:r>
      <w:r w:rsidRPr="00A17F91">
        <w:rPr>
          <w:b w:val="0"/>
          <w:sz w:val="32"/>
          <w:szCs w:val="32"/>
        </w:rPr>
        <w:t>T</w:t>
      </w:r>
      <w:r w:rsidRPr="00A17F91">
        <w:rPr>
          <w:b w:val="0"/>
          <w:i/>
          <w:iCs/>
          <w:sz w:val="32"/>
          <w:szCs w:val="32"/>
          <w:vertAlign w:val="subscript"/>
        </w:rPr>
        <w:t>x</w:t>
      </w:r>
      <w:r w:rsidRPr="00A17F91">
        <w:rPr>
          <w:b w:val="0"/>
          <w:sz w:val="32"/>
          <w:szCs w:val="32"/>
        </w:rPr>
        <w:t xml:space="preserve"> </w:t>
      </w:r>
      <w:proofErr w:type="spellStart"/>
      <w:r w:rsidRPr="00A17F91">
        <w:rPr>
          <w:b w:val="0"/>
          <w:sz w:val="32"/>
          <w:szCs w:val="32"/>
        </w:rPr>
        <w:t>MXene</w:t>
      </w:r>
      <w:proofErr w:type="spellEnd"/>
    </w:p>
    <w:p w14:paraId="405E7536" w14:textId="77777777" w:rsidR="00134B0D" w:rsidRPr="00911B9B" w:rsidRDefault="00134B0D" w:rsidP="00E7383A">
      <w:pPr>
        <w:pStyle w:val="AuthorsFull"/>
        <w:spacing w:line="360" w:lineRule="auto"/>
        <w:jc w:val="center"/>
      </w:pPr>
    </w:p>
    <w:p w14:paraId="02C3619A" w14:textId="77777777" w:rsidR="00134B0D" w:rsidRPr="0055215C" w:rsidRDefault="00134B0D" w:rsidP="00E7383A">
      <w:pPr>
        <w:jc w:val="center"/>
        <w:rPr>
          <w:i/>
          <w:color w:val="FF0000"/>
        </w:rPr>
      </w:pPr>
      <w:r w:rsidRPr="0055215C">
        <w:rPr>
          <w:rFonts w:ascii="Times New Roman" w:hAnsi="Times New Roman" w:cs="Times New Roman"/>
        </w:rPr>
        <w:t xml:space="preserve">Benjamin Rui Peng </w:t>
      </w:r>
      <w:proofErr w:type="spellStart"/>
      <w:r w:rsidRPr="0055215C">
        <w:rPr>
          <w:rFonts w:ascii="Times New Roman" w:hAnsi="Times New Roman" w:cs="Times New Roman"/>
        </w:rPr>
        <w:t>Yip</w:t>
      </w:r>
      <w:r w:rsidRPr="0055215C">
        <w:rPr>
          <w:rFonts w:ascii="Times New Roman" w:hAnsi="Times New Roman" w:cs="Times New Roman"/>
          <w:vertAlign w:val="superscript"/>
        </w:rPr>
        <w:t>ab</w:t>
      </w:r>
      <w:proofErr w:type="spellEnd"/>
      <w:r w:rsidRPr="0055215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Chaofan </w:t>
      </w:r>
      <w:proofErr w:type="spellStart"/>
      <w:r>
        <w:rPr>
          <w:rFonts w:ascii="Times New Roman" w:hAnsi="Times New Roman" w:cs="Times New Roman"/>
        </w:rPr>
        <w:t>Chen</w:t>
      </w:r>
      <w:r w:rsidRPr="0055215C">
        <w:rPr>
          <w:rFonts w:ascii="Times New Roman" w:hAnsi="Times New Roman" w:cs="Times New Roman"/>
          <w:vertAlign w:val="superscript"/>
        </w:rPr>
        <w:t>c</w:t>
      </w:r>
      <w:proofErr w:type="spellEnd"/>
      <w:r w:rsidRPr="0055215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Yan </w:t>
      </w:r>
      <w:proofErr w:type="spellStart"/>
      <w:r>
        <w:rPr>
          <w:rFonts w:ascii="Times New Roman" w:hAnsi="Times New Roman" w:cs="Times New Roman"/>
        </w:rPr>
        <w:t>Jiang</w:t>
      </w:r>
      <w:r>
        <w:rPr>
          <w:rFonts w:ascii="Times New Roman" w:hAnsi="Times New Roman" w:cs="Times New Roman"/>
          <w:vertAlign w:val="superscript"/>
        </w:rPr>
        <w:t>ab</w:t>
      </w:r>
      <w:proofErr w:type="spellEnd"/>
      <w:r>
        <w:rPr>
          <w:rFonts w:ascii="Times New Roman" w:hAnsi="Times New Roman" w:cs="Times New Roman"/>
        </w:rPr>
        <w:t xml:space="preserve">, David </w:t>
      </w:r>
      <w:proofErr w:type="spellStart"/>
      <w:r>
        <w:rPr>
          <w:rFonts w:ascii="Times New Roman" w:hAnsi="Times New Roman" w:cs="Times New Roman"/>
        </w:rPr>
        <w:t>Ohayon</w:t>
      </w:r>
      <w:r>
        <w:rPr>
          <w:rFonts w:ascii="Times New Roman" w:hAnsi="Times New Roman" w:cs="Times New Roman"/>
          <w:vertAlign w:val="superscript"/>
        </w:rPr>
        <w:t>ab</w:t>
      </w:r>
      <w:proofErr w:type="spellEnd"/>
      <w:r>
        <w:rPr>
          <w:rFonts w:ascii="Times New Roman" w:hAnsi="Times New Roman" w:cs="Times New Roman"/>
        </w:rPr>
        <w:t>,</w:t>
      </w:r>
      <w:r w:rsidRPr="0055215C">
        <w:rPr>
          <w:rFonts w:ascii="Times New Roman" w:hAnsi="Times New Roman" w:cs="Times New Roman"/>
        </w:rPr>
        <w:t xml:space="preserve"> Guillermo C. </w:t>
      </w:r>
      <w:proofErr w:type="spellStart"/>
      <w:r w:rsidRPr="0055215C">
        <w:rPr>
          <w:rFonts w:ascii="Times New Roman" w:hAnsi="Times New Roman" w:cs="Times New Roman"/>
        </w:rPr>
        <w:t>Bazan</w:t>
      </w:r>
      <w:r w:rsidRPr="0055215C">
        <w:rPr>
          <w:rFonts w:ascii="Times New Roman" w:hAnsi="Times New Roman" w:cs="Times New Roman"/>
          <w:vertAlign w:val="superscript"/>
        </w:rPr>
        <w:t>ab</w:t>
      </w:r>
      <w:proofErr w:type="spellEnd"/>
      <w:r w:rsidRPr="0055215C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, </w:t>
      </w:r>
      <w:r w:rsidRPr="0055215C">
        <w:rPr>
          <w:rFonts w:ascii="Times New Roman" w:hAnsi="Times New Roman" w:cs="Times New Roman"/>
        </w:rPr>
        <w:t xml:space="preserve">Xuehang </w:t>
      </w:r>
      <w:proofErr w:type="spellStart"/>
      <w:r w:rsidRPr="0055215C">
        <w:rPr>
          <w:rFonts w:ascii="Times New Roman" w:hAnsi="Times New Roman" w:cs="Times New Roman"/>
        </w:rPr>
        <w:t>Wang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55215C">
        <w:rPr>
          <w:rFonts w:ascii="Times New Roman" w:hAnsi="Times New Roman" w:cs="Times New Roman"/>
        </w:rPr>
        <w:t>*</w:t>
      </w:r>
    </w:p>
    <w:bookmarkEnd w:id="1"/>
    <w:p w14:paraId="1C840147" w14:textId="77777777" w:rsidR="00134B0D" w:rsidRPr="00911B9B" w:rsidRDefault="00134B0D" w:rsidP="00E7383A">
      <w:pPr>
        <w:pStyle w:val="Tableofcontents"/>
        <w:spacing w:line="360" w:lineRule="auto"/>
        <w:jc w:val="center"/>
      </w:pPr>
    </w:p>
    <w:p w14:paraId="0F31BA58" w14:textId="77777777" w:rsidR="00134B0D" w:rsidRPr="00A67F71" w:rsidRDefault="00134B0D" w:rsidP="00E7383A">
      <w:pPr>
        <w:pStyle w:val="AuthorsFull"/>
        <w:spacing w:line="360" w:lineRule="auto"/>
        <w:jc w:val="center"/>
        <w:rPr>
          <w:i w:val="0"/>
        </w:rPr>
      </w:pPr>
      <w:r w:rsidRPr="00A67F71">
        <w:rPr>
          <w:i w:val="0"/>
          <w:vertAlign w:val="superscript"/>
        </w:rPr>
        <w:t>a</w:t>
      </w:r>
      <w:r w:rsidRPr="00A67F71">
        <w:rPr>
          <w:i w:val="0"/>
        </w:rPr>
        <w:t xml:space="preserve"> Departments of Chemistry and Chemical &amp; Biomolecular Engineering, National University of Singapore, Singapore 119077.</w:t>
      </w:r>
    </w:p>
    <w:p w14:paraId="01C67945" w14:textId="77777777" w:rsidR="00134B0D" w:rsidRPr="00A67F71" w:rsidRDefault="00134B0D" w:rsidP="00E7383A">
      <w:pPr>
        <w:pStyle w:val="AuthorsFull"/>
        <w:spacing w:line="360" w:lineRule="auto"/>
        <w:jc w:val="center"/>
        <w:rPr>
          <w:i w:val="0"/>
        </w:rPr>
      </w:pPr>
      <w:r w:rsidRPr="00A67F71">
        <w:rPr>
          <w:i w:val="0"/>
          <w:vertAlign w:val="superscript"/>
        </w:rPr>
        <w:t>b</w:t>
      </w:r>
      <w:r w:rsidRPr="00A67F71">
        <w:rPr>
          <w:i w:val="0"/>
        </w:rPr>
        <w:t xml:space="preserve"> Institute for Functional Intelligent Materials, National University of Singapore, Singapore 117544</w:t>
      </w:r>
    </w:p>
    <w:p w14:paraId="3627017E" w14:textId="77777777" w:rsidR="00134B0D" w:rsidRDefault="00134B0D" w:rsidP="00E7383A">
      <w:pPr>
        <w:pStyle w:val="AuthorsFull"/>
        <w:spacing w:line="360" w:lineRule="auto"/>
        <w:jc w:val="center"/>
        <w:rPr>
          <w:i w:val="0"/>
        </w:rPr>
      </w:pPr>
      <w:r w:rsidRPr="00A67F71">
        <w:rPr>
          <w:i w:val="0"/>
          <w:vertAlign w:val="superscript"/>
        </w:rPr>
        <w:t>c</w:t>
      </w:r>
      <w:r w:rsidRPr="00A67F71">
        <w:rPr>
          <w:i w:val="0"/>
        </w:rPr>
        <w:t xml:space="preserve"> Department of Radiation Science and Technology, Delft University of Technology, Delft 2629 JB, The Netherlands</w:t>
      </w:r>
    </w:p>
    <w:p w14:paraId="117105D0" w14:textId="77777777" w:rsidR="00134B0D" w:rsidRPr="00A67F71" w:rsidRDefault="00134B0D" w:rsidP="00E7383A">
      <w:pPr>
        <w:pStyle w:val="AuthorsFull"/>
        <w:spacing w:line="360" w:lineRule="auto"/>
        <w:jc w:val="center"/>
        <w:rPr>
          <w:i w:val="0"/>
        </w:rPr>
      </w:pPr>
    </w:p>
    <w:p w14:paraId="00D8366A" w14:textId="77777777" w:rsidR="00E7383A" w:rsidRPr="00E7383A" w:rsidRDefault="00E7383A" w:rsidP="00E7383A">
      <w:pPr>
        <w:spacing w:after="120"/>
        <w:ind w:right="146" w:firstLine="142"/>
        <w:jc w:val="center"/>
        <w:rPr>
          <w:rFonts w:ascii="Times New Roman" w:hAnsi="Times New Roman" w:cs="Times New Roman"/>
          <w:color w:val="4472C4" w:themeColor="accent1"/>
          <w:sz w:val="24"/>
          <w:u w:val="single"/>
        </w:rPr>
      </w:pPr>
      <w:r w:rsidRPr="00E7383A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* </w:t>
      </w:r>
      <w:r w:rsidRPr="00E7383A">
        <w:rPr>
          <w:rFonts w:ascii="Times New Roman" w:hAnsi="Times New Roman" w:cs="Times New Roman"/>
          <w:b/>
          <w:color w:val="000000" w:themeColor="text1"/>
          <w:sz w:val="24"/>
        </w:rPr>
        <w:t>Corresponding Authors</w:t>
      </w:r>
      <w:r w:rsidRPr="00E7383A">
        <w:rPr>
          <w:rFonts w:ascii="Times New Roman" w:hAnsi="Times New Roman" w:cs="Times New Roman"/>
          <w:color w:val="000000" w:themeColor="text1"/>
          <w:sz w:val="24"/>
        </w:rPr>
        <w:t>:</w:t>
      </w:r>
      <w:r w:rsidRPr="00E7383A">
        <w:rPr>
          <w:rFonts w:ascii="Times New Roman" w:hAnsi="Times New Roman" w:cs="Times New Roman"/>
          <w:color w:val="4472C4" w:themeColor="accent1"/>
          <w:sz w:val="24"/>
        </w:rPr>
        <w:t xml:space="preserve"> </w:t>
      </w:r>
      <w:r w:rsidRPr="00E7383A">
        <w:rPr>
          <w:rFonts w:ascii="Times New Roman" w:hAnsi="Times New Roman" w:cs="Times New Roman"/>
          <w:sz w:val="24"/>
        </w:rPr>
        <w:t>Professor Guillermo C. Bazan (</w:t>
      </w:r>
      <w:hyperlink r:id="rId9" w:history="1">
        <w:r w:rsidRPr="00E7383A">
          <w:rPr>
            <w:rStyle w:val="Hyperlink"/>
            <w:rFonts w:ascii="Times New Roman" w:hAnsi="Times New Roman" w:cs="Times New Roman"/>
            <w:sz w:val="24"/>
          </w:rPr>
          <w:t>chmbgc@nus.edu.sg</w:t>
        </w:r>
      </w:hyperlink>
      <w:r w:rsidRPr="00E7383A">
        <w:rPr>
          <w:rFonts w:ascii="Times New Roman" w:hAnsi="Times New Roman" w:cs="Times New Roman"/>
          <w:sz w:val="24"/>
        </w:rPr>
        <w:t>)</w:t>
      </w:r>
      <w:r w:rsidRPr="00E7383A">
        <w:rPr>
          <w:rStyle w:val="Hyperlink"/>
          <w:rFonts w:ascii="Times New Roman" w:hAnsi="Times New Roman" w:cs="Times New Roman"/>
          <w:sz w:val="24"/>
        </w:rPr>
        <w:t>;</w:t>
      </w:r>
      <w:r w:rsidRPr="00E7383A">
        <w:rPr>
          <w:rFonts w:ascii="Times New Roman" w:hAnsi="Times New Roman" w:cs="Times New Roman"/>
          <w:color w:val="000000" w:themeColor="text1"/>
          <w:sz w:val="24"/>
        </w:rPr>
        <w:t xml:space="preserve"> Dr Xuehang Wang (</w:t>
      </w:r>
      <w:hyperlink r:id="rId10" w:history="1">
        <w:r w:rsidRPr="00E7383A">
          <w:rPr>
            <w:rStyle w:val="Hyperlink"/>
            <w:rFonts w:ascii="Times New Roman" w:hAnsi="Times New Roman" w:cs="Times New Roman"/>
            <w:sz w:val="24"/>
          </w:rPr>
          <w:t>x.wang-22@tudelft.nl</w:t>
        </w:r>
      </w:hyperlink>
      <w:r w:rsidRPr="00E7383A">
        <w:rPr>
          <w:rFonts w:ascii="Times New Roman" w:hAnsi="Times New Roman" w:cs="Times New Roman"/>
          <w:sz w:val="24"/>
        </w:rPr>
        <w:t>)</w:t>
      </w:r>
    </w:p>
    <w:p w14:paraId="37F8A82C" w14:textId="13A37550" w:rsidR="00134B0D" w:rsidRPr="00A67F71" w:rsidRDefault="00134B0D" w:rsidP="00E7383A">
      <w:pPr>
        <w:spacing w:after="120"/>
        <w:jc w:val="center"/>
        <w:rPr>
          <w:rFonts w:ascii="Times New Roman" w:eastAsia="MS Mincho" w:hAnsi="Times New Roman" w:cs="Times New Roman"/>
          <w:color w:val="4472C4" w:themeColor="accent1"/>
          <w:u w:val="single"/>
          <w:lang w:eastAsia="ja-JP"/>
        </w:rPr>
      </w:pPr>
    </w:p>
    <w:p w14:paraId="59586EE2" w14:textId="77777777" w:rsidR="00134B0D" w:rsidRDefault="00134B0D" w:rsidP="00E7383A">
      <w:pPr>
        <w:spacing w:line="360" w:lineRule="auto"/>
        <w:jc w:val="center"/>
      </w:pPr>
    </w:p>
    <w:p w14:paraId="30A2B835" w14:textId="77777777" w:rsidR="00134B0D" w:rsidRPr="00134B0D" w:rsidRDefault="00134B0D" w:rsidP="00E7383A">
      <w:pPr>
        <w:spacing w:line="360" w:lineRule="auto"/>
        <w:jc w:val="center"/>
        <w:rPr>
          <w:rFonts w:ascii="Times New Roman" w:hAnsi="Times New Roman" w:cs="Times New Roman"/>
        </w:rPr>
      </w:pPr>
      <w:r w:rsidRPr="00134B0D">
        <w:rPr>
          <w:rFonts w:ascii="Times New Roman" w:hAnsi="Times New Roman" w:cs="Times New Roman"/>
          <w:bCs/>
        </w:rPr>
        <w:t xml:space="preserve">Keywords: </w:t>
      </w:r>
      <w:r w:rsidRPr="00134B0D">
        <w:rPr>
          <w:rFonts w:ascii="Times New Roman" w:eastAsia="MS Gothic" w:hAnsi="Times New Roman" w:cs="Times New Roman"/>
        </w:rPr>
        <w:t xml:space="preserve">asymmetric </w:t>
      </w:r>
      <w:proofErr w:type="spellStart"/>
      <w:r w:rsidRPr="00134B0D">
        <w:rPr>
          <w:rFonts w:ascii="Times New Roman" w:eastAsia="MS Gothic" w:hAnsi="Times New Roman" w:cs="Times New Roman"/>
        </w:rPr>
        <w:t>pseudocapacitors</w:t>
      </w:r>
      <w:proofErr w:type="spellEnd"/>
      <w:r w:rsidRPr="00134B0D">
        <w:rPr>
          <w:rFonts w:ascii="Times New Roman" w:eastAsia="MS Gothic" w:hAnsi="Times New Roman" w:cs="Times New Roman"/>
        </w:rPr>
        <w:t xml:space="preserve">, </w:t>
      </w:r>
      <w:proofErr w:type="spellStart"/>
      <w:r w:rsidRPr="00134B0D">
        <w:rPr>
          <w:rFonts w:ascii="Times New Roman" w:eastAsia="MS Gothic" w:hAnsi="Times New Roman" w:cs="Times New Roman"/>
        </w:rPr>
        <w:t>MXenes</w:t>
      </w:r>
      <w:proofErr w:type="spellEnd"/>
      <w:r w:rsidRPr="00134B0D">
        <w:rPr>
          <w:rFonts w:ascii="Times New Roman" w:eastAsia="MS Gothic" w:hAnsi="Times New Roman" w:cs="Times New Roman"/>
        </w:rPr>
        <w:t>, conjugated polyelectrolytes, high-rate capability, high areal capacitance, large mass loading</w:t>
      </w:r>
    </w:p>
    <w:p w14:paraId="5C8C38BB" w14:textId="77777777" w:rsidR="009721D9" w:rsidRDefault="009721D9" w:rsidP="00E7383A">
      <w:pPr>
        <w:keepNext/>
        <w:jc w:val="center"/>
        <w:rPr>
          <w:noProof/>
        </w:rPr>
      </w:pPr>
    </w:p>
    <w:p w14:paraId="0A693A53" w14:textId="77777777" w:rsidR="009721D9" w:rsidRDefault="009721D9" w:rsidP="00E7383A">
      <w:pPr>
        <w:jc w:val="center"/>
        <w:rPr>
          <w:noProof/>
        </w:rPr>
      </w:pPr>
      <w:r>
        <w:rPr>
          <w:noProof/>
        </w:rPr>
        <w:br w:type="page"/>
      </w:r>
      <w:bookmarkStart w:id="2" w:name="_GoBack"/>
      <w:bookmarkEnd w:id="2"/>
    </w:p>
    <w:p w14:paraId="49847183" w14:textId="77777777" w:rsidR="006D7241" w:rsidRDefault="006D7241" w:rsidP="006D724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68B983C" wp14:editId="5A480F6D">
            <wp:extent cx="5917336" cy="2256312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4" t="27602" r="8782" b="28706"/>
                    <a:stretch/>
                  </pic:blipFill>
                  <pic:spPr bwMode="auto">
                    <a:xfrm>
                      <a:off x="0" y="0"/>
                      <a:ext cx="5939312" cy="2264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EB041E" w14:textId="00705002" w:rsidR="008456F3" w:rsidRDefault="006D7241" w:rsidP="006D7241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6D724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6D72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6D7241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6D72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</w:t>
      </w:r>
      <w:r w:rsidRPr="006D72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. Experimental thickness measurements from cross-sectional SEM and extrapolation to obtain the thicknesses that are used in this work for electrochemical characterization. a) For CPE-K and b) for Ti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</w:p>
    <w:tbl>
      <w:tblPr>
        <w:tblStyle w:val="ListTable1Light"/>
        <w:tblpPr w:leftFromText="180" w:rightFromText="180" w:vertAnchor="text" w:horzAnchor="margin" w:tblpXSpec="right" w:tblpY="140"/>
        <w:tblW w:w="4616" w:type="dxa"/>
        <w:tblLook w:val="0620" w:firstRow="1" w:lastRow="0" w:firstColumn="0" w:lastColumn="0" w:noHBand="1" w:noVBand="1"/>
      </w:tblPr>
      <w:tblGrid>
        <w:gridCol w:w="1155"/>
        <w:gridCol w:w="888"/>
        <w:gridCol w:w="843"/>
        <w:gridCol w:w="843"/>
        <w:gridCol w:w="887"/>
      </w:tblGrid>
      <w:tr w:rsidR="00774B28" w:rsidRPr="00774B28" w14:paraId="0C7E5FD8" w14:textId="77777777" w:rsidTr="00677C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4"/>
        </w:trPr>
        <w:tc>
          <w:tcPr>
            <w:tcW w:w="1155" w:type="dxa"/>
            <w:hideMark/>
          </w:tcPr>
          <w:p w14:paraId="2C7ED797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hideMark/>
          </w:tcPr>
          <w:p w14:paraId="19219339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C=N</w:t>
            </w:r>
          </w:p>
        </w:tc>
        <w:tc>
          <w:tcPr>
            <w:tcW w:w="843" w:type="dxa"/>
            <w:hideMark/>
          </w:tcPr>
          <w:p w14:paraId="3819C39B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C-S</w:t>
            </w:r>
          </w:p>
        </w:tc>
        <w:tc>
          <w:tcPr>
            <w:tcW w:w="843" w:type="dxa"/>
            <w:hideMark/>
          </w:tcPr>
          <w:p w14:paraId="4F71D93D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C-C</w:t>
            </w:r>
          </w:p>
        </w:tc>
        <w:tc>
          <w:tcPr>
            <w:tcW w:w="887" w:type="dxa"/>
            <w:hideMark/>
          </w:tcPr>
          <w:p w14:paraId="5DA7E162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C=C</w:t>
            </w:r>
          </w:p>
        </w:tc>
      </w:tr>
      <w:tr w:rsidR="00677CF1" w:rsidRPr="00774B28" w14:paraId="1E98ED63" w14:textId="77777777" w:rsidTr="00677CF1">
        <w:trPr>
          <w:trHeight w:val="594"/>
        </w:trPr>
        <w:tc>
          <w:tcPr>
            <w:tcW w:w="1155" w:type="dxa"/>
            <w:hideMark/>
          </w:tcPr>
          <w:p w14:paraId="672FA2E1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Pristine</w:t>
            </w:r>
          </w:p>
        </w:tc>
        <w:tc>
          <w:tcPr>
            <w:tcW w:w="888" w:type="dxa"/>
            <w:hideMark/>
          </w:tcPr>
          <w:p w14:paraId="29888188" w14:textId="2C980160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43" w:type="dxa"/>
            <w:hideMark/>
          </w:tcPr>
          <w:p w14:paraId="74DE188B" w14:textId="2BD99F8B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43" w:type="dxa"/>
            <w:hideMark/>
          </w:tcPr>
          <w:p w14:paraId="07607A0C" w14:textId="665A9364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04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7" w:type="dxa"/>
            <w:hideMark/>
          </w:tcPr>
          <w:p w14:paraId="1B36C10E" w14:textId="274C2E1D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74B28" w:rsidRPr="00774B28" w14:paraId="03791F44" w14:textId="77777777" w:rsidTr="00677CF1">
        <w:trPr>
          <w:trHeight w:val="594"/>
        </w:trPr>
        <w:tc>
          <w:tcPr>
            <w:tcW w:w="1155" w:type="dxa"/>
            <w:hideMark/>
          </w:tcPr>
          <w:p w14:paraId="6BD7A463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Doped</w:t>
            </w:r>
          </w:p>
        </w:tc>
        <w:tc>
          <w:tcPr>
            <w:tcW w:w="888" w:type="dxa"/>
            <w:hideMark/>
          </w:tcPr>
          <w:p w14:paraId="4ACA575C" w14:textId="6429F544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3" w:type="dxa"/>
            <w:hideMark/>
          </w:tcPr>
          <w:p w14:paraId="4F8645C1" w14:textId="6EC3AF53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43" w:type="dxa"/>
            <w:hideMark/>
          </w:tcPr>
          <w:p w14:paraId="6D2ED514" w14:textId="2793A62B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4E04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7" w:type="dxa"/>
            <w:hideMark/>
          </w:tcPr>
          <w:p w14:paraId="38B1438C" w14:textId="3E45EAD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77CF1" w:rsidRPr="00774B28" w14:paraId="7EB42316" w14:textId="77777777" w:rsidTr="00677CF1">
        <w:trPr>
          <w:trHeight w:val="594"/>
        </w:trPr>
        <w:tc>
          <w:tcPr>
            <w:tcW w:w="1155" w:type="dxa"/>
            <w:hideMark/>
          </w:tcPr>
          <w:p w14:paraId="58B1192B" w14:textId="77777777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Dedoped</w:t>
            </w:r>
          </w:p>
        </w:tc>
        <w:tc>
          <w:tcPr>
            <w:tcW w:w="888" w:type="dxa"/>
            <w:hideMark/>
          </w:tcPr>
          <w:p w14:paraId="1D1F5992" w14:textId="27DAE826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3" w:type="dxa"/>
            <w:hideMark/>
          </w:tcPr>
          <w:p w14:paraId="56BBEC70" w14:textId="05D06A88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04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3" w:type="dxa"/>
            <w:hideMark/>
          </w:tcPr>
          <w:p w14:paraId="026A5996" w14:textId="73B51AC2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04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7" w:type="dxa"/>
            <w:hideMark/>
          </w:tcPr>
          <w:p w14:paraId="44FB7B40" w14:textId="383C7B8F" w:rsidR="00774B28" w:rsidRPr="00774B28" w:rsidRDefault="00774B28" w:rsidP="00774B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74B2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</w:tbl>
    <w:p w14:paraId="6549B5E9" w14:textId="77777777" w:rsidR="008469D9" w:rsidRDefault="00774B28" w:rsidP="008469D9">
      <w:pPr>
        <w:keepNext/>
      </w:pPr>
      <w:r w:rsidRPr="00774B28">
        <w:rPr>
          <w:noProof/>
        </w:rPr>
        <w:t xml:space="preserve"> </w:t>
      </w:r>
      <w:r w:rsidRPr="00774B28">
        <w:rPr>
          <w:noProof/>
        </w:rPr>
        <w:drawing>
          <wp:inline distT="0" distB="0" distL="0" distR="0" wp14:anchorId="7F201B4F" wp14:editId="006E929E">
            <wp:extent cx="2830557" cy="236318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84" t="22359" r="22656" b="12958"/>
                    <a:stretch/>
                  </pic:blipFill>
                  <pic:spPr bwMode="auto">
                    <a:xfrm>
                      <a:off x="0" y="0"/>
                      <a:ext cx="2836334" cy="2368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F4DCB" w14:textId="1798DF31" w:rsidR="00A33541" w:rsidRPr="00677CF1" w:rsidRDefault="008469D9" w:rsidP="008469D9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2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>. Peak fitting of XPS C 1s data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with a table (right) of peak intensity ratios C=N : C-S : C-C : C=C normalized to C-C</w:t>
      </w:r>
      <w:r w:rsidR="00677CF1"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</w:p>
    <w:p w14:paraId="41AD59D0" w14:textId="5F5B4DEB" w:rsidR="00A33541" w:rsidRDefault="00A33541" w:rsidP="00A33541"/>
    <w:p w14:paraId="4CC91081" w14:textId="588B006D" w:rsidR="006F1D5E" w:rsidRDefault="006F1D5E" w:rsidP="00A33541"/>
    <w:p w14:paraId="679C2E16" w14:textId="6DA0EFAF" w:rsidR="006F1D5E" w:rsidRDefault="006F1D5E" w:rsidP="00A33541"/>
    <w:p w14:paraId="521809C7" w14:textId="7F3C0536" w:rsidR="006F1D5E" w:rsidRDefault="006F1D5E" w:rsidP="00A33541"/>
    <w:p w14:paraId="3CA0D45D" w14:textId="00FFD56C" w:rsidR="006F1D5E" w:rsidRDefault="006F1D5E" w:rsidP="00A33541"/>
    <w:p w14:paraId="71AB3758" w14:textId="50772421" w:rsidR="006F1D5E" w:rsidRDefault="006F1D5E" w:rsidP="00A33541"/>
    <w:p w14:paraId="05B1E06E" w14:textId="13FB98A8" w:rsidR="006F1D5E" w:rsidRDefault="006F1D5E" w:rsidP="00A33541"/>
    <w:p w14:paraId="361C1D74" w14:textId="6FA2BC5C" w:rsidR="006F1D5E" w:rsidRDefault="006F1D5E" w:rsidP="00A33541"/>
    <w:p w14:paraId="7CB1F398" w14:textId="77777777" w:rsidR="006F1D5E" w:rsidRDefault="006F1D5E" w:rsidP="006F1D5E">
      <w:pPr>
        <w:keepNext/>
        <w:jc w:val="center"/>
      </w:pPr>
      <w:r w:rsidRPr="00271510">
        <w:rPr>
          <w:rFonts w:ascii="Times New Roman" w:hAnsi="Times New Roman" w:cs="Times New Roman"/>
          <w:i/>
          <w:noProof/>
          <w:sz w:val="24"/>
          <w:szCs w:val="24"/>
        </w:rPr>
        <w:lastRenderedPageBreak/>
        <w:drawing>
          <wp:inline distT="0" distB="0" distL="0" distR="0" wp14:anchorId="5AB0A714" wp14:editId="46068E25">
            <wp:extent cx="3312910" cy="2730946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82" t="23057" r="22825" b="13040"/>
                    <a:stretch/>
                  </pic:blipFill>
                  <pic:spPr bwMode="auto">
                    <a:xfrm>
                      <a:off x="0" y="0"/>
                      <a:ext cx="3314555" cy="2732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DB050E" w14:textId="7BDDC155" w:rsidR="006F1D5E" w:rsidRPr="006A1A09" w:rsidRDefault="006F1D5E" w:rsidP="006F1D5E">
      <w:pPr>
        <w:pStyle w:val="Caption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3</w: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. X-ray diffractogram of drop cast 1.0 mg cm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Ti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softHyphen/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on a silicon substrate.</w:t>
      </w:r>
    </w:p>
    <w:p w14:paraId="5A5DC738" w14:textId="77777777" w:rsidR="006F1D5E" w:rsidRDefault="006F1D5E" w:rsidP="006F1D5E">
      <w:pPr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512111BA" w14:textId="77777777" w:rsidR="006F1D5E" w:rsidRPr="00A33541" w:rsidRDefault="006F1D5E" w:rsidP="00A33541"/>
    <w:p w14:paraId="19E43A53" w14:textId="77777777" w:rsidR="00BB5F8B" w:rsidRDefault="00BB5F8B" w:rsidP="00BB5F8B">
      <w:pPr>
        <w:keepNext/>
        <w:jc w:val="center"/>
      </w:pPr>
      <w:r>
        <w:rPr>
          <w:noProof/>
        </w:rPr>
        <w:drawing>
          <wp:inline distT="0" distB="0" distL="0" distR="0" wp14:anchorId="2C808228" wp14:editId="18D41B46">
            <wp:extent cx="4346865" cy="661455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082" cy="662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F67B" w14:textId="63680A8F" w:rsidR="00BB5F8B" w:rsidRPr="006A1A09" w:rsidRDefault="00BB5F8B" w:rsidP="00BB5F8B">
      <w:pPr>
        <w:pStyle w:val="Caption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BE1106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6F1D5E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4</w:t>
      </w:r>
      <w:r w:rsidRPr="00BE1106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</w:rPr>
        <w:t>. Cross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-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</w:rPr>
        <w:t>sectional SEM of drop cast CPE-K and Ti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6A1A0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on silicon substrates.</w:t>
      </w:r>
    </w:p>
    <w:p w14:paraId="5A2F7169" w14:textId="2C08C3A5" w:rsidR="008456F3" w:rsidRDefault="008456F3" w:rsidP="00271510">
      <w:pPr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01EF3435" w14:textId="7B983E6C" w:rsidR="00B61B9D" w:rsidRDefault="008456F3" w:rsidP="00B61B9D">
      <w:pPr>
        <w:keepNext/>
      </w:pPr>
      <w:r>
        <w:rPr>
          <w:noProof/>
        </w:rPr>
        <w:lastRenderedPageBreak/>
        <w:drawing>
          <wp:inline distT="0" distB="0" distL="0" distR="0" wp14:anchorId="7C77D606" wp14:editId="34BA6C90">
            <wp:extent cx="5892803" cy="444137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88" b="4546"/>
                    <a:stretch/>
                  </pic:blipFill>
                  <pic:spPr bwMode="auto">
                    <a:xfrm>
                      <a:off x="0" y="0"/>
                      <a:ext cx="5897519" cy="444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2A95C" w14:textId="23EF4BBF" w:rsidR="005C61AF" w:rsidRPr="006D7241" w:rsidRDefault="00B61B9D" w:rsidP="006D7241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C23B8F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5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Cyclic voltammograms of </w:t>
      </w:r>
      <w:r w:rsidR="00CF4C3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drop cast </w:t>
      </w:r>
      <w:r w:rsid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CPE-K </w:t>
      </w:r>
      <w:r w:rsidR="00CF4C3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film </w:t>
      </w:r>
      <w:r w:rsid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at various mass loading. a) 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>CV normalized to current density for 2.8, 5.6, 8.4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and 11.2 mg cm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 10 mV s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>. CVs for CPE-K films at increasing scan rates from 5 – 10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>000 mV s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for b) 2.8, c) 5.6 and d) 8.4 mg cm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A26D7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</w:p>
    <w:p w14:paraId="42C832E5" w14:textId="11BE8BF4" w:rsidR="00B61B9D" w:rsidRPr="00C23B8F" w:rsidRDefault="00A07963" w:rsidP="00343CAF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49283E" wp14:editId="05E758DC">
            <wp:extent cx="4702810" cy="6531610"/>
            <wp:effectExtent l="0" t="0" r="254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810" cy="653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55A6E" w14:textId="2F8C4D38" w:rsidR="00B61B9D" w:rsidRPr="0016071D" w:rsidRDefault="00B61B9D" w:rsidP="00CF4C3D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175AA5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6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175AA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E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lectrochemical characterization of drop cast Ti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 xml:space="preserve">x 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film at various mass loading. a) CV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from 5 to 10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000 mV s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of drop cast Ti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 a mass loading of 0.96 mg cm</w:t>
      </w:r>
      <w:r w:rsidR="008456F3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. b) log current versus log scan rate for Ti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films. c) Representative GCD trace of Ti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 xml:space="preserve">x 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at 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0.96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mg cm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 xml:space="preserve">-2 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from 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100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 g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. d) Specific capacitance as a function of specific current for Ti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 xml:space="preserve">x 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films. e) Linear fit of Z’ versus ω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-1/2</w:t>
      </w:r>
      <w:r w:rsidR="00CF4C3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obtain the Warburg coefficient, σ.  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f) Nyquist plot of EIS data for Ti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16071D" w:rsidRP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films.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g) Cycling stability of Ti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(1.9 mg cm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). h) Areal capacitance as 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 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function of scan rate of drop cast Ti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 xml:space="preserve">x 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compared to drop cast CPE-K showing comparable capacitance.</w:t>
      </w:r>
    </w:p>
    <w:p w14:paraId="32610049" w14:textId="705CC546" w:rsidR="00B61B9D" w:rsidRPr="00C23B8F" w:rsidRDefault="00D04CD0" w:rsidP="00B61B9D">
      <w:pPr>
        <w:keepNext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B2E49E" wp14:editId="0342A3EF">
            <wp:extent cx="5886791" cy="44413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8" t="2933" r="4489" b="2924"/>
                    <a:stretch/>
                  </pic:blipFill>
                  <pic:spPr bwMode="auto">
                    <a:xfrm>
                      <a:off x="0" y="0"/>
                      <a:ext cx="5896804" cy="444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79132" w14:textId="0F81C10F" w:rsidR="00505989" w:rsidRPr="0016071D" w:rsidRDefault="00B61B9D" w:rsidP="00F41F03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CF4C3D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7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CF4C3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Mass balancing experiment to obtain optimum voltage window for Ti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16071D">
        <w:rPr>
          <w:rFonts w:ascii="Times New Roman" w:hAnsi="Times New Roman" w:cs="Times New Roman"/>
          <w:i w:val="0"/>
          <w:color w:val="auto"/>
          <w:sz w:val="24"/>
          <w:szCs w:val="24"/>
        </w:rPr>
        <w:t>//CPE-K asymmetric pseudocapacitor.</w:t>
      </w:r>
    </w:p>
    <w:p w14:paraId="0333D057" w14:textId="77777777" w:rsidR="00505989" w:rsidRDefault="00505989" w:rsidP="00F41F03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14:paraId="5E34C7C7" w14:textId="6992624D" w:rsidR="00677CF1" w:rsidRPr="00677CF1" w:rsidRDefault="00677CF1" w:rsidP="00677CF1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 \* ARABIC </w:instrTex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Pr="00677CF1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. Coulombic efficiencies of Ti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//CPE-K at different mass ratio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and voltage windows.</w:t>
      </w:r>
    </w:p>
    <w:tbl>
      <w:tblPr>
        <w:tblStyle w:val="ListTable1Light"/>
        <w:tblW w:w="9355" w:type="dxa"/>
        <w:tblLayout w:type="fixed"/>
        <w:tblLook w:val="0680" w:firstRow="0" w:lastRow="0" w:firstColumn="1" w:lastColumn="0" w:noHBand="1" w:noVBand="1"/>
      </w:tblPr>
      <w:tblGrid>
        <w:gridCol w:w="967"/>
        <w:gridCol w:w="876"/>
        <w:gridCol w:w="856"/>
        <w:gridCol w:w="554"/>
        <w:gridCol w:w="554"/>
        <w:gridCol w:w="555"/>
        <w:gridCol w:w="555"/>
        <w:gridCol w:w="555"/>
        <w:gridCol w:w="554"/>
        <w:gridCol w:w="554"/>
        <w:gridCol w:w="555"/>
        <w:gridCol w:w="554"/>
        <w:gridCol w:w="555"/>
        <w:gridCol w:w="554"/>
        <w:gridCol w:w="557"/>
      </w:tblGrid>
      <w:tr w:rsidR="00677CF1" w:rsidRPr="00B74D2F" w14:paraId="4E9251D9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vMerge w:val="restart"/>
            <w:tcBorders>
              <w:top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</w:tcPr>
          <w:p w14:paraId="776FFC13" w14:textId="3BB8ACAD" w:rsidR="00677CF1" w:rsidRPr="00677CF1" w:rsidRDefault="00677CF1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</w:rPr>
            </w:pPr>
            <w:r w:rsidRPr="00677CF1">
              <w:rPr>
                <w:rFonts w:ascii="Times New Roman" w:eastAsia="Times New Roman" w:hAnsi="Times New Roman" w:cs="Times New Roman"/>
                <w:color w:val="000000"/>
                <w:sz w:val="20"/>
              </w:rPr>
              <w:t>Ratio</w:t>
            </w:r>
          </w:p>
          <w:p w14:paraId="43CCB580" w14:textId="0D3B42F2" w:rsidR="00677CF1" w:rsidRPr="00677CF1" w:rsidRDefault="00677CF1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vertAlign w:val="subscript"/>
              </w:rPr>
            </w:pP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</w:rPr>
              <w:t>CPE-K :Ti</w:t>
            </w: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vertAlign w:val="subscript"/>
              </w:rPr>
              <w:t>3</w:t>
            </w: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</w:rPr>
              <w:t>C</w:t>
            </w: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vertAlign w:val="subscript"/>
              </w:rPr>
              <w:t>2</w:t>
            </w: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</w:rPr>
              <w:t>T</w:t>
            </w:r>
            <w:r w:rsidRPr="00677CF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vertAlign w:val="subscript"/>
              </w:rPr>
              <w:t>x</w:t>
            </w:r>
          </w:p>
        </w:tc>
        <w:tc>
          <w:tcPr>
            <w:tcW w:w="876" w:type="dxa"/>
            <w:vMerge w:val="restart"/>
            <w:tcBorders>
              <w:top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1F5BBE21" w14:textId="385C31DB" w:rsidR="00677CF1" w:rsidRPr="00677CF1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677C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CPE-K Mass (ug)</w:t>
            </w:r>
          </w:p>
        </w:tc>
        <w:tc>
          <w:tcPr>
            <w:tcW w:w="856" w:type="dxa"/>
            <w:vMerge w:val="restart"/>
            <w:tcBorders>
              <w:top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1056D30C" w14:textId="77777777" w:rsidR="00677CF1" w:rsidRPr="00677CF1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Ti</w:t>
            </w: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bscript"/>
              </w:rPr>
              <w:t>3</w:t>
            </w: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C</w:t>
            </w: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bscript"/>
              </w:rPr>
              <w:t>2</w:t>
            </w: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T</w:t>
            </w: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bscript"/>
              </w:rPr>
              <w:t>x</w:t>
            </w:r>
          </w:p>
          <w:p w14:paraId="6D4265AA" w14:textId="77777777" w:rsidR="00677CF1" w:rsidRPr="00677CF1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Mass</w:t>
            </w:r>
          </w:p>
          <w:p w14:paraId="579B4739" w14:textId="67AAF002" w:rsidR="00677CF1" w:rsidRPr="00677CF1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77CF1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(ug)</w:t>
            </w:r>
          </w:p>
        </w:tc>
        <w:tc>
          <w:tcPr>
            <w:tcW w:w="6656" w:type="dxa"/>
            <w:gridSpan w:val="12"/>
            <w:tcBorders>
              <w:top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</w:tcPr>
          <w:p w14:paraId="4F96283B" w14:textId="65D27445" w:rsidR="00677CF1" w:rsidRPr="00B74D2F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b/>
                <w:color w:val="000000"/>
              </w:rPr>
              <w:t>Potential window (V)</w:t>
            </w:r>
          </w:p>
        </w:tc>
      </w:tr>
      <w:tr w:rsidR="004519A5" w:rsidRPr="00B74D2F" w14:paraId="756E8322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vMerge/>
            <w:shd w:val="clear" w:color="auto" w:fill="FFFFFF" w:themeFill="background1"/>
            <w:noWrap/>
            <w:vAlign w:val="center"/>
            <w:hideMark/>
          </w:tcPr>
          <w:p w14:paraId="441713F5" w14:textId="19930E1C" w:rsidR="00677CF1" w:rsidRPr="00B74D2F" w:rsidRDefault="00677CF1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876" w:type="dxa"/>
            <w:vMerge/>
            <w:shd w:val="clear" w:color="auto" w:fill="FFFFFF" w:themeFill="background1"/>
            <w:vAlign w:val="center"/>
          </w:tcPr>
          <w:p w14:paraId="44656FE7" w14:textId="1AF07514" w:rsidR="00677CF1" w:rsidRPr="00B74D2F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6" w:type="dxa"/>
            <w:vMerge/>
            <w:shd w:val="clear" w:color="auto" w:fill="FFFFFF" w:themeFill="background1"/>
            <w:vAlign w:val="center"/>
          </w:tcPr>
          <w:p w14:paraId="6127D42E" w14:textId="52D15783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5003C6E5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0.6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3BF22565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0.7</w:t>
            </w:r>
          </w:p>
        </w:tc>
        <w:tc>
          <w:tcPr>
            <w:tcW w:w="555" w:type="dxa"/>
            <w:shd w:val="clear" w:color="auto" w:fill="FFFFFF" w:themeFill="background1"/>
            <w:noWrap/>
            <w:vAlign w:val="center"/>
            <w:hideMark/>
          </w:tcPr>
          <w:p w14:paraId="5391643D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0.8</w:t>
            </w:r>
          </w:p>
        </w:tc>
        <w:tc>
          <w:tcPr>
            <w:tcW w:w="555" w:type="dxa"/>
            <w:shd w:val="clear" w:color="auto" w:fill="FFFFFF" w:themeFill="background1"/>
            <w:noWrap/>
            <w:vAlign w:val="center"/>
            <w:hideMark/>
          </w:tcPr>
          <w:p w14:paraId="0BBF5C1E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0.9</w:t>
            </w:r>
          </w:p>
        </w:tc>
        <w:tc>
          <w:tcPr>
            <w:tcW w:w="555" w:type="dxa"/>
            <w:shd w:val="clear" w:color="auto" w:fill="FFFFFF" w:themeFill="background1"/>
            <w:noWrap/>
            <w:vAlign w:val="center"/>
            <w:hideMark/>
          </w:tcPr>
          <w:p w14:paraId="473DAA36" w14:textId="0EC7FE40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Pr="00B74D2F">
              <w:rPr>
                <w:rFonts w:ascii="Times New Roman" w:eastAsia="Times New Roman" w:hAnsi="Times New Roman" w:cs="Times New Roman"/>
                <w:b/>
                <w:color w:val="000000"/>
              </w:rPr>
              <w:t>.0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23B7C61E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1.1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5C3820F9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1.2</w:t>
            </w:r>
          </w:p>
        </w:tc>
        <w:tc>
          <w:tcPr>
            <w:tcW w:w="555" w:type="dxa"/>
            <w:shd w:val="clear" w:color="auto" w:fill="FFFFFF" w:themeFill="background1"/>
            <w:noWrap/>
            <w:vAlign w:val="center"/>
            <w:hideMark/>
          </w:tcPr>
          <w:p w14:paraId="7055D382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1.3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27A02760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1.4</w:t>
            </w:r>
          </w:p>
        </w:tc>
        <w:tc>
          <w:tcPr>
            <w:tcW w:w="555" w:type="dxa"/>
            <w:shd w:val="clear" w:color="auto" w:fill="FFFFFF" w:themeFill="background1"/>
            <w:noWrap/>
            <w:vAlign w:val="center"/>
            <w:hideMark/>
          </w:tcPr>
          <w:p w14:paraId="46135F2C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1.5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7036F7E5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1.6</w:t>
            </w:r>
          </w:p>
        </w:tc>
        <w:tc>
          <w:tcPr>
            <w:tcW w:w="557" w:type="dxa"/>
            <w:shd w:val="clear" w:color="auto" w:fill="FFFFFF" w:themeFill="background1"/>
            <w:noWrap/>
            <w:vAlign w:val="center"/>
            <w:hideMark/>
          </w:tcPr>
          <w:p w14:paraId="07D0EF07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1.7</w:t>
            </w:r>
          </w:p>
        </w:tc>
      </w:tr>
      <w:tr w:rsidR="00677CF1" w:rsidRPr="00B74D2F" w14:paraId="32245774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vMerge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0B313A03" w14:textId="692DB795" w:rsidR="00677CF1" w:rsidRPr="00B74D2F" w:rsidRDefault="00677CF1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876" w:type="dxa"/>
            <w:vMerge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7A8B3737" w14:textId="77777777" w:rsidR="00677CF1" w:rsidRPr="00B74D2F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6" w:type="dxa"/>
            <w:vMerge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2BA993E8" w14:textId="3088CD1A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656" w:type="dxa"/>
            <w:gridSpan w:val="12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239BFC22" w14:textId="77777777" w:rsidR="00677CF1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Coulombic efficiency (%)</w:t>
            </w:r>
          </w:p>
        </w:tc>
      </w:tr>
      <w:tr w:rsidR="004519A5" w:rsidRPr="00B74D2F" w14:paraId="1F502171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tcBorders>
              <w:top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43474BF2" w14:textId="77777777" w:rsidR="00BD5877" w:rsidRPr="00B74D2F" w:rsidRDefault="00BD5877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 w:val="0"/>
                <w:color w:val="000000"/>
              </w:rPr>
              <w:t>4.0</w:t>
            </w:r>
          </w:p>
        </w:tc>
        <w:tc>
          <w:tcPr>
            <w:tcW w:w="876" w:type="dxa"/>
            <w:tcBorders>
              <w:top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21395171" w14:textId="0940DBA1" w:rsidR="00BD5877" w:rsidRPr="00B74D2F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bCs/>
                <w:color w:val="000000"/>
              </w:rPr>
              <w:t>200</w:t>
            </w:r>
          </w:p>
        </w:tc>
        <w:tc>
          <w:tcPr>
            <w:tcW w:w="856" w:type="dxa"/>
            <w:tcBorders>
              <w:top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373BD256" w14:textId="720C8495" w:rsidR="00BD5877" w:rsidRPr="00505989" w:rsidRDefault="00B74D2F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0D00F4E1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78BF01B9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tcBorders>
              <w:top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52B219EE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tcBorders>
              <w:top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1599A5E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tcBorders>
              <w:top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427DDAE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E2EFD9" w:themeFill="accent6" w:themeFillTint="33"/>
            <w:noWrap/>
            <w:vAlign w:val="center"/>
            <w:hideMark/>
          </w:tcPr>
          <w:p w14:paraId="714440F6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627D042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tcBorders>
              <w:top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7115C78D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FFF2CC" w:themeFill="accent4" w:themeFillTint="33"/>
            <w:noWrap/>
            <w:vAlign w:val="center"/>
            <w:hideMark/>
          </w:tcPr>
          <w:p w14:paraId="6B955592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555" w:type="dxa"/>
            <w:tcBorders>
              <w:top w:val="single" w:sz="4" w:space="0" w:color="7F7F7F" w:themeColor="text1" w:themeTint="80"/>
            </w:tcBorders>
            <w:shd w:val="clear" w:color="auto" w:fill="F4B083" w:themeFill="accent2" w:themeFillTint="99"/>
            <w:noWrap/>
            <w:vAlign w:val="center"/>
            <w:hideMark/>
          </w:tcPr>
          <w:p w14:paraId="5B00AADD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554" w:type="dxa"/>
            <w:tcBorders>
              <w:top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43A7BE9F" w14:textId="3CFFF3CB" w:rsidR="00BD5877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7" w:type="dxa"/>
            <w:tcBorders>
              <w:top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1548A78A" w14:textId="42389281" w:rsidR="00BD5877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4519A5" w:rsidRPr="00B74D2F" w14:paraId="3D79C1B1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shd w:val="clear" w:color="auto" w:fill="FFFFFF" w:themeFill="background1"/>
            <w:noWrap/>
            <w:vAlign w:val="center"/>
            <w:hideMark/>
          </w:tcPr>
          <w:p w14:paraId="66F4D038" w14:textId="77777777" w:rsidR="00BD5877" w:rsidRPr="00B74D2F" w:rsidRDefault="00BD5877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 w:val="0"/>
                <w:color w:val="000000"/>
              </w:rPr>
              <w:t>3.5</w:t>
            </w:r>
          </w:p>
        </w:tc>
        <w:tc>
          <w:tcPr>
            <w:tcW w:w="876" w:type="dxa"/>
            <w:shd w:val="clear" w:color="auto" w:fill="FFFFFF" w:themeFill="background1"/>
            <w:vAlign w:val="center"/>
          </w:tcPr>
          <w:p w14:paraId="58E4EB54" w14:textId="4C35AAEB" w:rsidR="00BD5877" w:rsidRPr="00B74D2F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bCs/>
                <w:color w:val="000000"/>
              </w:rPr>
              <w:t>200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 w14:paraId="601FAA64" w14:textId="30EBCEEB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554" w:type="dxa"/>
            <w:shd w:val="clear" w:color="auto" w:fill="A8D08D" w:themeFill="accent6" w:themeFillTint="99"/>
            <w:noWrap/>
            <w:vAlign w:val="center"/>
            <w:hideMark/>
          </w:tcPr>
          <w:p w14:paraId="39D89CF7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4" w:type="dxa"/>
            <w:shd w:val="clear" w:color="auto" w:fill="A8D08D" w:themeFill="accent6" w:themeFillTint="99"/>
            <w:noWrap/>
            <w:vAlign w:val="center"/>
            <w:hideMark/>
          </w:tcPr>
          <w:p w14:paraId="460A730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shd w:val="clear" w:color="auto" w:fill="C5E0B3" w:themeFill="accent6" w:themeFillTint="66"/>
            <w:noWrap/>
            <w:vAlign w:val="center"/>
            <w:hideMark/>
          </w:tcPr>
          <w:p w14:paraId="19EB3EA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shd w:val="clear" w:color="auto" w:fill="C5E0B3" w:themeFill="accent6" w:themeFillTint="66"/>
            <w:noWrap/>
            <w:vAlign w:val="center"/>
            <w:hideMark/>
          </w:tcPr>
          <w:p w14:paraId="70CED96A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shd w:val="clear" w:color="auto" w:fill="C5E0B3" w:themeFill="accent6" w:themeFillTint="66"/>
            <w:noWrap/>
            <w:vAlign w:val="center"/>
            <w:hideMark/>
          </w:tcPr>
          <w:p w14:paraId="4A77AE6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shd w:val="clear" w:color="auto" w:fill="C5E0B3" w:themeFill="accent6" w:themeFillTint="66"/>
            <w:noWrap/>
            <w:vAlign w:val="center"/>
            <w:hideMark/>
          </w:tcPr>
          <w:p w14:paraId="6C6B22E6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shd w:val="clear" w:color="auto" w:fill="C5E0B3" w:themeFill="accent6" w:themeFillTint="66"/>
            <w:noWrap/>
            <w:vAlign w:val="center"/>
            <w:hideMark/>
          </w:tcPr>
          <w:p w14:paraId="6526BE33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shd w:val="clear" w:color="auto" w:fill="C5E0B3" w:themeFill="accent6" w:themeFillTint="66"/>
            <w:noWrap/>
            <w:vAlign w:val="center"/>
            <w:hideMark/>
          </w:tcPr>
          <w:p w14:paraId="1A5B930E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shd w:val="clear" w:color="auto" w:fill="C5E0B3" w:themeFill="accent6" w:themeFillTint="66"/>
            <w:noWrap/>
            <w:vAlign w:val="center"/>
            <w:hideMark/>
          </w:tcPr>
          <w:p w14:paraId="46254279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shd w:val="clear" w:color="auto" w:fill="FFF2CC" w:themeFill="accent4" w:themeFillTint="33"/>
            <w:noWrap/>
            <w:vAlign w:val="center"/>
            <w:hideMark/>
          </w:tcPr>
          <w:p w14:paraId="1E73F340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554" w:type="dxa"/>
            <w:shd w:val="clear" w:color="auto" w:fill="FFFFFF" w:themeFill="background1"/>
            <w:noWrap/>
            <w:vAlign w:val="center"/>
            <w:hideMark/>
          </w:tcPr>
          <w:p w14:paraId="6147A92D" w14:textId="0F593DF3" w:rsidR="00BD5877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7" w:type="dxa"/>
            <w:shd w:val="clear" w:color="auto" w:fill="FFFFFF" w:themeFill="background1"/>
            <w:noWrap/>
            <w:vAlign w:val="center"/>
            <w:hideMark/>
          </w:tcPr>
          <w:p w14:paraId="153215C4" w14:textId="6DAA5A02" w:rsidR="00BD5877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4519A5" w:rsidRPr="00B74D2F" w14:paraId="11F9601A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shd w:val="clear" w:color="auto" w:fill="FFFFFF" w:themeFill="background1"/>
            <w:noWrap/>
            <w:vAlign w:val="center"/>
            <w:hideMark/>
          </w:tcPr>
          <w:p w14:paraId="48684757" w14:textId="77777777" w:rsidR="00BD5877" w:rsidRPr="00B74D2F" w:rsidRDefault="00BD5877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 w:val="0"/>
                <w:color w:val="000000"/>
              </w:rPr>
              <w:t>3.0</w:t>
            </w:r>
          </w:p>
        </w:tc>
        <w:tc>
          <w:tcPr>
            <w:tcW w:w="876" w:type="dxa"/>
            <w:shd w:val="clear" w:color="auto" w:fill="FFFFFF" w:themeFill="background1"/>
            <w:vAlign w:val="center"/>
          </w:tcPr>
          <w:p w14:paraId="63859E8F" w14:textId="046F6EC8" w:rsidR="00BD5877" w:rsidRPr="00B74D2F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bCs/>
                <w:color w:val="000000"/>
              </w:rPr>
              <w:t>200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 w14:paraId="030873B4" w14:textId="3661521C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554" w:type="dxa"/>
            <w:shd w:val="clear" w:color="auto" w:fill="538135" w:themeFill="accent6" w:themeFillShade="BF"/>
            <w:noWrap/>
            <w:vAlign w:val="center"/>
            <w:hideMark/>
          </w:tcPr>
          <w:p w14:paraId="764B700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554" w:type="dxa"/>
            <w:shd w:val="clear" w:color="auto" w:fill="A8D08D" w:themeFill="accent6" w:themeFillTint="99"/>
            <w:noWrap/>
            <w:vAlign w:val="center"/>
            <w:hideMark/>
          </w:tcPr>
          <w:p w14:paraId="471643E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shd w:val="clear" w:color="auto" w:fill="A8D08D" w:themeFill="accent6" w:themeFillTint="99"/>
            <w:noWrap/>
            <w:vAlign w:val="center"/>
            <w:hideMark/>
          </w:tcPr>
          <w:p w14:paraId="3C386AC2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shd w:val="clear" w:color="auto" w:fill="A8D08D" w:themeFill="accent6" w:themeFillTint="99"/>
            <w:noWrap/>
            <w:vAlign w:val="center"/>
            <w:hideMark/>
          </w:tcPr>
          <w:p w14:paraId="5B646CE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shd w:val="clear" w:color="auto" w:fill="A8D08D" w:themeFill="accent6" w:themeFillTint="99"/>
            <w:noWrap/>
            <w:vAlign w:val="center"/>
            <w:hideMark/>
          </w:tcPr>
          <w:p w14:paraId="36B24D8E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4" w:type="dxa"/>
            <w:shd w:val="clear" w:color="auto" w:fill="C5E0B3" w:themeFill="accent6" w:themeFillTint="66"/>
            <w:noWrap/>
            <w:vAlign w:val="center"/>
            <w:hideMark/>
          </w:tcPr>
          <w:p w14:paraId="71561B8C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shd w:val="clear" w:color="auto" w:fill="C5E0B3" w:themeFill="accent6" w:themeFillTint="66"/>
            <w:noWrap/>
            <w:vAlign w:val="center"/>
            <w:hideMark/>
          </w:tcPr>
          <w:p w14:paraId="0F6BB755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shd w:val="clear" w:color="auto" w:fill="A8D08D" w:themeFill="accent6" w:themeFillTint="99"/>
            <w:noWrap/>
            <w:vAlign w:val="center"/>
            <w:hideMark/>
          </w:tcPr>
          <w:p w14:paraId="3264F9E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4" w:type="dxa"/>
            <w:shd w:val="clear" w:color="auto" w:fill="A8D08D" w:themeFill="accent6" w:themeFillTint="99"/>
            <w:noWrap/>
            <w:vAlign w:val="center"/>
            <w:hideMark/>
          </w:tcPr>
          <w:p w14:paraId="66D37AA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shd w:val="clear" w:color="auto" w:fill="C5E0B3" w:themeFill="accent6" w:themeFillTint="66"/>
            <w:noWrap/>
            <w:vAlign w:val="center"/>
            <w:hideMark/>
          </w:tcPr>
          <w:p w14:paraId="5A14C51C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/>
                <w:color w:val="000000"/>
              </w:rPr>
              <w:t>97</w:t>
            </w:r>
          </w:p>
        </w:tc>
        <w:tc>
          <w:tcPr>
            <w:tcW w:w="554" w:type="dxa"/>
            <w:shd w:val="clear" w:color="auto" w:fill="F4B083" w:themeFill="accent2" w:themeFillTint="99"/>
            <w:noWrap/>
            <w:vAlign w:val="center"/>
            <w:hideMark/>
          </w:tcPr>
          <w:p w14:paraId="69DAB3B6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557" w:type="dxa"/>
            <w:shd w:val="clear" w:color="auto" w:fill="C45911" w:themeFill="accent2" w:themeFillShade="BF"/>
            <w:noWrap/>
            <w:vAlign w:val="center"/>
            <w:hideMark/>
          </w:tcPr>
          <w:p w14:paraId="062D469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</w:tr>
      <w:tr w:rsidR="004519A5" w:rsidRPr="00B74D2F" w14:paraId="2D2B6BFF" w14:textId="77777777" w:rsidTr="00677CF1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17015CFC" w14:textId="77777777" w:rsidR="00BD5877" w:rsidRPr="00B74D2F" w:rsidRDefault="00BD5877" w:rsidP="00677CF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b w:val="0"/>
                <w:color w:val="000000"/>
              </w:rPr>
              <w:t>2.5</w:t>
            </w:r>
          </w:p>
        </w:tc>
        <w:tc>
          <w:tcPr>
            <w:tcW w:w="876" w:type="dxa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2A58DD8E" w14:textId="5B7AF707" w:rsidR="00BD5877" w:rsidRPr="00B74D2F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bCs/>
                <w:color w:val="000000"/>
              </w:rPr>
              <w:t>200</w:t>
            </w:r>
          </w:p>
        </w:tc>
        <w:tc>
          <w:tcPr>
            <w:tcW w:w="856" w:type="dxa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vAlign w:val="center"/>
          </w:tcPr>
          <w:p w14:paraId="26E89219" w14:textId="642D3E88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B74D2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538135" w:themeFill="accent6" w:themeFillShade="BF"/>
            <w:noWrap/>
            <w:vAlign w:val="center"/>
            <w:hideMark/>
          </w:tcPr>
          <w:p w14:paraId="43399BF4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1420B570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tcBorders>
              <w:bottom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45DD3C57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tcBorders>
              <w:bottom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5360A75A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5" w:type="dxa"/>
            <w:tcBorders>
              <w:bottom w:val="single" w:sz="4" w:space="0" w:color="7F7F7F" w:themeColor="text1" w:themeTint="80"/>
            </w:tcBorders>
            <w:shd w:val="clear" w:color="auto" w:fill="A8D08D" w:themeFill="accent6" w:themeFillTint="99"/>
            <w:noWrap/>
            <w:vAlign w:val="center"/>
            <w:hideMark/>
          </w:tcPr>
          <w:p w14:paraId="3E01080E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489ECB31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0EE5E2EE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5" w:type="dxa"/>
            <w:tcBorders>
              <w:bottom w:val="single" w:sz="4" w:space="0" w:color="7F7F7F" w:themeColor="text1" w:themeTint="80"/>
            </w:tcBorders>
            <w:shd w:val="clear" w:color="auto" w:fill="C5E0B3" w:themeFill="accent6" w:themeFillTint="66"/>
            <w:noWrap/>
            <w:vAlign w:val="center"/>
            <w:hideMark/>
          </w:tcPr>
          <w:p w14:paraId="243F8CEB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F4B083" w:themeFill="accent2" w:themeFillTint="99"/>
            <w:noWrap/>
            <w:vAlign w:val="center"/>
            <w:hideMark/>
          </w:tcPr>
          <w:p w14:paraId="350DDFA6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555" w:type="dxa"/>
            <w:tcBorders>
              <w:bottom w:val="single" w:sz="4" w:space="0" w:color="7F7F7F" w:themeColor="text1" w:themeTint="80"/>
            </w:tcBorders>
            <w:shd w:val="clear" w:color="auto" w:fill="C45911" w:themeFill="accent2" w:themeFillShade="BF"/>
            <w:noWrap/>
            <w:vAlign w:val="center"/>
            <w:hideMark/>
          </w:tcPr>
          <w:p w14:paraId="7049B9B2" w14:textId="77777777" w:rsidR="00BD5877" w:rsidRPr="00505989" w:rsidRDefault="00BD5877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505989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554" w:type="dxa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5765CC10" w14:textId="3B4BEA8D" w:rsidR="00BD5877" w:rsidRPr="00505989" w:rsidRDefault="00677CF1" w:rsidP="00677C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7" w:type="dxa"/>
            <w:tcBorders>
              <w:bottom w:val="single" w:sz="4" w:space="0" w:color="7F7F7F" w:themeColor="text1" w:themeTint="80"/>
            </w:tcBorders>
            <w:shd w:val="clear" w:color="auto" w:fill="FFFFFF" w:themeFill="background1"/>
            <w:noWrap/>
            <w:vAlign w:val="center"/>
            <w:hideMark/>
          </w:tcPr>
          <w:p w14:paraId="775258F3" w14:textId="6A71E562" w:rsidR="00BD5877" w:rsidRPr="00505989" w:rsidRDefault="00677CF1" w:rsidP="00677CF1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14:paraId="30D86888" w14:textId="48145ABE" w:rsidR="0062496F" w:rsidRDefault="005C61AF" w:rsidP="0062496F">
      <w:pPr>
        <w:pStyle w:val="Caption"/>
        <w:keepNext/>
        <w:jc w:val="both"/>
      </w:pP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br w:type="page"/>
      </w:r>
      <w:r w:rsidR="00093B32">
        <w:rPr>
          <w:noProof/>
        </w:rPr>
        <w:lastRenderedPageBreak/>
        <w:drawing>
          <wp:inline distT="0" distB="0" distL="0" distR="0" wp14:anchorId="3EDFE093" wp14:editId="0107D2B0">
            <wp:extent cx="5943600" cy="4799228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4B35B" w14:textId="2969FCF9" w:rsidR="005C61AF" w:rsidRPr="00093B32" w:rsidRDefault="0062496F" w:rsidP="0062496F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677CF1"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8</w:t>
      </w:r>
      <w:r w:rsidRPr="00677CF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>. Electrochemical characterization of high mass loading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(15.1 mg cm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>)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Ti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677CF1">
        <w:rPr>
          <w:rFonts w:ascii="Times New Roman" w:hAnsi="Times New Roman" w:cs="Times New Roman"/>
          <w:i w:val="0"/>
          <w:color w:val="auto"/>
          <w:sz w:val="24"/>
          <w:szCs w:val="24"/>
        </w:rPr>
        <w:t>//CPE-K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a) </w:t>
      </w:r>
      <w:r w:rsidR="00093B32" w:rsidRPr="00093B32">
        <w:rPr>
          <w:rFonts w:ascii="Times New Roman" w:hAnsi="Times New Roman" w:cs="Times New Roman"/>
          <w:i w:val="0"/>
          <w:color w:val="auto"/>
          <w:sz w:val="24"/>
          <w:szCs w:val="24"/>
        </w:rPr>
        <w:t>Cyclic voltammograms from 5 to 10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093B32" w:rsidRP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000 mV 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b) </w:t>
      </w:r>
      <w:r w:rsidR="00093B32" w:rsidRP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GCD trace at 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>0.5</w:t>
      </w:r>
      <w:r w:rsidR="00093B32" w:rsidRPr="00093B3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– 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093B32" w:rsidRPr="00093B32">
        <w:rPr>
          <w:rFonts w:ascii="Times New Roman" w:hAnsi="Times New Roman" w:cs="Times New Roman"/>
          <w:i w:val="0"/>
          <w:color w:val="auto"/>
          <w:sz w:val="24"/>
          <w:szCs w:val="24"/>
        </w:rPr>
        <w:t>0 A g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093B32">
        <w:rPr>
          <w:rFonts w:ascii="Times New Roman" w:hAnsi="Times New Roman" w:cs="Times New Roman"/>
          <w:i w:val="0"/>
          <w:color w:val="auto"/>
          <w:sz w:val="24"/>
          <w:szCs w:val="24"/>
        </w:rPr>
        <w:t>. c) Are</w:t>
      </w:r>
      <w:r w:rsidR="006709D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al capacitance (normalized to the area of one glassy carbon electrode) as a function of scan rate. </w:t>
      </w:r>
    </w:p>
    <w:p w14:paraId="227184CD" w14:textId="025CCE1B" w:rsidR="00B61B9D" w:rsidRPr="00C23B8F" w:rsidRDefault="00255557" w:rsidP="009721D9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A83139" wp14:editId="13A6CCB4">
            <wp:extent cx="5814007" cy="4023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2" t="5827" r="33632" b="38117"/>
                    <a:stretch/>
                  </pic:blipFill>
                  <pic:spPr bwMode="auto">
                    <a:xfrm>
                      <a:off x="0" y="0"/>
                      <a:ext cx="5843721" cy="4043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005EAC" w14:textId="621A9AF2" w:rsidR="001C69AB" w:rsidRDefault="00B61B9D" w:rsidP="009721D9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DC0222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9</w:t>
      </w:r>
      <w:r w:rsidRPr="00C23B8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C37D8E">
        <w:rPr>
          <w:rFonts w:ascii="Times New Roman" w:hAnsi="Times New Roman" w:cs="Times New Roman"/>
          <w:i w:val="0"/>
          <w:color w:val="auto"/>
          <w:sz w:val="24"/>
          <w:szCs w:val="24"/>
        </w:rPr>
        <w:t>Further e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lectrochemical characterization of CPE-K//Ti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C37D8E">
        <w:rPr>
          <w:rFonts w:ascii="Times New Roman" w:hAnsi="Times New Roman" w:cs="Times New Roman"/>
          <w:i w:val="0"/>
          <w:color w:val="auto"/>
          <w:sz w:val="24"/>
          <w:szCs w:val="24"/>
        </w:rPr>
        <w:t>devices</w:t>
      </w:r>
      <w:r w:rsidR="00F41F03" w:rsidRPr="00D00FC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a) </w:t>
      </w:r>
      <w:r w:rsidR="00F41F03" w:rsidRPr="00D00FC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Cyclic voltammetry of 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CPE-K//Ti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pouch cell </w:t>
      </w:r>
      <w:r w:rsidR="00F41F03" w:rsidRPr="00D00FC5">
        <w:rPr>
          <w:rFonts w:ascii="Times New Roman" w:hAnsi="Times New Roman" w:cs="Times New Roman"/>
          <w:i w:val="0"/>
          <w:color w:val="auto"/>
          <w:sz w:val="24"/>
          <w:szCs w:val="24"/>
        </w:rPr>
        <w:t>from 5 – 10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F41F03" w:rsidRPr="00D00FC5">
        <w:rPr>
          <w:rFonts w:ascii="Times New Roman" w:hAnsi="Times New Roman" w:cs="Times New Roman"/>
          <w:i w:val="0"/>
          <w:color w:val="auto"/>
          <w:sz w:val="24"/>
          <w:szCs w:val="24"/>
        </w:rPr>
        <w:t>000 mV s</w:t>
      </w:r>
      <w:r w:rsidR="00F41F03" w:rsidRPr="00D00FC5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C37D8E">
        <w:rPr>
          <w:rFonts w:ascii="Times New Roman" w:hAnsi="Times New Roman" w:cs="Times New Roman"/>
          <w:i w:val="0"/>
          <w:color w:val="auto"/>
          <w:sz w:val="24"/>
          <w:szCs w:val="24"/>
        </w:rPr>
        <w:t>b) Areal capacitance of pouch cell and solid-state device as a function of scan rate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C37D8E">
        <w:rPr>
          <w:rFonts w:ascii="Times New Roman" w:hAnsi="Times New Roman" w:cs="Times New Roman"/>
          <w:i w:val="0"/>
          <w:color w:val="auto"/>
          <w:sz w:val="24"/>
          <w:szCs w:val="24"/>
        </w:rPr>
        <w:t>c) Constant current charge/discharge trace of pouch cell and solid-state device. d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) Cycling stability measurements of CPE-K//Ti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 xml:space="preserve">x 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pouch cell cycled repeatedly at 20 A g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-1</w:t>
      </w:r>
      <w:r w:rsidR="00F41F03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9721D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</w:p>
    <w:p w14:paraId="5D908764" w14:textId="77777777" w:rsidR="001C69AB" w:rsidRDefault="001C69A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404E75A3" w14:textId="1B559249" w:rsidR="00DC0222" w:rsidRDefault="00AA209E" w:rsidP="00DC0222">
      <w:pPr>
        <w:pStyle w:val="Caption"/>
        <w:keepNext/>
        <w:jc w:val="both"/>
      </w:pPr>
      <w:r>
        <w:rPr>
          <w:noProof/>
        </w:rPr>
        <w:lastRenderedPageBreak/>
        <w:drawing>
          <wp:inline distT="0" distB="0" distL="0" distR="0" wp14:anchorId="3CD9C958" wp14:editId="7DC00690">
            <wp:extent cx="5943600" cy="34563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B3A4" w14:textId="31B7227D" w:rsidR="009721D9" w:rsidRPr="00AA209E" w:rsidRDefault="00DC0222" w:rsidP="00DC0222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9A5294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Pr="00AA209E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10</w:t>
      </w:r>
      <w:r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AA209E"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Photographs of the </w:t>
      </w:r>
      <w:r w:rsidR="00CB209C"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t>device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-</w:t>
      </w:r>
      <w:r w:rsidR="00AA209E" w:rsidRPr="00AA209E">
        <w:rPr>
          <w:rFonts w:ascii="Times New Roman" w:hAnsi="Times New Roman" w:cs="Times New Roman"/>
          <w:i w:val="0"/>
          <w:color w:val="auto"/>
          <w:sz w:val="24"/>
          <w:szCs w:val="24"/>
        </w:rPr>
        <w:t>making process. a)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Aqueous droplet of CPE-K on 1x1 cm graphite foil current collectors. b) Photograph of 7.7 mg cm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-2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pouch cell beside a Singapore 10 cent coin. c) Ti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3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>C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2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</w:rPr>
        <w:t>x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(left) and CPE-K (right) film on graphite foils meant for solid-state device</w:t>
      </w:r>
      <w:r w:rsidR="00CB209C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="00AA209E">
        <w:rPr>
          <w:rFonts w:ascii="Times New Roman" w:hAnsi="Times New Roman" w:cs="Times New Roman"/>
          <w:i w:val="0"/>
          <w:color w:val="auto"/>
          <w:sz w:val="24"/>
          <w:szCs w:val="24"/>
        </w:rPr>
        <w:t>. d) Electrodes sandwiched and clamped using two glass slides</w:t>
      </w:r>
      <w:r w:rsidR="009A5294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apply pressure on the gel electrolyte during drying. Thicknesses of e) pouch cell and f) solid-state device.</w:t>
      </w:r>
    </w:p>
    <w:sectPr w:rsidR="009721D9" w:rsidRPr="00AA209E"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EA00B83" w16cex:dateUtc="2024-09-16T06:4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D7194A" w14:textId="77777777" w:rsidR="005477F2" w:rsidRDefault="005477F2" w:rsidP="009721D9">
      <w:pPr>
        <w:spacing w:after="0" w:line="240" w:lineRule="auto"/>
      </w:pPr>
      <w:r>
        <w:separator/>
      </w:r>
    </w:p>
  </w:endnote>
  <w:endnote w:type="continuationSeparator" w:id="0">
    <w:p w14:paraId="7192C7B4" w14:textId="77777777" w:rsidR="005477F2" w:rsidRDefault="005477F2" w:rsidP="00972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66579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EFB093" w14:textId="77777777" w:rsidR="009721D9" w:rsidRDefault="009721D9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55B48C" w14:textId="77777777" w:rsidR="009721D9" w:rsidRDefault="009721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E8602" w14:textId="77777777" w:rsidR="005477F2" w:rsidRDefault="005477F2" w:rsidP="009721D9">
      <w:pPr>
        <w:spacing w:after="0" w:line="240" w:lineRule="auto"/>
      </w:pPr>
      <w:r>
        <w:separator/>
      </w:r>
    </w:p>
  </w:footnote>
  <w:footnote w:type="continuationSeparator" w:id="0">
    <w:p w14:paraId="6DCD7257" w14:textId="77777777" w:rsidR="005477F2" w:rsidRDefault="005477F2" w:rsidP="009721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Azt7C0NDUxMrQwNzBQ0lEKTi0uzszPAykwrAUAPZZg8CwAAAA="/>
  </w:docVars>
  <w:rsids>
    <w:rsidRoot w:val="005C61AF"/>
    <w:rsid w:val="000260CB"/>
    <w:rsid w:val="00093B32"/>
    <w:rsid w:val="00134B0D"/>
    <w:rsid w:val="0016071D"/>
    <w:rsid w:val="00175AA5"/>
    <w:rsid w:val="00193C11"/>
    <w:rsid w:val="001C69AB"/>
    <w:rsid w:val="00255557"/>
    <w:rsid w:val="00271510"/>
    <w:rsid w:val="00343CAF"/>
    <w:rsid w:val="003B5905"/>
    <w:rsid w:val="004519A5"/>
    <w:rsid w:val="004B06DB"/>
    <w:rsid w:val="004E048D"/>
    <w:rsid w:val="00505989"/>
    <w:rsid w:val="005477F2"/>
    <w:rsid w:val="0058590F"/>
    <w:rsid w:val="005C61AF"/>
    <w:rsid w:val="0062496F"/>
    <w:rsid w:val="006709D2"/>
    <w:rsid w:val="00677CF1"/>
    <w:rsid w:val="006A1A09"/>
    <w:rsid w:val="006D7241"/>
    <w:rsid w:val="006F1D5E"/>
    <w:rsid w:val="00720B01"/>
    <w:rsid w:val="0073626C"/>
    <w:rsid w:val="00774B28"/>
    <w:rsid w:val="00774BF4"/>
    <w:rsid w:val="0079498F"/>
    <w:rsid w:val="00835C5E"/>
    <w:rsid w:val="008456F3"/>
    <w:rsid w:val="008469D9"/>
    <w:rsid w:val="00884DDD"/>
    <w:rsid w:val="009721D9"/>
    <w:rsid w:val="009A5294"/>
    <w:rsid w:val="00A043B6"/>
    <w:rsid w:val="00A07963"/>
    <w:rsid w:val="00A26D76"/>
    <w:rsid w:val="00A33541"/>
    <w:rsid w:val="00AA209E"/>
    <w:rsid w:val="00AA3325"/>
    <w:rsid w:val="00B61B9D"/>
    <w:rsid w:val="00B74D2F"/>
    <w:rsid w:val="00BB5F8B"/>
    <w:rsid w:val="00BD5877"/>
    <w:rsid w:val="00BE1106"/>
    <w:rsid w:val="00C23B8F"/>
    <w:rsid w:val="00C37D8E"/>
    <w:rsid w:val="00C57423"/>
    <w:rsid w:val="00C92966"/>
    <w:rsid w:val="00CB209C"/>
    <w:rsid w:val="00CB7C1B"/>
    <w:rsid w:val="00CF4C3D"/>
    <w:rsid w:val="00D04CD0"/>
    <w:rsid w:val="00DC0222"/>
    <w:rsid w:val="00E7383A"/>
    <w:rsid w:val="00F419FE"/>
    <w:rsid w:val="00F41F03"/>
    <w:rsid w:val="00F568BB"/>
    <w:rsid w:val="00FD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1DDFD"/>
  <w15:chartTrackingRefBased/>
  <w15:docId w15:val="{09C3FEFD-3B17-48F9-B9B0-E2B7D2989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61B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721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1D9"/>
  </w:style>
  <w:style w:type="paragraph" w:styleId="Footer">
    <w:name w:val="footer"/>
    <w:basedOn w:val="Normal"/>
    <w:link w:val="FooterChar"/>
    <w:uiPriority w:val="99"/>
    <w:unhideWhenUsed/>
    <w:rsid w:val="009721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1D9"/>
  </w:style>
  <w:style w:type="paragraph" w:customStyle="1" w:styleId="AuthorsFull">
    <w:name w:val="Authors Full"/>
    <w:basedOn w:val="Normal"/>
    <w:rsid w:val="009721D9"/>
    <w:pPr>
      <w:spacing w:after="0" w:line="240" w:lineRule="auto"/>
    </w:pPr>
    <w:rPr>
      <w:rFonts w:ascii="Times New Roman" w:eastAsia="MS Mincho" w:hAnsi="Times New Roman" w:cs="Times New Roman"/>
      <w:i/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9721D9"/>
    <w:rPr>
      <w:color w:val="0563C1" w:themeColor="hyperlink"/>
      <w:u w:val="single"/>
    </w:rPr>
  </w:style>
  <w:style w:type="table" w:styleId="PlainTable2">
    <w:name w:val="Plain Table 2"/>
    <w:basedOn w:val="TableNormal"/>
    <w:uiPriority w:val="42"/>
    <w:rsid w:val="00BD58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">
    <w:name w:val="List Table 1 Light"/>
    <w:basedOn w:val="TableNormal"/>
    <w:uiPriority w:val="46"/>
    <w:rsid w:val="00BD58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B20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20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20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0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09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B20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1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D5E"/>
    <w:rPr>
      <w:rFonts w:ascii="Segoe UI" w:hAnsi="Segoe UI" w:cs="Segoe UI"/>
      <w:sz w:val="18"/>
      <w:szCs w:val="18"/>
    </w:rPr>
  </w:style>
  <w:style w:type="paragraph" w:customStyle="1" w:styleId="Tableofcontents">
    <w:name w:val="Table of contents"/>
    <w:basedOn w:val="Normal"/>
    <w:autoRedefine/>
    <w:rsid w:val="0073626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customStyle="1" w:styleId="Title2">
    <w:name w:val="Title2"/>
    <w:basedOn w:val="Normal"/>
    <w:rsid w:val="0073626C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3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28" Type="http://schemas.microsoft.com/office/2018/08/relationships/commentsExtensible" Target="commentsExtensible.xml"/><Relationship Id="rId10" Type="http://schemas.openxmlformats.org/officeDocument/2006/relationships/hyperlink" Target="mailto:x.wang-22@tudelft.nl" TargetMode="External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hyperlink" Target="mailto:chmbgc@nus.edu.sg" TargetMode="Externa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c630d0-ae6b-415c-8002-e88cc76f41b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C0F15C32411840AC77D530393A54D3" ma:contentTypeVersion="16" ma:contentTypeDescription="Create a new document." ma:contentTypeScope="" ma:versionID="04f965d699c8b52956e45f6e5cf5b5b5">
  <xsd:schema xmlns:xsd="http://www.w3.org/2001/XMLSchema" xmlns:xs="http://www.w3.org/2001/XMLSchema" xmlns:p="http://schemas.microsoft.com/office/2006/metadata/properties" xmlns:ns3="12c630d0-ae6b-415c-8002-e88cc76f41be" xmlns:ns4="b52fc586-ce14-44d9-9e4c-ad32a56fda8e" targetNamespace="http://schemas.microsoft.com/office/2006/metadata/properties" ma:root="true" ma:fieldsID="4189ed793d93c15ec55c15df9bc15d09" ns3:_="" ns4:_="">
    <xsd:import namespace="12c630d0-ae6b-415c-8002-e88cc76f41be"/>
    <xsd:import namespace="b52fc586-ce14-44d9-9e4c-ad32a56fda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630d0-ae6b-415c-8002-e88cc76f41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fc586-ce14-44d9-9e4c-ad32a56fda8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50A84A-D0BD-419F-9DF0-35F707D16408}">
  <ds:schemaRefs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12c630d0-ae6b-415c-8002-e88cc76f41be"/>
    <ds:schemaRef ds:uri="http://schemas.openxmlformats.org/package/2006/metadata/core-properties"/>
    <ds:schemaRef ds:uri="http://schemas.microsoft.com/office/2006/metadata/properties"/>
    <ds:schemaRef ds:uri="http://purl.org/dc/terms/"/>
    <ds:schemaRef ds:uri="b52fc586-ce14-44d9-9e4c-ad32a56fda8e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9E6D2FC-4E3E-459E-9C23-98974DFE4D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E4F9E5-2071-4D54-984C-03C48073D4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c630d0-ae6b-415c-8002-e88cc76f41be"/>
    <ds:schemaRef ds:uri="b52fc586-ce14-44d9-9e4c-ad32a56fda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Yip Rui Peng</dc:creator>
  <cp:keywords/>
  <dc:description/>
  <cp:lastModifiedBy>Benjamin Yip Rui Peng</cp:lastModifiedBy>
  <cp:revision>12</cp:revision>
  <dcterms:created xsi:type="dcterms:W3CDTF">2024-09-13T05:30:00Z</dcterms:created>
  <dcterms:modified xsi:type="dcterms:W3CDTF">2024-10-21T10:30:00Z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0x010100B5C0F15C32411840AC77D530393A54D3</vt:lpwstr>
  </property>
  <property fmtid="{D5CDD505-2E9C-101B-9397-08002B2CF9AE}" pid="3" name="ZOTERO_PREF_1">
    <vt:lpwstr>&lt;data data-version="3" zotero-version="6.0.18"&gt;&lt;session id="Pb4zrGbJ"/&gt;&lt;style id="http://www.zotero.org/styles/nature-no-et-al" hasBibliography="1" bibliographyStyleHasBeenSet="0"/&gt;&lt;prefs&gt;&lt;pref name="fieldType" value="Field"/&gt;&lt;/prefs&gt;&lt;/data&gt;</vt:lpwstr>
  </property>
</Properties>
</file>