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BC0982" w14:textId="2D6B6AD0" w:rsidR="001548CF" w:rsidRDefault="00215278" w:rsidP="00460C67">
      <w:pPr>
        <w:rPr>
          <w:rFonts w:ascii="Times New Roman" w:hAnsi="Times New Roman" w:cs="Times New Roman"/>
          <w:b/>
          <w:sz w:val="24"/>
          <w:szCs w:val="24"/>
        </w:rPr>
      </w:pPr>
      <w:r w:rsidRPr="00AC41D0">
        <w:rPr>
          <w:b/>
          <w:bCs/>
          <w:noProof/>
        </w:rPr>
        <mc:AlternateContent>
          <mc:Choice Requires="wpg">
            <w:drawing>
              <wp:anchor distT="0" distB="0" distL="114300" distR="114300" simplePos="0" relativeHeight="251659264" behindDoc="0" locked="0" layoutInCell="1" allowOverlap="1" wp14:anchorId="0CED744C" wp14:editId="0C934D12">
                <wp:simplePos x="0" y="0"/>
                <wp:positionH relativeFrom="margin">
                  <wp:posOffset>0</wp:posOffset>
                </wp:positionH>
                <wp:positionV relativeFrom="paragraph">
                  <wp:posOffset>294640</wp:posOffset>
                </wp:positionV>
                <wp:extent cx="5562600" cy="5709920"/>
                <wp:effectExtent l="0" t="0" r="19050" b="24130"/>
                <wp:wrapSquare wrapText="bothSides"/>
                <wp:docPr id="61" name="Group 7"/>
                <wp:cNvGraphicFramePr/>
                <a:graphic xmlns:a="http://schemas.openxmlformats.org/drawingml/2006/main">
                  <a:graphicData uri="http://schemas.microsoft.com/office/word/2010/wordprocessingGroup">
                    <wpg:wgp>
                      <wpg:cNvGrpSpPr/>
                      <wpg:grpSpPr>
                        <a:xfrm>
                          <a:off x="0" y="0"/>
                          <a:ext cx="5562600" cy="5709920"/>
                          <a:chOff x="0" y="0"/>
                          <a:chExt cx="4586288" cy="4709829"/>
                        </a:xfrm>
                      </wpg:grpSpPr>
                      <wpg:grpSp>
                        <wpg:cNvPr id="62" name="Group 62"/>
                        <wpg:cNvGrpSpPr/>
                        <wpg:grpSpPr>
                          <a:xfrm>
                            <a:off x="0" y="1051037"/>
                            <a:ext cx="4586288" cy="3658792"/>
                            <a:chOff x="0" y="1051037"/>
                            <a:chExt cx="4586288" cy="3658792"/>
                          </a:xfrm>
                        </wpg:grpSpPr>
                        <wps:wsp>
                          <wps:cNvPr id="63" name="Rectangle 63"/>
                          <wps:cNvSpPr/>
                          <wps:spPr>
                            <a:xfrm>
                              <a:off x="2" y="1051037"/>
                              <a:ext cx="4578708" cy="34913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F9D7F2B" w14:textId="77777777" w:rsidR="00215278" w:rsidRDefault="00215278" w:rsidP="00215278">
                                <w:pPr>
                                  <w:pStyle w:val="NormalWeb"/>
                                  <w:spacing w:before="0" w:beforeAutospacing="0" w:after="0" w:afterAutospacing="0"/>
                                  <w:jc w:val="center"/>
                                </w:pPr>
                                <w:r>
                                  <w:rPr>
                                    <w:color w:val="000000" w:themeColor="text1"/>
                                    <w:kern w:val="24"/>
                                    <w:lang w:val="en-US"/>
                                  </w:rPr>
                                  <w:t>Newly diagnosed B-ALL (n-533)</w:t>
                                </w:r>
                              </w:p>
                            </w:txbxContent>
                          </wps:txbx>
                          <wps:bodyPr rtlCol="0" anchor="ctr"/>
                        </wps:wsp>
                        <wps:wsp>
                          <wps:cNvPr id="648355776" name="Straight Arrow Connector 648355776"/>
                          <wps:cNvCnPr>
                            <a:cxnSpLocks/>
                          </wps:cNvCnPr>
                          <wps:spPr>
                            <a:xfrm>
                              <a:off x="2262384" y="1332847"/>
                              <a:ext cx="0" cy="302679"/>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648355777" name="Rectangle 648355777"/>
                          <wps:cNvSpPr/>
                          <wps:spPr>
                            <a:xfrm>
                              <a:off x="1" y="1645963"/>
                              <a:ext cx="4578714" cy="50098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5449DDB" w14:textId="77777777" w:rsidR="00215278" w:rsidRDefault="00215278" w:rsidP="00215278">
                                <w:pPr>
                                  <w:pStyle w:val="NormalWeb"/>
                                  <w:spacing w:before="0" w:beforeAutospacing="0" w:after="0" w:afterAutospacing="0"/>
                                  <w:jc w:val="center"/>
                                </w:pPr>
                                <w:r>
                                  <w:rPr>
                                    <w:color w:val="000000" w:themeColor="text1"/>
                                    <w:kern w:val="24"/>
                                    <w:lang w:val="en-US"/>
                                  </w:rPr>
                                  <w:t xml:space="preserve">Screened for common translocations </w:t>
                                </w:r>
                                <w:r>
                                  <w:rPr>
                                    <w:i/>
                                    <w:iCs/>
                                    <w:color w:val="000000" w:themeColor="text1"/>
                                    <w:kern w:val="24"/>
                                    <w:lang w:val="en-US"/>
                                  </w:rPr>
                                  <w:t>ETV</w:t>
                                </w:r>
                                <w:proofErr w:type="gramStart"/>
                                <w:r>
                                  <w:rPr>
                                    <w:i/>
                                    <w:iCs/>
                                    <w:color w:val="000000" w:themeColor="text1"/>
                                    <w:kern w:val="24"/>
                                    <w:lang w:val="en-US"/>
                                  </w:rPr>
                                  <w:t>6::</w:t>
                                </w:r>
                                <w:proofErr w:type="gramEnd"/>
                                <w:r>
                                  <w:rPr>
                                    <w:i/>
                                    <w:iCs/>
                                    <w:color w:val="000000" w:themeColor="text1"/>
                                    <w:kern w:val="24"/>
                                    <w:lang w:val="en-US"/>
                                  </w:rPr>
                                  <w:t xml:space="preserve">RUNX1, BCR::ABL1, TCF3::PBX1, KMT2A::AFF1 </w:t>
                                </w:r>
                                <w:r>
                                  <w:rPr>
                                    <w:color w:val="000000" w:themeColor="text1"/>
                                    <w:kern w:val="24"/>
                                    <w:lang w:val="en-US"/>
                                  </w:rPr>
                                  <w:t xml:space="preserve">and </w:t>
                                </w:r>
                                <w:r>
                                  <w:rPr>
                                    <w:i/>
                                    <w:iCs/>
                                    <w:color w:val="000000" w:themeColor="text1"/>
                                    <w:kern w:val="24"/>
                                    <w:lang w:val="en-US"/>
                                  </w:rPr>
                                  <w:t xml:space="preserve">IKZF1 </w:t>
                                </w:r>
                                <w:r>
                                  <w:rPr>
                                    <w:color w:val="000000" w:themeColor="text1"/>
                                    <w:kern w:val="24"/>
                                    <w:lang w:val="en-US"/>
                                  </w:rPr>
                                  <w:t>deletion testing (PCR)</w:t>
                                </w:r>
                              </w:p>
                            </w:txbxContent>
                          </wps:txbx>
                          <wps:bodyPr rtlCol="0" anchor="ctr"/>
                        </wps:wsp>
                        <wps:wsp>
                          <wps:cNvPr id="648355778" name="Rectangle 648355778"/>
                          <wps:cNvSpPr/>
                          <wps:spPr>
                            <a:xfrm>
                              <a:off x="0" y="2444415"/>
                              <a:ext cx="1848041" cy="50098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DD25644" w14:textId="77777777" w:rsidR="00215278" w:rsidRDefault="00215278" w:rsidP="00215278">
                                <w:pPr>
                                  <w:pStyle w:val="NormalWeb"/>
                                  <w:spacing w:before="0" w:beforeAutospacing="0" w:after="0" w:afterAutospacing="0"/>
                                  <w:jc w:val="center"/>
                                </w:pPr>
                                <w:r>
                                  <w:rPr>
                                    <w:color w:val="000000" w:themeColor="text1"/>
                                    <w:kern w:val="24"/>
                                    <w:lang w:val="en-US"/>
                                  </w:rPr>
                                  <w:t>Positive for common translocations (n-141)</w:t>
                                </w:r>
                              </w:p>
                            </w:txbxContent>
                          </wps:txbx>
                          <wps:bodyPr rtlCol="0" anchor="ctr"/>
                        </wps:wsp>
                        <wps:wsp>
                          <wps:cNvPr id="648355779" name="Rectangle 648355779"/>
                          <wps:cNvSpPr/>
                          <wps:spPr>
                            <a:xfrm>
                              <a:off x="2257029" y="2444415"/>
                              <a:ext cx="2321686" cy="50098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8F96CB0" w14:textId="77777777" w:rsidR="00215278" w:rsidRDefault="00215278" w:rsidP="00215278">
                                <w:pPr>
                                  <w:pStyle w:val="NormalWeb"/>
                                  <w:spacing w:before="0" w:beforeAutospacing="0" w:after="0" w:afterAutospacing="0"/>
                                  <w:jc w:val="center"/>
                                </w:pPr>
                                <w:r>
                                  <w:rPr>
                                    <w:color w:val="000000" w:themeColor="text1"/>
                                    <w:kern w:val="24"/>
                                    <w:lang w:val="en-US"/>
                                  </w:rPr>
                                  <w:t>Negative for common translocations (n-392)</w:t>
                                </w:r>
                              </w:p>
                            </w:txbxContent>
                          </wps:txbx>
                          <wps:bodyPr rtlCol="0" anchor="ctr"/>
                        </wps:wsp>
                        <wps:wsp>
                          <wps:cNvPr id="648355780" name="Straight Connector 648355780"/>
                          <wps:cNvCnPr/>
                          <wps:spPr>
                            <a:xfrm>
                              <a:off x="2276674" y="2146950"/>
                              <a:ext cx="0" cy="12524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48355781" name="Straight Connector 648355781"/>
                          <wps:cNvCnPr>
                            <a:cxnSpLocks/>
                          </wps:cNvCnPr>
                          <wps:spPr>
                            <a:xfrm flipV="1">
                              <a:off x="924020" y="2260023"/>
                              <a:ext cx="2206540" cy="1738"/>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wps:wsp>
                          <wps:cNvPr id="648355782" name="Straight Arrow Connector 648355782"/>
                          <wps:cNvCnPr>
                            <a:cxnSpLocks/>
                          </wps:cNvCnPr>
                          <wps:spPr>
                            <a:xfrm flipH="1">
                              <a:off x="921496" y="2272198"/>
                              <a:ext cx="2524" cy="177431"/>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648355783" name="Straight Arrow Connector 648355783"/>
                          <wps:cNvCnPr>
                            <a:cxnSpLocks/>
                          </wps:cNvCnPr>
                          <wps:spPr>
                            <a:xfrm flipH="1">
                              <a:off x="3130560" y="2260023"/>
                              <a:ext cx="2524" cy="177431"/>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648355784" name="Rectangle 648355784"/>
                          <wps:cNvSpPr/>
                          <wps:spPr>
                            <a:xfrm>
                              <a:off x="2257029" y="3194156"/>
                              <a:ext cx="2329258" cy="50098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1664E76" w14:textId="77777777" w:rsidR="00215278" w:rsidRDefault="00215278" w:rsidP="00215278">
                                <w:pPr>
                                  <w:pStyle w:val="NormalWeb"/>
                                  <w:spacing w:before="0" w:beforeAutospacing="0" w:after="0" w:afterAutospacing="0"/>
                                  <w:jc w:val="center"/>
                                </w:pPr>
                                <w:r>
                                  <w:rPr>
                                    <w:color w:val="000000" w:themeColor="text1"/>
                                    <w:kern w:val="24"/>
                                    <w:lang w:val="en-US"/>
                                  </w:rPr>
                                  <w:t>Targeted RNA sequencing (NARASIMHA)</w:t>
                                </w:r>
                              </w:p>
                            </w:txbxContent>
                          </wps:txbx>
                          <wps:bodyPr rtlCol="0" anchor="ctr"/>
                        </wps:wsp>
                        <wps:wsp>
                          <wps:cNvPr id="648355785" name="Straight Arrow Connector 648355785"/>
                          <wps:cNvCnPr>
                            <a:cxnSpLocks/>
                          </wps:cNvCnPr>
                          <wps:spPr>
                            <a:xfrm flipH="1">
                              <a:off x="3128035" y="2961059"/>
                              <a:ext cx="2524" cy="1774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48355786" name="Rectangle 648355786"/>
                          <wps:cNvSpPr/>
                          <wps:spPr>
                            <a:xfrm>
                              <a:off x="2257030" y="3838017"/>
                              <a:ext cx="2329258" cy="347934"/>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20D83C5" w14:textId="77777777" w:rsidR="00215278" w:rsidRDefault="00215278" w:rsidP="00215278">
                                <w:pPr>
                                  <w:pStyle w:val="NormalWeb"/>
                                  <w:spacing w:before="0" w:beforeAutospacing="0" w:after="0" w:afterAutospacing="0"/>
                                  <w:jc w:val="center"/>
                                </w:pPr>
                                <w:r>
                                  <w:rPr>
                                    <w:color w:val="000000" w:themeColor="text1"/>
                                    <w:kern w:val="24"/>
                                    <w:lang w:val="en-US"/>
                                  </w:rPr>
                                  <w:t>Negative for translocations</w:t>
                                </w:r>
                              </w:p>
                            </w:txbxContent>
                          </wps:txbx>
                          <wps:bodyPr rtlCol="0" anchor="ctr"/>
                        </wps:wsp>
                        <wps:wsp>
                          <wps:cNvPr id="648355787" name="Straight Arrow Connector 648355787"/>
                          <wps:cNvCnPr>
                            <a:cxnSpLocks/>
                          </wps:cNvCnPr>
                          <wps:spPr>
                            <a:xfrm flipH="1">
                              <a:off x="3137556" y="3684965"/>
                              <a:ext cx="2524" cy="1774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48355788" name="Rectangle 648355788"/>
                          <wps:cNvSpPr/>
                          <wps:spPr>
                            <a:xfrm>
                              <a:off x="2266550" y="4361895"/>
                              <a:ext cx="2319738" cy="347934"/>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44F99BF5" w14:textId="1B9E39E4" w:rsidR="00215278" w:rsidRDefault="00215278" w:rsidP="00215278">
                                <w:pPr>
                                  <w:pStyle w:val="NormalWeb"/>
                                  <w:spacing w:before="0" w:beforeAutospacing="0" w:after="0" w:afterAutospacing="0"/>
                                  <w:jc w:val="center"/>
                                </w:pPr>
                                <w:r>
                                  <w:rPr>
                                    <w:color w:val="000000" w:themeColor="text1"/>
                                    <w:kern w:val="24"/>
                                    <w:lang w:val="en-US"/>
                                  </w:rPr>
                                  <w:t>Targeted DNA Sequencing (n-1</w:t>
                                </w:r>
                                <w:r w:rsidR="001F75B1">
                                  <w:rPr>
                                    <w:color w:val="000000" w:themeColor="text1"/>
                                    <w:kern w:val="24"/>
                                    <w:lang w:val="en-US"/>
                                  </w:rPr>
                                  <w:t>24</w:t>
                                </w:r>
                                <w:r>
                                  <w:rPr>
                                    <w:color w:val="000000" w:themeColor="text1"/>
                                    <w:kern w:val="24"/>
                                    <w:lang w:val="en-US"/>
                                  </w:rPr>
                                  <w:t>)</w:t>
                                </w:r>
                              </w:p>
                            </w:txbxContent>
                          </wps:txbx>
                          <wps:bodyPr rtlCol="0" anchor="ctr"/>
                        </wps:wsp>
                        <wps:wsp>
                          <wps:cNvPr id="648355789" name="Straight Arrow Connector 648355789"/>
                          <wps:cNvCnPr>
                            <a:cxnSpLocks/>
                          </wps:cNvCnPr>
                          <wps:spPr>
                            <a:xfrm flipH="1">
                              <a:off x="3147076" y="4194555"/>
                              <a:ext cx="2524" cy="1774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648355791" name="Rectangle 648355791"/>
                        <wps:cNvSpPr/>
                        <wps:spPr>
                          <a:xfrm>
                            <a:off x="7579" y="0"/>
                            <a:ext cx="4578708" cy="257076"/>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A20C859" w14:textId="77777777" w:rsidR="00215278" w:rsidRDefault="00215278" w:rsidP="00215278">
                              <w:pPr>
                                <w:pStyle w:val="NormalWeb"/>
                                <w:spacing w:before="0" w:beforeAutospacing="0" w:after="0" w:afterAutospacing="0"/>
                                <w:jc w:val="center"/>
                              </w:pPr>
                              <w:r>
                                <w:rPr>
                                  <w:color w:val="000000" w:themeColor="text1"/>
                                  <w:kern w:val="24"/>
                                  <w:lang w:val="en-US"/>
                                </w:rPr>
                                <w:t>Screened for study (n-674)</w:t>
                              </w:r>
                            </w:p>
                          </w:txbxContent>
                        </wps:txbx>
                        <wps:bodyPr rtlCol="0" anchor="ctr"/>
                      </wps:wsp>
                      <wps:wsp>
                        <wps:cNvPr id="648355792" name="Straight Arrow Connector 648355792"/>
                        <wps:cNvCnPr>
                          <a:cxnSpLocks/>
                        </wps:cNvCnPr>
                        <wps:spPr>
                          <a:xfrm flipH="1">
                            <a:off x="2289356" y="257076"/>
                            <a:ext cx="7577" cy="793969"/>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648355793" name="Rectangle 648355793"/>
                        <wps:cNvSpPr/>
                        <wps:spPr>
                          <a:xfrm>
                            <a:off x="2426541" y="321271"/>
                            <a:ext cx="2152168" cy="686315"/>
                          </a:xfrm>
                          <a:prstGeom prst="rect">
                            <a:avLst/>
                          </a:prstGeom>
                          <a:ln/>
                        </wps:spPr>
                        <wps:style>
                          <a:lnRef idx="2">
                            <a:schemeClr val="dk1"/>
                          </a:lnRef>
                          <a:fillRef idx="1">
                            <a:schemeClr val="lt1"/>
                          </a:fillRef>
                          <a:effectRef idx="0">
                            <a:schemeClr val="dk1"/>
                          </a:effectRef>
                          <a:fontRef idx="minor">
                            <a:schemeClr val="dk1"/>
                          </a:fontRef>
                        </wps:style>
                        <wps:txbx>
                          <w:txbxContent>
                            <w:p w14:paraId="1996F991" w14:textId="77777777" w:rsidR="00215278" w:rsidRDefault="00215278" w:rsidP="00215278">
                              <w:pPr>
                                <w:pStyle w:val="NormalWeb"/>
                                <w:spacing w:before="0" w:beforeAutospacing="0" w:after="0" w:afterAutospacing="0"/>
                                <w:jc w:val="center"/>
                              </w:pPr>
                              <w:r>
                                <w:rPr>
                                  <w:color w:val="000000" w:themeColor="text1"/>
                                  <w:kern w:val="24"/>
                                  <w:lang w:val="en-US"/>
                                </w:rPr>
                                <w:t xml:space="preserve">Excluded from study (n-141) </w:t>
                              </w:r>
                            </w:p>
                            <w:p w14:paraId="4FF0FD87" w14:textId="77777777" w:rsidR="00215278" w:rsidRDefault="00215278" w:rsidP="00215278">
                              <w:pPr>
                                <w:pStyle w:val="ListParagraph"/>
                                <w:numPr>
                                  <w:ilvl w:val="0"/>
                                  <w:numId w:val="1"/>
                                </w:numPr>
                                <w:rPr>
                                  <w:rFonts w:eastAsia="Times New Roman"/>
                                </w:rPr>
                              </w:pPr>
                              <w:r>
                                <w:rPr>
                                  <w:color w:val="000000" w:themeColor="text1"/>
                                  <w:kern w:val="24"/>
                                  <w:lang w:val="en-US"/>
                                </w:rPr>
                                <w:t>Not treated with ICiCLe-ALL-14 protocol (n-127)</w:t>
                              </w:r>
                            </w:p>
                            <w:p w14:paraId="6B3AF351" w14:textId="77777777" w:rsidR="00215278" w:rsidRDefault="00215278" w:rsidP="00215278">
                              <w:pPr>
                                <w:pStyle w:val="ListParagraph"/>
                                <w:numPr>
                                  <w:ilvl w:val="0"/>
                                  <w:numId w:val="1"/>
                                </w:numPr>
                                <w:rPr>
                                  <w:rFonts w:eastAsia="Times New Roman"/>
                                </w:rPr>
                              </w:pPr>
                              <w:r>
                                <w:rPr>
                                  <w:color w:val="000000" w:themeColor="text1"/>
                                  <w:kern w:val="24"/>
                                  <w:lang w:val="en-US"/>
                                </w:rPr>
                                <w:t>Poor RNA quality (n-14)</w:t>
                              </w:r>
                            </w:p>
                          </w:txbxContent>
                        </wps:txbx>
                        <wps:bodyPr rtlCol="0" anchor="ctr"/>
                      </wps:wsp>
                    </wpg:wgp>
                  </a:graphicData>
                </a:graphic>
                <wp14:sizeRelH relativeFrom="margin">
                  <wp14:pctWidth>0</wp14:pctWidth>
                </wp14:sizeRelH>
                <wp14:sizeRelV relativeFrom="margin">
                  <wp14:pctHeight>0</wp14:pctHeight>
                </wp14:sizeRelV>
              </wp:anchor>
            </w:drawing>
          </mc:Choice>
          <mc:Fallback>
            <w:pict>
              <v:group w14:anchorId="0CED744C" id="Group 7" o:spid="_x0000_s1026" style="position:absolute;margin-left:0;margin-top:23.2pt;width:438pt;height:449.6pt;z-index:251659264;mso-position-horizontal-relative:margin;mso-width-relative:margin;mso-height-relative:margin" coordsize="45862,47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NWQfwYAAAo0AAAOAAAAZHJzL2Uyb0RvYy54bWzsW1uTmzYYfe9M/wPj965BAnGZeDOdTbJ9&#10;yDSZbNt3BYPNBCNGKGvvv+8nCQS2IbZ3HdfdIQ+OWfh04+jofBe/ebtZ5dZjwquMFbOJc2NPrKSI&#10;2TwrFrPJ3399+C2YWJWgxZzmrEhmk6ekmry9/fWXN+syShBbsnyecAsaKapoXc4mSyHKaDqt4mWy&#10;otUNK5MCbqaMr6iAS76YzjldQ+urfIpsm0zXjM9LzuKkquCv7/TNya1qP02TWHxK0yoRVj6bwNiE&#10;+uTq86v8nN6+odGC03KZxfUw6DNGsaJZAZ2apt5RQa3vPNtrapXFnFUsFTcxW01ZmmZxouYAs3Hs&#10;ndncc/a9VHNZROtFaZYJlnZnnZ7dbPzn42duZfPZhDgTq6AreEeqW8uXa7MuFxE8cs/Lh/Izr/+w&#10;0FdyupuUr+T/MBFro1b1yaxqshFWDH/0PIKIDYsfwz3Pt8MQ1eseL+Hl7NnFy/e1pesFBAWAIGnp&#10;gmWAQjmqadPxVI7PDMdcmHE3U0PbUyPo2XNzbM+xsVobGjUz3BonJl7gh6oHGu3McMt6YJ4d+8F5&#10;wl6pWjhUL4PDw5KWiUJZJd91s2a4WbMvsIloscgTi2C9buo5A4gqqgAbPWiAVYf3tjXndsX8wLfr&#10;N4vd0MHB1oulUckrcZ+wlSW/zCYcBqE2GH38WAmNgeYR2XVeyM+K5dn8Q5bn6kJySHKXc+uRwu4X&#10;G6fuovMUrLC0BBw1s1DfxFOe6Fa/JCnsDkAxUr0rXmrbpHGcFILU7eYFPC3NUhiBMXT6DHPRDKZ+&#10;Vpoliq+Mod1nuN2jsVC9skIY41VWMN7XwPyb6Vk/38xez1lOX2y+btRWr6KvbP4EgOAiv2OaQWkR&#10;LxkQaCy4mrY0ADDKLXcJVLoB9jzfJw04HwSn2WIprN85Z2vrjhUFIIVxi5gn66kAtO8KjdN4UzyU&#10;H1n8rZJAkgM3N+XFEJwRQThwNagxRoG7QwM1xWEbEX+bp/bgXNXDNuPVKDkvuGkkaJa/L+aWeCqB&#10;1wXP1D42cG1evdq+auY9wO/Fb4uiftD3Yrc1OhH0reEzAN/u+3QI8BrlDRYuj2a/QXOHamv41qfw&#10;kYwLR7hkXOJ6oebq7hkFjOsAetUpbMNZ2tBWc4Y3dDoy7ta5cSnGVSJMcbPciddKvHBka5G4D1V1&#10;gtdkelgcAFkCVJEL/xxPMlILVSdwA9sFLBuoql1g1NAem47iQEuci0K11tDXC9VwGKrqdD4aqgiB&#10;1wKexyBgEUYOAT5tATty61WpWcWtxnm5Um4NgBI1txpRa+RhI2fhmW05W18NSlafEF9LVuS4JPRq&#10;z7vxw2rJ6iAPuQc8sDwrpJdIo/OK1OM9sF4hqimvcWlOEKPbhicK0m3jVylKAxMO+gEajVwx/hOE&#10;PI53rqw0z8p/QLAqXNUxpBC5NgSIFNnKuBFS+7ZVBwjZxHMb4PqHAgfXCdvWozkBsq3RiXBtDV8n&#10;VE14z0B1IBoQGNHyAsD+sQdYxw3h8JdyFvnICRWRdgAL3KqlgeP7Lm64asDtGiMDMnR2bDjstSPb&#10;BGEPItuomzMiGzvY9siPuHiEdifSOwa9tpNxA4kFHdmSgdSBSALcakXu4UhC1z3DTgjhBOV9dQgY&#10;oxB5dbLBG0NfR7PrReMJ5qVfq3vmNYA9yMUqnlWHF56Rc1CyeFdlYAcFNoYxSJkREsiqqSBGB+U/&#10;nYvHbEI3i3it2QQZhxoiVkWMp8W9sD7+cYAD29lJeEHcqyVW7PohVpt4DNTGbSK2VxRclFgNG10r&#10;sZr010Fi7WbDzkes2IcSFUWsmATgyu2kI2Rs7Of6byOx/i+IdTj3BTVKpylWQjwIxcqz3MXECcJd&#10;yIGOlZEtlVAYifX4eMBFidWcptdKrCYDdpBYuwmx8xErlOzJSh2JcvDLPG8X5SOxgnw/oujrP4hy&#10;tZWVl63sCk3aYa/AAG6dQrK+B0VYEns7KS/X65QeyswuQBTaHUXrVYlWo/SulFuhwHc3WTuQc9Cl&#10;wGeOBiAUhLgWrS2G22AAgB9UtayfAacsJGM1IuStd2p3W1Ids2n6BwA6MBuanMM+A3eTDEcEZl0E&#10;mVpdkwgVMshXBN6CFDmerJvROIX6GawLwV7CxJLI5VbT9RDqW09Ja28td4uH/pRsb/nBs+u4296M&#10;ADh7Dbd6q8YzOYFI1eEPPzhRp2L94xj5i5butVro9ic8t/8CAAD//wMAUEsDBBQABgAIAAAAIQB6&#10;6i423wAAAAcBAAAPAAAAZHJzL2Rvd25yZXYueG1sTI/BTsMwEETvSPyDtUjcqBNIQxuyqaoKOFVI&#10;tEioNzfeJlFjO4rdJP17lhMcd2Y08zZfTaYVA/W+cRYhnkUgyJZON7ZC+Nq/PSxA+KCsVq2zhHAl&#10;D6vi9iZXmXaj/aRhFyrBJdZnCqEOocuk9GVNRvmZ68iyd3K9UYHPvpK6VyOXm1Y+RlEqjWosL9Sq&#10;o01N5Xl3MQjvoxrXT/HrsD2fNtfDfv7xvY0J8f5uWr+ACDSFvzD84jM6FMx0dBervWgR+JGAkKQJ&#10;CHYXzykLR4RlMk9BFrn8z1/8AAAA//8DAFBLAQItABQABgAIAAAAIQC2gziS/gAAAOEBAAATAAAA&#10;AAAAAAAAAAAAAAAAAABbQ29udGVudF9UeXBlc10ueG1sUEsBAi0AFAAGAAgAAAAhADj9If/WAAAA&#10;lAEAAAsAAAAAAAAAAAAAAAAALwEAAF9yZWxzLy5yZWxzUEsBAi0AFAAGAAgAAAAhAN+k1ZB/BgAA&#10;CjQAAA4AAAAAAAAAAAAAAAAALgIAAGRycy9lMm9Eb2MueG1sUEsBAi0AFAAGAAgAAAAhAHrqLjbf&#10;AAAABwEAAA8AAAAAAAAAAAAAAAAA2QgAAGRycy9kb3ducmV2LnhtbFBLBQYAAAAABAAEAPMAAADl&#10;CQAAAAA=&#10;">
                <v:group id="Group 62" o:spid="_x0000_s1027" style="position:absolute;top:10510;width:45862;height:36588" coordorigin=",10510" coordsize="45862,36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rect id="Rectangle 63" o:spid="_x0000_s1028" style="position:absolute;top:10510;width:45787;height:34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nA+wwAAANsAAAAPAAAAZHJzL2Rvd25yZXYueG1sRI/BasMw&#10;EETvhf6D2EJvjZwUQnEimxASCDm01M4HLNbWMrVWiqQkzt9XhUKPw8y8Ydb1ZEdxpRAHxwrmswIE&#10;cef0wL2CU7t/eQMRE7LG0TEpuFOEunp8WGOp3Y0/6dqkXmQIxxIVmJR8KWXsDFmMM+eJs/flgsWU&#10;ZeilDnjLcDvKRVEspcWB84JBT1tD3XdzsQp82PgPszPtfnoPh2N/aQZzviv1/DRtViASTek//Nc+&#10;aAXLV/j9kn+ArH4AAAD//wMAUEsBAi0AFAAGAAgAAAAhANvh9svuAAAAhQEAABMAAAAAAAAAAAAA&#10;AAAAAAAAAFtDb250ZW50X1R5cGVzXS54bWxQSwECLQAUAAYACAAAACEAWvQsW78AAAAVAQAACwAA&#10;AAAAAAAAAAAAAAAfAQAAX3JlbHMvLnJlbHNQSwECLQAUAAYACAAAACEA1CpwPsMAAADbAAAADwAA&#10;AAAAAAAAAAAAAAAHAgAAZHJzL2Rvd25yZXYueG1sUEsFBgAAAAADAAMAtwAAAPcCAAAAAA==&#10;" fillcolor="white [3201]" strokecolor="black [3213]" strokeweight="1pt">
                    <v:textbox>
                      <w:txbxContent>
                        <w:p w14:paraId="0F9D7F2B" w14:textId="77777777" w:rsidR="00215278" w:rsidRDefault="00215278" w:rsidP="00215278">
                          <w:pPr>
                            <w:pStyle w:val="NormalWeb"/>
                            <w:spacing w:before="0" w:beforeAutospacing="0" w:after="0" w:afterAutospacing="0"/>
                            <w:jc w:val="center"/>
                          </w:pPr>
                          <w:r>
                            <w:rPr>
                              <w:color w:val="000000" w:themeColor="text1"/>
                              <w:kern w:val="24"/>
                              <w:lang w:val="en-US"/>
                            </w:rPr>
                            <w:t>Newly diagnosed B-ALL (n-533)</w:t>
                          </w:r>
                        </w:p>
                      </w:txbxContent>
                    </v:textbox>
                  </v:rect>
                  <v:shapetype id="_x0000_t32" coordsize="21600,21600" o:spt="32" o:oned="t" path="m,l21600,21600e" filled="f">
                    <v:path arrowok="t" fillok="f" o:connecttype="none"/>
                    <o:lock v:ext="edit" shapetype="t"/>
                  </v:shapetype>
                  <v:shape id="Straight Arrow Connector 648355776" o:spid="_x0000_s1029" type="#_x0000_t32" style="position:absolute;left:22623;top:13328;width:0;height:30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h0oywAAAOIAAAAPAAAAZHJzL2Rvd25yZXYueG1sRI9BS8NA&#10;FITvgv9heUJvdqOxSY3dFimISi81LVVvj+wzWcy+Ddm1if++KxQ8DjPzDbNYjbYVR+q9cazgZpqA&#10;IK6cNlwr2O+erucgfEDW2DomBb/kYbW8vFhgod3Ab3QsQy0ihH2BCpoQukJKXzVk0U9dRxy9L9db&#10;DFH2tdQ9DhFuW3mbJJm0aDguNNjRuqHqu/yxCqr9x/s9bc1BD6nJn7vN5yYtX5WaXI2PDyACjeE/&#10;fG6/aAXZ3TydzfI8g79L8Q7I5QkAAP//AwBQSwECLQAUAAYACAAAACEA2+H2y+4AAACFAQAAEwAA&#10;AAAAAAAAAAAAAAAAAAAAW0NvbnRlbnRfVHlwZXNdLnhtbFBLAQItABQABgAIAAAAIQBa9CxbvwAA&#10;ABUBAAALAAAAAAAAAAAAAAAAAB8BAABfcmVscy8ucmVsc1BLAQItABQABgAIAAAAIQDKsh0oywAA&#10;AOIAAAAPAAAAAAAAAAAAAAAAAAcCAABkcnMvZG93bnJldi54bWxQSwUGAAAAAAMAAwC3AAAA/wIA&#10;AAAA&#10;" strokecolor="black [3213]" strokeweight=".5pt">
                    <v:stroke endarrow="block" joinstyle="miter"/>
                    <o:lock v:ext="edit" shapetype="f"/>
                  </v:shape>
                  <v:rect id="Rectangle 648355777" o:spid="_x0000_s1030" style="position:absolute;top:16459;width:45787;height:5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5gygAAAOIAAAAPAAAAZHJzL2Rvd25yZXYueG1sRI/RagIx&#10;FETfC/2HcAt9q1ltdWU1ipQK0oeWrv2Ay+a6WdzcxCTq+vdNodDHYWbOMMv1YHtxoRA7xwrGowIE&#10;ceN0x62C7/32aQ4iJmSNvWNScKMI69X93RIr7a78RZc6tSJDOFaowKTkKyljY8hiHDlPnL2DCxZT&#10;lqGVOuA1w20vJ0UxkxY7zgsGPb0aao712SrwYeM/zZvZb4ePsHtvz3VnTjelHh+GzQJEoiH9h//a&#10;O61g9jJ/nk7LsoTfS/kOyNUPAAAA//8DAFBLAQItABQABgAIAAAAIQDb4fbL7gAAAIUBAAATAAAA&#10;AAAAAAAAAAAAAAAAAABbQ29udGVudF9UeXBlc10ueG1sUEsBAi0AFAAGAAgAAAAhAFr0LFu/AAAA&#10;FQEAAAsAAAAAAAAAAAAAAAAAHwEAAF9yZWxzLy5yZWxzUEsBAi0AFAAGAAgAAAAhAL9JnmDKAAAA&#10;4gAAAA8AAAAAAAAAAAAAAAAABwIAAGRycy9kb3ducmV2LnhtbFBLBQYAAAAAAwADALcAAAD+AgAA&#10;AAA=&#10;" fillcolor="white [3201]" strokecolor="black [3213]" strokeweight="1pt">
                    <v:textbox>
                      <w:txbxContent>
                        <w:p w14:paraId="15449DDB" w14:textId="77777777" w:rsidR="00215278" w:rsidRDefault="00215278" w:rsidP="00215278">
                          <w:pPr>
                            <w:pStyle w:val="NormalWeb"/>
                            <w:spacing w:before="0" w:beforeAutospacing="0" w:after="0" w:afterAutospacing="0"/>
                            <w:jc w:val="center"/>
                          </w:pPr>
                          <w:r>
                            <w:rPr>
                              <w:color w:val="000000" w:themeColor="text1"/>
                              <w:kern w:val="24"/>
                              <w:lang w:val="en-US"/>
                            </w:rPr>
                            <w:t xml:space="preserve">Screened for common translocations </w:t>
                          </w:r>
                          <w:r>
                            <w:rPr>
                              <w:i/>
                              <w:iCs/>
                              <w:color w:val="000000" w:themeColor="text1"/>
                              <w:kern w:val="24"/>
                              <w:lang w:val="en-US"/>
                            </w:rPr>
                            <w:t>ETV</w:t>
                          </w:r>
                          <w:proofErr w:type="gramStart"/>
                          <w:r>
                            <w:rPr>
                              <w:i/>
                              <w:iCs/>
                              <w:color w:val="000000" w:themeColor="text1"/>
                              <w:kern w:val="24"/>
                              <w:lang w:val="en-US"/>
                            </w:rPr>
                            <w:t>6::</w:t>
                          </w:r>
                          <w:proofErr w:type="gramEnd"/>
                          <w:r>
                            <w:rPr>
                              <w:i/>
                              <w:iCs/>
                              <w:color w:val="000000" w:themeColor="text1"/>
                              <w:kern w:val="24"/>
                              <w:lang w:val="en-US"/>
                            </w:rPr>
                            <w:t xml:space="preserve">RUNX1, BCR::ABL1, TCF3::PBX1, KMT2A::AFF1 </w:t>
                          </w:r>
                          <w:r>
                            <w:rPr>
                              <w:color w:val="000000" w:themeColor="text1"/>
                              <w:kern w:val="24"/>
                              <w:lang w:val="en-US"/>
                            </w:rPr>
                            <w:t xml:space="preserve">and </w:t>
                          </w:r>
                          <w:r>
                            <w:rPr>
                              <w:i/>
                              <w:iCs/>
                              <w:color w:val="000000" w:themeColor="text1"/>
                              <w:kern w:val="24"/>
                              <w:lang w:val="en-US"/>
                            </w:rPr>
                            <w:t xml:space="preserve">IKZF1 </w:t>
                          </w:r>
                          <w:r>
                            <w:rPr>
                              <w:color w:val="000000" w:themeColor="text1"/>
                              <w:kern w:val="24"/>
                              <w:lang w:val="en-US"/>
                            </w:rPr>
                            <w:t>deletion testing (PCR)</w:t>
                          </w:r>
                        </w:p>
                      </w:txbxContent>
                    </v:textbox>
                  </v:rect>
                  <v:rect id="Rectangle 648355778" o:spid="_x0000_s1031" style="position:absolute;top:24444;width:18480;height:5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goSxwAAAOIAAAAPAAAAZHJzL2Rvd25yZXYueG1sRE/LagIx&#10;FN0X+g/hFrrrZNr6YmoUEQVxUenYD7hMbidDJzdpEnX8e7MQujyc93w52F6cKcTOsYLXogRB3Djd&#10;cavg+7h9mYGICVlj75gUXCnCcvH4MMdKuwt/0blOrcghHCtUYFLylZSxMWQxFs4TZ+7HBYspw9BK&#10;HfCSw20v38pyIi12nBsMeloban7rk1Xgw8ofzMYct8Nn2O3bU92Zv6tSz0/D6gNEoiH9i+/unVYw&#10;Gc3ex+PpNG/Ol/IdkIsbAAAA//8DAFBLAQItABQABgAIAAAAIQDb4fbL7gAAAIUBAAATAAAAAAAA&#10;AAAAAAAAAAAAAABbQ29udGVudF9UeXBlc10ueG1sUEsBAi0AFAAGAAgAAAAhAFr0LFu/AAAAFQEA&#10;AAsAAAAAAAAAAAAAAAAAHwEAAF9yZWxzLy5yZWxzUEsBAi0AFAAGAAgAAAAhAM7WChLHAAAA4gAA&#10;AA8AAAAAAAAAAAAAAAAABwIAAGRycy9kb3ducmV2LnhtbFBLBQYAAAAAAwADALcAAAD7AgAAAAA=&#10;" fillcolor="white [3201]" strokecolor="black [3213]" strokeweight="1pt">
                    <v:textbox>
                      <w:txbxContent>
                        <w:p w14:paraId="3DD25644" w14:textId="77777777" w:rsidR="00215278" w:rsidRDefault="00215278" w:rsidP="00215278">
                          <w:pPr>
                            <w:pStyle w:val="NormalWeb"/>
                            <w:spacing w:before="0" w:beforeAutospacing="0" w:after="0" w:afterAutospacing="0"/>
                            <w:jc w:val="center"/>
                          </w:pPr>
                          <w:r>
                            <w:rPr>
                              <w:color w:val="000000" w:themeColor="text1"/>
                              <w:kern w:val="24"/>
                              <w:lang w:val="en-US"/>
                            </w:rPr>
                            <w:t>Positive for common translocations (n-141)</w:t>
                          </w:r>
                        </w:p>
                      </w:txbxContent>
                    </v:textbox>
                  </v:rect>
                  <v:rect id="Rectangle 648355779" o:spid="_x0000_s1032" style="position:absolute;left:22570;top:24444;width:23217;height:5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q+JygAAAOIAAAAPAAAAZHJzL2Rvd25yZXYueG1sRI/dagIx&#10;FITvC32HcAq9q1nb+tPVKFIqSC8U1z7AYXPcLG5O0iTq+vZNodDLYWa+YebL3nbiQiG2jhUMBwUI&#10;4trplhsFX4f10xRETMgaO8ek4EYRlov7uzmW2l15T5cqNSJDOJaowKTkSyljbchiHDhPnL2jCxZT&#10;lqGROuA1w20nn4tiLC22nBcMeno3VJ+qs1Xgw8rvzIc5rPtt2Hw256o13zelHh/61QxEoj79h//a&#10;G61g/Dp9GY0mkzf4vZTvgFz8AAAA//8DAFBLAQItABQABgAIAAAAIQDb4fbL7gAAAIUBAAATAAAA&#10;AAAAAAAAAAAAAAAAAABbQ29udGVudF9UeXBlc10ueG1sUEsBAi0AFAAGAAgAAAAhAFr0LFu/AAAA&#10;FQEAAAsAAAAAAAAAAAAAAAAAHwEAAF9yZWxzLy5yZWxzUEsBAi0AFAAGAAgAAAAhAKGar4nKAAAA&#10;4gAAAA8AAAAAAAAAAAAAAAAABwIAAGRycy9kb3ducmV2LnhtbFBLBQYAAAAAAwADALcAAAD+AgAA&#10;AAA=&#10;" fillcolor="white [3201]" strokecolor="black [3213]" strokeweight="1pt">
                    <v:textbox>
                      <w:txbxContent>
                        <w:p w14:paraId="58F96CB0" w14:textId="77777777" w:rsidR="00215278" w:rsidRDefault="00215278" w:rsidP="00215278">
                          <w:pPr>
                            <w:pStyle w:val="NormalWeb"/>
                            <w:spacing w:before="0" w:beforeAutospacing="0" w:after="0" w:afterAutospacing="0"/>
                            <w:jc w:val="center"/>
                          </w:pPr>
                          <w:r>
                            <w:rPr>
                              <w:color w:val="000000" w:themeColor="text1"/>
                              <w:kern w:val="24"/>
                              <w:lang w:val="en-US"/>
                            </w:rPr>
                            <w:t>Negative for common translocations (n-392)</w:t>
                          </w:r>
                        </w:p>
                      </w:txbxContent>
                    </v:textbox>
                  </v:rect>
                  <v:line id="Straight Connector 648355780" o:spid="_x0000_s1033" style="position:absolute;visibility:visible;mso-wrap-style:square" from="22766,21469" to="22766,22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4tMygAAAOIAAAAPAAAAZHJzL2Rvd25yZXYueG1sRI9dS8Mw&#10;FIbvBf9DOAPvXDq1s63LhgyEoRdjnYKXh+bYlDUnaRO3+u/NheDly/vFs9pMthdnGkPnWMFinoEg&#10;bpzuuFXwfny5LUCEiKyxd0wKfijAZn19tcJKuwsf6FzHVqQRDhUqMDH6SsrQGLIY5s4TJ+/LjRZj&#10;kmMr9YiXNG57eZdlS2mx4/Rg0NPWUHOqv62C4bWp3/J28eF3fmv2A5bDZ1kqdTObnp9ARJrif/iv&#10;vdMKlg/FfZ4/FgkiISUckOtfAAAA//8DAFBLAQItABQABgAIAAAAIQDb4fbL7gAAAIUBAAATAAAA&#10;AAAAAAAAAAAAAAAAAABbQ29udGVudF9UeXBlc10ueG1sUEsBAi0AFAAGAAgAAAAhAFr0LFu/AAAA&#10;FQEAAAsAAAAAAAAAAAAAAAAAHwEAAF9yZWxzLy5yZWxzUEsBAi0AFAAGAAgAAAAhAOMbi0zKAAAA&#10;4gAAAA8AAAAAAAAAAAAAAAAABwIAAGRycy9kb3ducmV2LnhtbFBLBQYAAAAAAwADALcAAAD+AgAA&#10;AAA=&#10;" strokecolor="black [3213]" strokeweight=".5pt">
                    <v:stroke joinstyle="miter"/>
                  </v:line>
                  <v:line id="Straight Connector 648355781" o:spid="_x0000_s1034" style="position:absolute;flip:y;visibility:visible;mso-wrap-style:square" from="9240,22600" to="31305,2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NJtywAAAOIAAAAPAAAAZHJzL2Rvd25yZXYueG1sRI9BawIx&#10;FITvhf6H8AreatZaddkapSzYevBSW8TjY/PcXZu8LEnUrb++KQg9DjPzDTNf9taIM/nQOlYwGmYg&#10;iCunW64VfH2uHnMQISJrNI5JwQ8FWC7u7+ZYaHfhDzpvYy0ShEOBCpoYu0LKUDVkMQxdR5y8g/MW&#10;Y5K+ltrjJcGtkU9ZNpUWW04LDXZUNlR9b09WQWl2+/79zXPcHa+H04ZW5dEYpQYP/esLiEh9/A/f&#10;2mutYPqcjyeTWT6Cv0vpDsjFLwAAAP//AwBQSwECLQAUAAYACAAAACEA2+H2y+4AAACFAQAAEwAA&#10;AAAAAAAAAAAAAAAAAAAAW0NvbnRlbnRfVHlwZXNdLnhtbFBLAQItABQABgAIAAAAIQBa9CxbvwAA&#10;ABUBAAALAAAAAAAAAAAAAAAAAB8BAABfcmVscy8ucmVsc1BLAQItABQABgAIAAAAIQBuSNJtywAA&#10;AOIAAAAPAAAAAAAAAAAAAAAAAAcCAABkcnMvZG93bnJldi54bWxQSwUGAAAAAAMAAwC3AAAA/wIA&#10;AAAA&#10;" strokecolor="black [3213]" strokeweight=".5pt">
                    <v:stroke joinstyle="miter"/>
                    <o:lock v:ext="edit" shapetype="f"/>
                  </v:line>
                  <v:shape id="Straight Arrow Connector 648355782" o:spid="_x0000_s1035" type="#_x0000_t32" style="position:absolute;left:9214;top:22721;width:26;height:17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WoOywAAAOIAAAAPAAAAZHJzL2Rvd25yZXYueG1sRI/dagIx&#10;FITvC75DOEJvRBNt1WU1SimtWEoFfx7gsDnuLm5OtptU17c3gtDLYWa+YebL1lbiTI0vHWsYDhQI&#10;4syZknMNh/1nPwHhA7LByjFpuJKH5aLzNMfUuAtv6bwLuYgQ9ilqKEKoUyl9VpBFP3A1cfSOrrEY&#10;omxyaRq8RLit5EipibRYclwosKb3grLT7s9qsB+r9bTtXX96tvrdm2+vvjZBaf3cbd9mIAK14T/8&#10;aK+Nhslr8jIeT5MR3C/FOyAXNwAAAP//AwBQSwECLQAUAAYACAAAACEA2+H2y+4AAACFAQAAEwAA&#10;AAAAAAAAAAAAAAAAAAAAW0NvbnRlbnRfVHlwZXNdLnhtbFBLAQItABQABgAIAAAAIQBa9CxbvwAA&#10;ABUBAAALAAAAAAAAAAAAAAAAAB8BAABfcmVscy8ucmVsc1BLAQItABQABgAIAAAAIQBXuWoOywAA&#10;AOIAAAAPAAAAAAAAAAAAAAAAAAcCAABkcnMvZG93bnJldi54bWxQSwUGAAAAAAMAAwC3AAAA/wIA&#10;AAAA&#10;" strokecolor="black [3213]" strokeweight=".5pt">
                    <v:stroke endarrow="block" joinstyle="miter"/>
                    <o:lock v:ext="edit" shapetype="f"/>
                  </v:shape>
                  <v:shape id="Straight Arrow Connector 648355783" o:spid="_x0000_s1036" type="#_x0000_t32" style="position:absolute;left:31305;top:22600;width:25;height:17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c+VywAAAOIAAAAPAAAAZHJzL2Rvd25yZXYueG1sRI/dagIx&#10;FITvhb5DOIXeiCbWv2U1ipS2WEoFfx7gsDnuLm5O1k2q69ubgtDLYWa+YebL1lbiQo0vHWsY9BUI&#10;4syZknMNh/1HLwHhA7LByjFpuJGH5eKpM8fUuCtv6bILuYgQ9ilqKEKoUyl9VpBF33c1cfSOrrEY&#10;omxyaRq8Rrit5KtSE2mx5LhQYE1vBWWn3a/VYN8/19O2e/vp2uq8N99efW2C0vrluV3NQARqw3/4&#10;0V4bDZNRMhyPp8kQ/i7FOyAXdwAAAP//AwBQSwECLQAUAAYACAAAACEA2+H2y+4AAACFAQAAEwAA&#10;AAAAAAAAAAAAAAAAAAAAW0NvbnRlbnRfVHlwZXNdLnhtbFBLAQItABQABgAIAAAAIQBa9CxbvwAA&#10;ABUBAAALAAAAAAAAAAAAAAAAAB8BAABfcmVscy8ucmVsc1BLAQItABQABgAIAAAAIQA49c+VywAA&#10;AOIAAAAPAAAAAAAAAAAAAAAAAAcCAABkcnMvZG93bnJldi54bWxQSwUGAAAAAAMAAwC3AAAA/wIA&#10;AAAA&#10;" strokecolor="black [3213]" strokeweight=".5pt">
                    <v:stroke endarrow="block" joinstyle="miter"/>
                    <o:lock v:ext="edit" shapetype="f"/>
                  </v:shape>
                  <v:rect id="Rectangle 648355784" o:spid="_x0000_s1037" style="position:absolute;left:22570;top:31941;width:23292;height:5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nAwygAAAOIAAAAPAAAAZHJzL2Rvd25yZXYueG1sRI/RagIx&#10;FETfC/2HcAt9q1mt2mU1ipQK0oeWrv2Ay+a6WdzcxCTq+vdNodDHYWbOMMv1YHtxoRA7xwrGowIE&#10;ceN0x62C7/32qQQRE7LG3jEpuFGE9er+bomVdlf+okudWpEhHCtUYFLylZSxMWQxjpwnzt7BBYsp&#10;y9BKHfCa4baXk6KYS4sd5wWDnl4NNcf6bBX4sPGf5s3st8NH2L2357ozp5tSjw/DZgEi0ZD+w3/t&#10;nVYwn5bPs9lLOYXfS/kOyNUPAAAA//8DAFBLAQItABQABgAIAAAAIQDb4fbL7gAAAIUBAAATAAAA&#10;AAAAAAAAAAAAAAAAAABbQ29udGVudF9UeXBlc10ueG1sUEsBAi0AFAAGAAgAAAAhAFr0LFu/AAAA&#10;FQEAAAsAAAAAAAAAAAAAAAAAHwEAAF9yZWxzLy5yZWxzUEsBAi0AFAAGAAgAAAAhAHpOcDDKAAAA&#10;4gAAAA8AAAAAAAAAAAAAAAAABwIAAGRycy9kb3ducmV2LnhtbFBLBQYAAAAAAwADALcAAAD+AgAA&#10;AAA=&#10;" fillcolor="white [3201]" strokecolor="black [3213]" strokeweight="1pt">
                    <v:textbox>
                      <w:txbxContent>
                        <w:p w14:paraId="61664E76" w14:textId="77777777" w:rsidR="00215278" w:rsidRDefault="00215278" w:rsidP="00215278">
                          <w:pPr>
                            <w:pStyle w:val="NormalWeb"/>
                            <w:spacing w:before="0" w:beforeAutospacing="0" w:after="0" w:afterAutospacing="0"/>
                            <w:jc w:val="center"/>
                          </w:pPr>
                          <w:r>
                            <w:rPr>
                              <w:color w:val="000000" w:themeColor="text1"/>
                              <w:kern w:val="24"/>
                              <w:lang w:val="en-US"/>
                            </w:rPr>
                            <w:t>Targeted RNA sequencing (NARASIMHA)</w:t>
                          </w:r>
                        </w:p>
                      </w:txbxContent>
                    </v:textbox>
                  </v:rect>
                  <v:shape id="Straight Arrow Connector 648355785" o:spid="_x0000_s1038" type="#_x0000_t32" style="position:absolute;left:31280;top:29610;width:25;height:17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Cc+ygAAAOIAAAAPAAAAZHJzL2Rvd25yZXYueG1sRI9BS8NA&#10;FITvQv/D8gQvYjc2SRvSbosootdGEb29Zp9JaPZtyFvb+O9dQfA4zMw3zGY3uV6daJTOs4HbeQKK&#10;uPa248bA68vjTQFKArLF3jMZ+CaB3XZ2scHS+jPv6VSFRkUIS4kG2hCGUmupW3Iocz8QR+/Tjw5D&#10;lGOj7YjnCHe9XiTJUjvsOC60ONB9S/Wx+nIG0pDJYp+9r6T6aA7X9iFN5e3JmKvL6W4NKtAU/sN/&#10;7WdrYJkVaZ6vihx+L8U7oLc/AAAA//8DAFBLAQItABQABgAIAAAAIQDb4fbL7gAAAIUBAAATAAAA&#10;AAAAAAAAAAAAAAAAAABbQ29udGVudF9UeXBlc10ueG1sUEsBAi0AFAAGAAgAAAAhAFr0LFu/AAAA&#10;FQEAAAsAAAAAAAAAAAAAAAAAHwEAAF9yZWxzLy5yZWxzUEsBAi0AFAAGAAgAAAAhAAoQJz7KAAAA&#10;4gAAAA8AAAAAAAAAAAAAAAAABwIAAGRycy9kb3ducmV2LnhtbFBLBQYAAAAAAwADALcAAAD+AgAA&#10;AAA=&#10;" strokecolor="black [3200]" strokeweight=".5pt">
                    <v:stroke endarrow="block" joinstyle="miter"/>
                    <o:lock v:ext="edit" shapetype="f"/>
                  </v:shape>
                  <v:rect id="Rectangle 648355786" o:spid="_x0000_s1039" style="position:absolute;left:22570;top:38380;width:23292;height:34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EvcygAAAOIAAAAPAAAAZHJzL2Rvd25yZXYueG1sRI/RSgMx&#10;FETfhf5DuAXfbLZq12VtWopYKD5Y3PoBl811s7i5SZO03f69EQQfh5k5wyzXox3EmULsHSuYzwoQ&#10;xK3TPXcKPg/buwpETMgaB8ek4EoR1qvJzRJr7S78QecmdSJDONaowKTkaylja8hinDlPnL0vFyym&#10;LEMndcBLhttB3hdFKS32nBcMenox1H43J6vAh43fm1dz2I7vYffWnZreHK9K3U7HzTOIRGP6D/+1&#10;d1pB+Vg9LBZPVQm/l/IdkKsfAAAA//8DAFBLAQItABQABgAIAAAAIQDb4fbL7gAAAIUBAAATAAAA&#10;AAAAAAAAAAAAAAAAAABbQ29udGVudF9UeXBlc10ueG1sUEsBAi0AFAAGAAgAAAAhAFr0LFu/AAAA&#10;FQEAAAsAAAAAAAAAAAAAAAAAHwEAAF9yZWxzLy5yZWxzUEsBAi0AFAAGAAgAAAAhAOXQS9zKAAAA&#10;4gAAAA8AAAAAAAAAAAAAAAAABwIAAGRycy9kb3ducmV2LnhtbFBLBQYAAAAAAwADALcAAAD+AgAA&#10;AAA=&#10;" fillcolor="white [3201]" strokecolor="black [3213]" strokeweight="1pt">
                    <v:textbox>
                      <w:txbxContent>
                        <w:p w14:paraId="320D83C5" w14:textId="77777777" w:rsidR="00215278" w:rsidRDefault="00215278" w:rsidP="00215278">
                          <w:pPr>
                            <w:pStyle w:val="NormalWeb"/>
                            <w:spacing w:before="0" w:beforeAutospacing="0" w:after="0" w:afterAutospacing="0"/>
                            <w:jc w:val="center"/>
                          </w:pPr>
                          <w:r>
                            <w:rPr>
                              <w:color w:val="000000" w:themeColor="text1"/>
                              <w:kern w:val="24"/>
                              <w:lang w:val="en-US"/>
                            </w:rPr>
                            <w:t>Negative for translocations</w:t>
                          </w:r>
                        </w:p>
                      </w:txbxContent>
                    </v:textbox>
                  </v:rect>
                  <v:shape id="Straight Arrow Connector 648355787" o:spid="_x0000_s1040" type="#_x0000_t32" style="position:absolute;left:31375;top:36849;width:25;height:17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hzSygAAAOIAAAAPAAAAZHJzL2Rvd25yZXYueG1sRI9BS8NA&#10;FITvQv/D8gQvYjc2aRNit0UU0WvTInp7Zp9JaPZtyFvb+O9dQfA4zMw3zHo7uV6daJTOs4HbeQKK&#10;uPa248bAYf90U4CSgGyx90wGvklgu5ldrLG0/sw7OlWhURHCUqKBNoSh1FrqlhzK3A/E0fv0o8MQ&#10;5dhoO+I5wl2vF0my0g47jgstDvTQUn2svpyBNGSy2GVvuVTvzce1fUxTeX025upyur8DFWgK/+G/&#10;9os1sMqKdLnMixx+L8U7oDc/AAAA//8DAFBLAQItABQABgAIAAAAIQDb4fbL7gAAAIUBAAATAAAA&#10;AAAAAAAAAAAAAAAAAABbQ29udGVudF9UeXBlc10ueG1sUEsBAi0AFAAGAAgAAAAhAFr0LFu/AAAA&#10;FQEAAAsAAAAAAAAAAAAAAAAAHwEAAF9yZWxzLy5yZWxzUEsBAi0AFAAGAAgAAAAhAJWOHNLKAAAA&#10;4gAAAA8AAAAAAAAAAAAAAAAABwIAAGRycy9kb3ducmV2LnhtbFBLBQYAAAAAAwADALcAAAD+AgAA&#10;AAA=&#10;" strokecolor="black [3200]" strokeweight=".5pt">
                    <v:stroke endarrow="block" joinstyle="miter"/>
                    <o:lock v:ext="edit" shapetype="f"/>
                  </v:shape>
                  <v:rect id="Rectangle 648355788" o:spid="_x0000_s1041" style="position:absolute;left:22665;top:43618;width:23197;height:34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3o1xgAAAOIAAAAPAAAAZHJzL2Rvd25yZXYueG1sRE/NagIx&#10;EL4XfIcwgreaVatdtkaRUkF6aOnaBxg2083iZhKTqOvbN4dCjx/f/3o72F5cKcTOsYLZtABB3Djd&#10;cavg+7h/LEHEhKyxd0wK7hRhuxk9rLHS7sZfdK1TK3IIxwoVmJR8JWVsDFmMU+eJM/fjgsWUYWil&#10;DnjL4baX86JYSYsd5waDnl4NNaf6YhX4sPOf5s0c98NHOLy3l7oz57tSk/GwewGRaEj/4j/3QStY&#10;PZWL5fK5zJvzpXwH5OYXAAD//wMAUEsBAi0AFAAGAAgAAAAhANvh9svuAAAAhQEAABMAAAAAAAAA&#10;AAAAAAAAAAAAAFtDb250ZW50X1R5cGVzXS54bWxQSwECLQAUAAYACAAAACEAWvQsW78AAAAVAQAA&#10;CwAAAAAAAAAAAAAAAAAfAQAAX3JlbHMvLnJlbHNQSwECLQAUAAYACAAAACEA+wN6NcYAAADiAAAA&#10;DwAAAAAAAAAAAAAAAAAHAgAAZHJzL2Rvd25yZXYueG1sUEsFBgAAAAADAAMAtwAAAPoCAAAAAA==&#10;" fillcolor="white [3201]" strokecolor="black [3213]" strokeweight="1pt">
                    <v:textbox>
                      <w:txbxContent>
                        <w:p w14:paraId="44F99BF5" w14:textId="1B9E39E4" w:rsidR="00215278" w:rsidRDefault="00215278" w:rsidP="00215278">
                          <w:pPr>
                            <w:pStyle w:val="NormalWeb"/>
                            <w:spacing w:before="0" w:beforeAutospacing="0" w:after="0" w:afterAutospacing="0"/>
                            <w:jc w:val="center"/>
                          </w:pPr>
                          <w:r>
                            <w:rPr>
                              <w:color w:val="000000" w:themeColor="text1"/>
                              <w:kern w:val="24"/>
                              <w:lang w:val="en-US"/>
                            </w:rPr>
                            <w:t>Targeted DNA Sequencing (n-1</w:t>
                          </w:r>
                          <w:r w:rsidR="001F75B1">
                            <w:rPr>
                              <w:color w:val="000000" w:themeColor="text1"/>
                              <w:kern w:val="24"/>
                              <w:lang w:val="en-US"/>
                            </w:rPr>
                            <w:t>24</w:t>
                          </w:r>
                          <w:r>
                            <w:rPr>
                              <w:color w:val="000000" w:themeColor="text1"/>
                              <w:kern w:val="24"/>
                              <w:lang w:val="en-US"/>
                            </w:rPr>
                            <w:t>)</w:t>
                          </w:r>
                        </w:p>
                      </w:txbxContent>
                    </v:textbox>
                  </v:rect>
                  <v:shape id="Straight Arrow Connector 648355789" o:spid="_x0000_s1042" type="#_x0000_t32" style="position:absolute;left:31470;top:41945;width:26;height:17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S07ygAAAOIAAAAPAAAAZHJzL2Rvd25yZXYueG1sRI9BS8NA&#10;FITvQv/D8gpexG7apG2M3RZRxF4bRfT2zD6T0OzbkLe28d+7guBxmJlvmM1udJ060SCtZwPzWQKK&#10;uPK25drAy/PjdQ5KArLFzjMZ+CaB3XZyscHC+jMf6FSGWkUIS4EGmhD6QmupGnIoM98TR+/TDw5D&#10;lEOt7YDnCHedXiTJSjtsOS402NN9Q9Wx/HIG0pDJ4pC9raV8rz+u7EOayuuTMZfT8e4WVKAx/If/&#10;2ntrYJXl6XK5zm/g91K8A3r7AwAA//8DAFBLAQItABQABgAIAAAAIQDb4fbL7gAAAIUBAAATAAAA&#10;AAAAAAAAAAAAAAAAAABbQ29udGVudF9UeXBlc10ueG1sUEsBAi0AFAAGAAgAAAAhAFr0LFu/AAAA&#10;FQEAAAsAAAAAAAAAAAAAAAAAHwEAAF9yZWxzLy5yZWxzUEsBAi0AFAAGAAgAAAAhAItdLTvKAAAA&#10;4gAAAA8AAAAAAAAAAAAAAAAABwIAAGRycy9kb3ducmV2LnhtbFBLBQYAAAAAAwADALcAAAD+AgAA&#10;AAA=&#10;" strokecolor="black [3200]" strokeweight=".5pt">
                    <v:stroke endarrow="block" joinstyle="miter"/>
                    <o:lock v:ext="edit" shapetype="f"/>
                  </v:shape>
                </v:group>
                <v:rect id="Rectangle 648355791" o:spid="_x0000_s1043" style="position:absolute;left:75;width:45787;height:25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EV1ygAAAOIAAAAPAAAAZHJzL2Rvd25yZXYueG1sRI/RagIx&#10;FETfC/5DuELfata2Wt0aRUoF8cHStR9w2Vw3Szc3aRJ1/ftGKPRxmJkzzGLV206cKcTWsYLxqABB&#10;XDvdcqPg67B5mIGICVlj55gUXCnCajm4W2Cp3YU/6VylRmQIxxIVmJR8KWWsDVmMI+eJs3d0wWLK&#10;MjRSB7xkuO3kY1FMpcWW84JBT2+G6u/qZBX4sPYf5t0cNv0+bHfNqWrNz1Wp+2G/fgWRqE//4b/2&#10;ViuYPs+eJpOX+Rhul/IdkMtfAAAA//8DAFBLAQItABQABgAIAAAAIQDb4fbL7gAAAIUBAAATAAAA&#10;AAAAAAAAAAAAAAAAAABbQ29udGVudF9UeXBlc10ueG1sUEsBAi0AFAAGAAgAAAAhAFr0LFu/AAAA&#10;FQEAAAsAAAAAAAAAAAAAAAAAHwEAAF9yZWxzLy5yZWxzUEsBAi0AFAAGAAgAAAAhAO/gRXXKAAAA&#10;4gAAAA8AAAAAAAAAAAAAAAAABwIAAGRycy9kb3ducmV2LnhtbFBLBQYAAAAAAwADALcAAAD+AgAA&#10;AAA=&#10;" fillcolor="white [3201]" strokecolor="black [3213]" strokeweight="1pt">
                  <v:textbox>
                    <w:txbxContent>
                      <w:p w14:paraId="6A20C859" w14:textId="77777777" w:rsidR="00215278" w:rsidRDefault="00215278" w:rsidP="00215278">
                        <w:pPr>
                          <w:pStyle w:val="NormalWeb"/>
                          <w:spacing w:before="0" w:beforeAutospacing="0" w:after="0" w:afterAutospacing="0"/>
                          <w:jc w:val="center"/>
                        </w:pPr>
                        <w:r>
                          <w:rPr>
                            <w:color w:val="000000" w:themeColor="text1"/>
                            <w:kern w:val="24"/>
                            <w:lang w:val="en-US"/>
                          </w:rPr>
                          <w:t>Screened for study (n-674)</w:t>
                        </w:r>
                      </w:p>
                    </w:txbxContent>
                  </v:textbox>
                </v:rect>
                <v:shape id="Straight Arrow Connector 648355792" o:spid="_x0000_s1044" type="#_x0000_t32" style="position:absolute;left:22893;top:2570;width:76;height:79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PzTygAAAOIAAAAPAAAAZHJzL2Rvd25yZXYueG1sRI/dagIx&#10;FITvhb5DOIXeiCZaf7dGKaWKUipU+wCHzXF36eZk3aS6vr0RBC+HmfmGmS0aW4oT1b5wrKHXVSCI&#10;U2cKzjT87pedCQgfkA2WjknDhTws5k+tGSbGnfmHTruQiQhhn6CGPIQqkdKnOVn0XVcRR+/gaosh&#10;yjqTpsZzhNtS9pUaSYsFx4UcK/rIKf3b/VsN9nO1Hjfty3fblse9+fJqsw1K65fn5v0NRKAmPML3&#10;9tpoGA0mr8PheNqH26V4B+T8CgAA//8DAFBLAQItABQABgAIAAAAIQDb4fbL7gAAAIUBAAATAAAA&#10;AAAAAAAAAAAAAAAAAABbQ29udGVudF9UeXBlc10ueG1sUEsBAi0AFAAGAAgAAAAhAFr0LFu/AAAA&#10;FQEAAAsAAAAAAAAAAAAAAAAAHwEAAF9yZWxzLy5yZWxzUEsBAi0AFAAGAAgAAAAhANJg/NPKAAAA&#10;4gAAAA8AAAAAAAAAAAAAAAAABwIAAGRycy9kb3ducmV2LnhtbFBLBQYAAAAAAwADALcAAAD+AgAA&#10;AAA=&#10;" strokecolor="black [3213]" strokeweight=".5pt">
                  <v:stroke endarrow="block" joinstyle="miter"/>
                  <o:lock v:ext="edit" shapetype="f"/>
                </v:shape>
                <v:rect id="Rectangle 648355793" o:spid="_x0000_s1045" style="position:absolute;left:24265;top:3212;width:21522;height:68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tAMywAAAOIAAAAPAAAAZHJzL2Rvd25yZXYueG1sRI9Ba8JA&#10;FITvhf6H5RW81U2rRk1dRUoLgqLUevD4yL4modm3YXdN4r/vFgSPw8x8wyxWvalFS85XlhW8DBMQ&#10;xLnVFRcKTt+fzzMQPiBrrC2Tgit5WC0fHxaYadvxF7XHUIgIYZ+hgjKEJpPS5yUZ9EPbEEfvxzqD&#10;IUpXSO2wi3BTy9ckSaXBiuNCiQ29l5T/Hi9GgT1U13rt5vt2R9Pz9hCSrk8/lBo89es3EIH6cA/f&#10;2hutIB3PRpPJdD6C/0vxDsjlHwAAAP//AwBQSwECLQAUAAYACAAAACEA2+H2y+4AAACFAQAAEwAA&#10;AAAAAAAAAAAAAAAAAAAAW0NvbnRlbnRfVHlwZXNdLnhtbFBLAQItABQABgAIAAAAIQBa9CxbvwAA&#10;ABUBAAALAAAAAAAAAAAAAAAAAB8BAABfcmVscy8ucmVsc1BLAQItABQABgAIAAAAIQDa5tAMywAA&#10;AOIAAAAPAAAAAAAAAAAAAAAAAAcCAABkcnMvZG93bnJldi54bWxQSwUGAAAAAAMAAwC3AAAA/wIA&#10;AAAA&#10;" fillcolor="white [3201]" strokecolor="black [3200]" strokeweight="1pt">
                  <v:textbox>
                    <w:txbxContent>
                      <w:p w14:paraId="1996F991" w14:textId="77777777" w:rsidR="00215278" w:rsidRDefault="00215278" w:rsidP="00215278">
                        <w:pPr>
                          <w:pStyle w:val="NormalWeb"/>
                          <w:spacing w:before="0" w:beforeAutospacing="0" w:after="0" w:afterAutospacing="0"/>
                          <w:jc w:val="center"/>
                        </w:pPr>
                        <w:r>
                          <w:rPr>
                            <w:color w:val="000000" w:themeColor="text1"/>
                            <w:kern w:val="24"/>
                            <w:lang w:val="en-US"/>
                          </w:rPr>
                          <w:t xml:space="preserve">Excluded from study (n-141) </w:t>
                        </w:r>
                      </w:p>
                      <w:p w14:paraId="4FF0FD87" w14:textId="77777777" w:rsidR="00215278" w:rsidRDefault="00215278" w:rsidP="00215278">
                        <w:pPr>
                          <w:pStyle w:val="ListParagraph"/>
                          <w:numPr>
                            <w:ilvl w:val="0"/>
                            <w:numId w:val="1"/>
                          </w:numPr>
                          <w:rPr>
                            <w:rFonts w:eastAsia="Times New Roman"/>
                          </w:rPr>
                        </w:pPr>
                        <w:r>
                          <w:rPr>
                            <w:color w:val="000000" w:themeColor="text1"/>
                            <w:kern w:val="24"/>
                            <w:lang w:val="en-US"/>
                          </w:rPr>
                          <w:t>Not treated with ICiCLe-ALL-14 protocol (n-127)</w:t>
                        </w:r>
                      </w:p>
                      <w:p w14:paraId="6B3AF351" w14:textId="77777777" w:rsidR="00215278" w:rsidRDefault="00215278" w:rsidP="00215278">
                        <w:pPr>
                          <w:pStyle w:val="ListParagraph"/>
                          <w:numPr>
                            <w:ilvl w:val="0"/>
                            <w:numId w:val="1"/>
                          </w:numPr>
                          <w:rPr>
                            <w:rFonts w:eastAsia="Times New Roman"/>
                          </w:rPr>
                        </w:pPr>
                        <w:r>
                          <w:rPr>
                            <w:color w:val="000000" w:themeColor="text1"/>
                            <w:kern w:val="24"/>
                            <w:lang w:val="en-US"/>
                          </w:rPr>
                          <w:t>Poor RNA quality (n-14)</w:t>
                        </w:r>
                      </w:p>
                    </w:txbxContent>
                  </v:textbox>
                </v:rect>
                <w10:wrap type="square" anchorx="margin"/>
              </v:group>
            </w:pict>
          </mc:Fallback>
        </mc:AlternateContent>
      </w:r>
    </w:p>
    <w:p w14:paraId="72C0A9B7" w14:textId="77777777" w:rsidR="00215278" w:rsidRDefault="00215278" w:rsidP="00460C67">
      <w:pPr>
        <w:rPr>
          <w:rFonts w:ascii="Times New Roman" w:hAnsi="Times New Roman" w:cs="Times New Roman"/>
          <w:b/>
          <w:sz w:val="24"/>
          <w:szCs w:val="24"/>
        </w:rPr>
      </w:pPr>
    </w:p>
    <w:p w14:paraId="4D7A74E8" w14:textId="7E096646" w:rsidR="00215278" w:rsidRDefault="00215278" w:rsidP="00460C67">
      <w:pPr>
        <w:rPr>
          <w:rFonts w:ascii="Times New Roman" w:hAnsi="Times New Roman" w:cs="Times New Roman"/>
          <w:b/>
          <w:sz w:val="24"/>
          <w:szCs w:val="24"/>
        </w:rPr>
      </w:pPr>
      <w:r>
        <w:rPr>
          <w:rFonts w:ascii="Times New Roman" w:hAnsi="Times New Roman" w:cs="Times New Roman"/>
          <w:b/>
          <w:sz w:val="24"/>
          <w:szCs w:val="24"/>
        </w:rPr>
        <w:t>S</w:t>
      </w:r>
      <w:r w:rsidRPr="00215278">
        <w:rPr>
          <w:rFonts w:ascii="Times New Roman" w:hAnsi="Times New Roman" w:cs="Times New Roman"/>
          <w:b/>
          <w:sz w:val="24"/>
          <w:szCs w:val="24"/>
        </w:rPr>
        <w:t>upplementary Figure 1. Consort diagram indicating testing strategy implemented for B-ALL patient evaluation</w:t>
      </w:r>
    </w:p>
    <w:p w14:paraId="6A35375E" w14:textId="77777777" w:rsidR="00215278" w:rsidRDefault="00215278" w:rsidP="00460C67">
      <w:pPr>
        <w:rPr>
          <w:rFonts w:ascii="Times New Roman" w:hAnsi="Times New Roman" w:cs="Times New Roman"/>
          <w:b/>
          <w:sz w:val="24"/>
          <w:szCs w:val="24"/>
        </w:rPr>
      </w:pPr>
    </w:p>
    <w:p w14:paraId="2EBB2554" w14:textId="77777777" w:rsidR="00215278" w:rsidRDefault="00215278" w:rsidP="00460C67">
      <w:pPr>
        <w:rPr>
          <w:rFonts w:ascii="Times New Roman" w:hAnsi="Times New Roman" w:cs="Times New Roman"/>
          <w:b/>
          <w:sz w:val="24"/>
          <w:szCs w:val="24"/>
        </w:rPr>
      </w:pPr>
    </w:p>
    <w:p w14:paraId="2BF7C2BF" w14:textId="77777777" w:rsidR="00215278" w:rsidRDefault="00215278" w:rsidP="00460C67">
      <w:pPr>
        <w:rPr>
          <w:rFonts w:ascii="Times New Roman" w:hAnsi="Times New Roman" w:cs="Times New Roman"/>
          <w:b/>
          <w:sz w:val="24"/>
          <w:szCs w:val="24"/>
        </w:rPr>
      </w:pPr>
    </w:p>
    <w:p w14:paraId="4D25FD87" w14:textId="77777777" w:rsidR="00215278" w:rsidRDefault="00215278" w:rsidP="00460C67">
      <w:pPr>
        <w:rPr>
          <w:rFonts w:ascii="Times New Roman" w:hAnsi="Times New Roman" w:cs="Times New Roman"/>
          <w:b/>
          <w:sz w:val="24"/>
          <w:szCs w:val="24"/>
        </w:rPr>
      </w:pPr>
    </w:p>
    <w:p w14:paraId="5B6B98B8" w14:textId="77777777" w:rsidR="002B5990" w:rsidRDefault="002B5990" w:rsidP="00460C67">
      <w:pPr>
        <w:rPr>
          <w:rFonts w:ascii="Times New Roman" w:hAnsi="Times New Roman" w:cs="Times New Roman"/>
          <w:b/>
          <w:sz w:val="24"/>
          <w:szCs w:val="24"/>
        </w:rPr>
      </w:pPr>
    </w:p>
    <w:p w14:paraId="43B39780" w14:textId="0AD9AA6C" w:rsidR="00460C67" w:rsidRPr="002B5990" w:rsidRDefault="00796F33" w:rsidP="00460C67">
      <w:pPr>
        <w:rPr>
          <w:rFonts w:ascii="Times New Roman" w:hAnsi="Times New Roman" w:cs="Times New Roman"/>
          <w:b/>
          <w:sz w:val="28"/>
          <w:szCs w:val="28"/>
        </w:rPr>
      </w:pPr>
      <w:r w:rsidRPr="002B5990">
        <w:rPr>
          <w:rFonts w:ascii="Times New Roman" w:hAnsi="Times New Roman" w:cs="Times New Roman"/>
          <w:b/>
          <w:sz w:val="28"/>
          <w:szCs w:val="28"/>
        </w:rPr>
        <w:lastRenderedPageBreak/>
        <w:t>Methods</w:t>
      </w:r>
    </w:p>
    <w:p w14:paraId="7661BDCF" w14:textId="535FA4F4" w:rsidR="00460C67" w:rsidRPr="00460C67" w:rsidRDefault="00460C67" w:rsidP="00460C67">
      <w:pPr>
        <w:pStyle w:val="NormalWeb"/>
        <w:spacing w:before="240" w:beforeAutospacing="0" w:after="240" w:afterAutospacing="0" w:line="480" w:lineRule="auto"/>
        <w:jc w:val="both"/>
      </w:pPr>
      <w:r>
        <w:rPr>
          <w:b/>
          <w:bCs/>
          <w:color w:val="000000"/>
          <w:shd w:val="clear" w:color="auto" w:fill="FFFFFF"/>
        </w:rPr>
        <w:t>Risk Stratification</w:t>
      </w:r>
      <w:r w:rsidR="006840C3">
        <w:rPr>
          <w:b/>
          <w:bCs/>
          <w:color w:val="000000"/>
          <w:shd w:val="clear" w:color="auto" w:fill="FFFFFF"/>
        </w:rPr>
        <w:t xml:space="preserve">: </w:t>
      </w:r>
      <w:r w:rsidRPr="00460C67">
        <w:rPr>
          <w:bCs/>
          <w:color w:val="000000"/>
          <w:shd w:val="clear" w:color="auto" w:fill="FFFFFF"/>
        </w:rPr>
        <w:t>Patients were stratified according to National Cancer Institute (NCI) risk categories of standard risk (NCI-SR) and high risk (NCI-HR) based on their age and WBC count at diagnosis. Those 10 years or older with a WBC count of 50 × 10^9/L or higher were categorized as NCI-HR. Additional factors were considered to stratify based on ICiCLe-ALL-14 criteria at two time points (day 8- initial) and post-induction (final risk stratification). In the initial risk assessment of the ICiCL</w:t>
      </w:r>
      <w:r w:rsidR="00215278">
        <w:rPr>
          <w:bCs/>
          <w:color w:val="000000"/>
          <w:shd w:val="clear" w:color="auto" w:fill="FFFFFF"/>
        </w:rPr>
        <w:t>e</w:t>
      </w:r>
      <w:r w:rsidRPr="00460C67">
        <w:rPr>
          <w:bCs/>
          <w:color w:val="000000"/>
          <w:shd w:val="clear" w:color="auto" w:fill="FFFFFF"/>
        </w:rPr>
        <w:t>, standard risk included younger B-ALL patients (under 10 years) with low presenting leukocyte counts (less than 50 × 10^9/L) and without high-risk features. Intermediate risk encompassed B-ALL patients lacking high-risk features but who were older and had high presenting leukocyte counts and/or bulky disease. High risk was assigned to B-ALL patients presenting any high-risk feature, including those with high-risk genetics, central nervous system leukemia, or poor prednisolone response on treatment day 8. High-risk features were defined as CNS leukemia, inadequate prednisolone response, insufficient information for risk stratification, including patients with compromised prednisolone response, and those with atypical clinical presentations such as extramedullary disease at unusual sites, and high-risk genetics (</w:t>
      </w:r>
      <w:r w:rsidRPr="008755FA">
        <w:rPr>
          <w:bCs/>
          <w:i/>
          <w:color w:val="000000"/>
          <w:shd w:val="clear" w:color="auto" w:fill="FFFFFF"/>
        </w:rPr>
        <w:t>BCR::ABL1</w:t>
      </w:r>
      <w:r w:rsidRPr="00460C67">
        <w:rPr>
          <w:bCs/>
          <w:color w:val="000000"/>
          <w:shd w:val="clear" w:color="auto" w:fill="FFFFFF"/>
        </w:rPr>
        <w:t xml:space="preserve">, </w:t>
      </w:r>
      <w:r w:rsidRPr="008755FA">
        <w:rPr>
          <w:bCs/>
          <w:i/>
          <w:color w:val="000000"/>
          <w:shd w:val="clear" w:color="auto" w:fill="FFFFFF"/>
        </w:rPr>
        <w:t>KMT2A</w:t>
      </w:r>
      <w:r w:rsidRPr="00460C67">
        <w:rPr>
          <w:bCs/>
          <w:color w:val="000000"/>
          <w:shd w:val="clear" w:color="auto" w:fill="FFFFFF"/>
        </w:rPr>
        <w:t xml:space="preserve"> rearrangement, </w:t>
      </w:r>
      <w:r w:rsidRPr="008755FA">
        <w:rPr>
          <w:bCs/>
          <w:color w:val="000000"/>
          <w:shd w:val="clear" w:color="auto" w:fill="FFFFFF"/>
        </w:rPr>
        <w:t>iAMP21</w:t>
      </w:r>
      <w:r w:rsidRPr="00460C67">
        <w:rPr>
          <w:bCs/>
          <w:color w:val="000000"/>
          <w:shd w:val="clear" w:color="auto" w:fill="FFFFFF"/>
        </w:rPr>
        <w:t xml:space="preserve">, hypodiploidy, </w:t>
      </w:r>
      <w:r w:rsidRPr="008755FA">
        <w:rPr>
          <w:bCs/>
          <w:i/>
          <w:color w:val="000000"/>
          <w:shd w:val="clear" w:color="auto" w:fill="FFFFFF"/>
        </w:rPr>
        <w:t>TCF3::HLF</w:t>
      </w:r>
      <w:r w:rsidRPr="00460C67">
        <w:rPr>
          <w:bCs/>
          <w:color w:val="000000"/>
          <w:shd w:val="clear" w:color="auto" w:fill="FFFFFF"/>
        </w:rPr>
        <w:t xml:space="preserve">). The final ICiCLe-ALL-14 risk stratification also considered post-induction MRD positivity at levels above 0.01%, in addition to the factors considered in the initial </w:t>
      </w:r>
      <w:proofErr w:type="spellStart"/>
      <w:r w:rsidRPr="00460C67">
        <w:rPr>
          <w:bCs/>
          <w:color w:val="000000"/>
          <w:shd w:val="clear" w:color="auto" w:fill="FFFFFF"/>
        </w:rPr>
        <w:t>ICiCLE</w:t>
      </w:r>
      <w:proofErr w:type="spellEnd"/>
      <w:r w:rsidRPr="00460C67">
        <w:rPr>
          <w:bCs/>
          <w:color w:val="000000"/>
          <w:shd w:val="clear" w:color="auto" w:fill="FFFFFF"/>
        </w:rPr>
        <w:t xml:space="preserve"> risk stratification.</w:t>
      </w:r>
      <w:sdt>
        <w:sdtPr>
          <w:rPr>
            <w:bCs/>
            <w:color w:val="000000"/>
            <w:shd w:val="clear" w:color="auto" w:fill="FFFFFF"/>
            <w:vertAlign w:val="superscript"/>
          </w:rPr>
          <w:tag w:val="MENDELEY_CITATION_v3_eyJjaXRhdGlvbklEIjoiTUVOREVMRVlfQ0lUQVRJT05fMjU5NWU3NDEtYmQxNC00NjQzLWJkNDItNWUxYTlhNzU0ZTYzIiwicHJvcGVydGllcyI6eyJub3RlSW5kZXgiOjB9LCJpc0VkaXRlZCI6ZmFsc2UsIm1hbnVhbE92ZXJyaWRlIjp7ImlzTWFudWFsbHlPdmVycmlkZGVuIjpmYWxzZSwiY2l0ZXByb2NUZXh0IjoiPHN1cD4xPC9zdXA+IiwibWFudWFsT3ZlcnJpZGVUZXh0IjoiIn0sImNpdGF0aW9uSXRlbXMiOlt7ImlkIjoiNjk4NjkzMGUtYzk4Mi0zYzZjLThhMGMtM2M0YzllMTJmY2RmIiwiaXRlbURhdGEiOnsidHlwZSI6ImFydGljbGUtam91cm5hbCIsImlkIjoiNjk4NjkzMGUtYzk4Mi0zYzZjLThhMGMtM2M0YzllMTJmY2RmIiwidGl0bGUiOiJQcm90b2NvbCBmb3IgSUNpQ0xlLUFMTC0xNCAoSW5QT0ctQUxMLTE1LTAxKTogYSBwcm9zcGVjdGl2ZSwgcmlzayBzdHJhdGlmaWVkLCByYW5kb21pc2VkLCBtdWx0aWNlbnRyZSwgb3BlbiBsYWJlbCwgY29udHJvbGxlZCB0aGVyYXBldXRpYyB0cmlhbCBmb3IgbmV3bHkgZGlhZ25vc2VkIGNoaWxkaG9vZCBhY3V0ZSBseW1waG9ibGFzdGljIGxldWthZW1pYSBpbiBJbmRpYSIsImF1dGhvciI6W3siZmFtaWx5IjoiRGFzIiwiZ2l2ZW4iOiJOYW5kYW5hIiwicGFyc2UtbmFtZXMiOmZhbHNlLCJkcm9wcGluZy1wYXJ0aWNsZSI6IiIsIm5vbi1kcm9wcGluZy1wYXJ0aWNsZSI6IiJ9LHsiZmFtaWx5IjoiQmFuYXZhbGkiLCJnaXZlbiI6IlNocmlwYWQiLCJwYXJzZS1uYW1lcyI6ZmFsc2UsImRyb3BwaW5nLXBhcnRpY2xlIjoiIiwibm9uLWRyb3BwaW5nLXBhcnRpY2xlIjoiIn0seyJmYW1pbHkiOiJCYWtoc2hpIiwiZ2l2ZW4iOiJTYW1lZXIiLCJwYXJzZS1uYW1lcyI6ZmFsc2UsImRyb3BwaW5nLXBhcnRpY2xlIjoiIiwibm9uLWRyb3BwaW5nLXBhcnRpY2xlIjoiIn0seyJmYW1pbHkiOiJUcmVoYW4iLCJnaXZlbiI6IkFtaXRhIiwicGFyc2UtbmFtZXMiOmZhbHNlLCJkcm9wcGluZy1wYXJ0aWNsZSI6IiIsIm5vbi1kcm9wcGluZy1wYXJ0aWNsZSI6IiJ9LHsiZmFtaWx5IjoiUmFkaGFrcmlzaG5hbiIsImdpdmVuIjoiVmVua2F0cmFtYW4iLCJwYXJzZS1uYW1lcyI6ZmFsc2UsImRyb3BwaW5nLXBhcnRpY2xlIjoiIiwibm9uLWRyb3BwaW5nLXBhcnRpY2xlIjoiIn0seyJmYW1pbHkiOiJTZXRoIiwiZ2l2ZW4iOiJSYWNobmEiLCJwYXJzZS1uYW1lcyI6ZmFsc2UsImRyb3BwaW5nLXBhcnRpY2xlIjoiIiwibm9uLWRyb3BwaW5nLXBhcnRpY2xlIjoiIn0seyJmYW1pbHkiOiJBcm9yYSIsImdpdmVuIjoiQnJpamVzaCIsInBhcnNlLW5hbWVzIjpmYWxzZSwiZHJvcHBpbmctcGFydGljbGUiOiIiLCJub24tZHJvcHBpbmctcGFydGljbGUiOiIifSx7ImZhbWlseSI6Ik5hcnVsYSIsImdpdmVuIjoiR2F1cmF2IiwicGFyc2UtbmFtZXMiOmZhbHNlLCJkcm9wcGluZy1wYXJ0aWNsZSI6IiIsIm5vbi1kcm9wcGluZy1wYXJ0aWNsZSI6IiJ9LHsiZmFtaWx5IjoiU2luaGEiLCJnaXZlbiI6IlN1YmlyIiwicGFyc2UtbmFtZXMiOmZhbHNlLCJkcm9wcGluZy1wYXJ0aWNsZSI6IiIsIm5vbi1kcm9wcGluZy1wYXJ0aWNsZSI6IiJ9LHsiZmFtaWx5IjoiUm95IiwiZ2l2ZW4iOiJQcmFrcml0aSIsInBhcnNlLW5hbWVzIjpmYWxzZSwiZHJvcHBpbmctcGFydGljbGUiOiIiLCJub24tZHJvcHBpbmctcGFydGljbGUiOiIifSx7ImZhbWlseSI6IkdvZ29pIiwiZ2l2ZW4iOiJNYW5hc2ggUHJhdGltIiwicGFyc2UtbmFtZXMiOmZhbHNlLCJkcm9wcGluZy1wYXJ0aWNsZSI6IiIsIm5vbi1kcm9wcGluZy1wYXJ0aWNsZSI6IiJ9LHsiZmFtaWx5IjoiQ2hhdHRlcmplZSIsImdpdmVuIjoiU2F5YW4iLCJwYXJzZS1uYW1lcyI6ZmFsc2UsImRyb3BwaW5nLXBhcnRpY2xlIjoiIiwibm9uLWRyb3BwaW5nLXBhcnRpY2xlIjoiIn0seyJmYW1pbHkiOiJBYnJhaGFtIiwiZ2l2ZW4iOiJCaW5kaHUiLCJwYXJzZS1uYW1lcyI6ZmFsc2UsImRyb3BwaW5nLXBhcnRpY2xlIjoiIiwibm9uLWRyb3BwaW5nLXBhcnRpY2xlIjoiIn0seyJmYW1pbHkiOiJEYXMiLCJnaXZlbiI6IlBhcmFnIiwicGFyc2UtbmFtZXMiOmZhbHNlLCJkcm9wcGluZy1wYXJ0aWNsZSI6IiIsIm5vbi1kcm9wcGluZy1wYXJ0aWNsZSI6IiJ9LHsiZmFtaWx5IjoiU2FoYSIsImdpdmVuIjoiVmFza2FyIiwicGFyc2UtbmFtZXMiOmZhbHNlLCJkcm9wcGluZy1wYXJ0aWNsZSI6IiIsIm5vbi1kcm9wcGluZy1wYXJ0aWNsZSI6IiJ9LHsiZmFtaWx5IjoiS3Jpc2huYW4iLCJnaXZlbiI6IlNoZWtoYXIiLCJwYXJzZS1uYW1lcyI6ZmFsc2UsImRyb3BwaW5nLXBhcnRpY2xlIjoiIiwibm9uLWRyb3BwaW5nLXBhcnRpY2xlIjoiIn1dLCJjb250YWluZXItdGl0bGUiOiJUcmlhbHMiLCJjb250YWluZXItdGl0bGUtc2hvcnQiOiJUcmlhbHMiLCJhY2Nlc3NlZCI6eyJkYXRlLXBhcnRzIjpbWzIwMjMsNywyMV1dfSwiRE9JIjoiMTAuMTE4Ni9TMTMwNjMtMDIyLTA2MDMzLTEvRklHVVJFUy80IiwiSVNTTiI6IjE3NDU2MjE1IiwiUE1JRCI6IjM1MTAxMDk5IiwiVVJMIjoiaHR0cHM6Ly90cmlhbHNqb3VybmFsLmJpb21lZGNlbnRyYWwuY29tL2FydGljbGVzLzEwLjExODYvczEzMDYzLTAyMi0wNjAzMy0xIiwiaXNzdWVkIjp7ImRhdGUtcGFydHMiOltbMjAyMiwxMiwxXV19LCJwYWdlIjoiMS0yMCIsImFic3RyYWN0IjoiQmFja2dyb3VuZDogSW4gdGhlIHdlc3QsIHN1cnZpdmFsIGZvbGxvd2luZyB0cmVhdG1lbnQgb2YgY2hpbGRob29kIGFjdXRlIGx5bXBob2JsYXN0aWMgbGV1a2FlbWlhIChBTEwpIGFwcHJvYWNoZXMgOTAlLiBPdXRjb21lcyBpbiBJbmRpYSBkbyBub3QgZXhjZWVkIDcwJS4gVG8gYWRkcmVzcyB0aGlzIGRpc3Bhcml0eSwgdGhlIEluZGlhbiBDb2xsYWJvcmF0aXZlIENoaWxkaG9vZCBMZXVrYWVtaWEgZ3JvdXAgKElDaUNMZSkgZGV2ZWxvcGVkIGluIDIwMTMgYSBjb250ZW1wb3JhcnkgdHJlYXRtZW50IHByb3RvY29sIGZvciB1bmlmb3JtIHJpc2stc3RyYXRpZmllZCBtYW5hZ2VtZW50IG9mIGZpcnN0IHByZXNlbnRhdGlvbiBBTEwgYmFzZWQgb24gY3l0b2dlbmV0aWNzIGFuZCBtaW5pbWFsIHJlc2lkdWFsIGRpc2Vhc2UgbGV2ZWxzIChNUkQpLiBBIG11bHRpY2VudHJlIHJhbmRvbWlzZWQgY2xpbmljYWwgdHJpYWwgb3BlbmVkIGluIDIwMTYgKElDaUNMZS1BTEwtMTQpIGFuZCBleGFtaW5lcyB0aGUgYmVuZWZpdCBvZiByYW5kb21pc2VkIGludGVydmVudGlvbnMgdG8gZGVjcmVhc2UgdG94aWNpdHkgYW5kIGltcHJvdmUgb3V0Y29tZXMuIE1ldGhvZHM6IFBhdGllbnRzIDHigJMxOCB5ZWFycyB3aXRoIG5ld2x5IGRpYWdub3NlZCBBTEwgYXJlIGNhdGVnb3Jpc2VkIGludG8gZm91ciByaXNrIGdyb3VwcyBiYXNlZCBvbiBwcmVzZW50YXRpb24gZmVhdHVyZXMsIHR1bW91ciBnZW5ldGljcyBhbmQgdHJlYXRtZW50IHJlc3BvbnNlLiBTdGFuZGFyZCByaXNrIGluY2x1ZGVzIHlvdW5nICg8IDEwIHllYXJzKSBCIGNlbGwgcHJlY3Vyc29yIEFMTCAoQkNQLUFMTCkgcGF0aWVudHMgd2l0aCBsb3cgcHJlc2VudGF0aW9uIGxldWNvY3l0ZSBjb3VudCAoPCA1MCDDlyAxMDkvTCkgYW5kIG5vIGhpZ2gtcmlzayBmZWF0dXJlcy4gSW50ZXJtZWRpYXRlIHJpc2sgaW5jbHVkZXMgQkNQLUFMTCBwYXRpZW50cyB3aXRoIG5vIGhpZ2gtcmlzayBmZWF0dXJlcyBidXQgYXJlIG9sZGVyIGFuZCBoYXZlIGhpZ2ggcHJlc2VudGF0aW9uIGxldWNvY3l0ZSBjb3VudHMgYW5kL29yIGJ1bGt5IGRpc2Vhc2UuIEhpZ2ggcmlzayBpbmNsdWRlcyBCQ1AtQUxMIHBhdGllbnRzIHdpdGggYW55IGhpZ2gtcmlzayBmZWF0dXJlLCBpbmNsdWRpbmcgaGlnaC1yaXNrIGdlbmV0aWNzLCBjZW50cmFsIG5lcnZvdXMgc3lzdGVtIGxldWthZW1pYSwgcG9vciBwcmVkbmlzb2xvbmUgcmVzcG9uc2UgYXQgdHJlYXRtZW50IGRheSA4IGFuZCBoaWdoIE1SRCAo4omlIDDCtzAxJSkgYXQgdGhlIGVuZCBvZiBpbmR1Y3Rpb24uIFBhdGllbnRzIHdpdGggVC1saW5lYWdlIEFMTCBjb25zdGl0dXRlIHRoZSBmb3VydGggcmlzayBncm91cC4gQWxsIHBhdGllbnRzIHJlY2VpdmUgZm91ciBpbnRlbnNpdmUgdHJlYXRtZW50IGJsb2NrcyAoaW5kdWN0aW9uLCBjb25zb2xpZGF0aW9uLCBpbnRlcmltIG1haW50ZW5hbmNlLCBkZWxheWVkIGludGVuc2lmaWNhdGlvbikgZm9sbG93ZWQgYnkgOTYgd2Vla3Mgb2YgbWFpbnRlbmFuY2UuIFRyZWF0bWVudCBpbnRlbnNpdHkgdmFyaWVzIGJ5IHJpc2sgZ3JvdXAuIENsaW5pY2FsIGRhdGEgbWFuYWdlbWVudCBpcyBiYXNlZCBvbiBhIHdlYi1iYXNlZCByZW1vdGUgZGF0YSBjYXB0dXJlIHN5c3RlbS4gVGhlIGZpcnN0IHJhbmRvbWlzYXRpb24gZXhhbWluZXMgdGhlIHRveGljaXR5IGltcGFjdCBvZiBhIHNob3J0ZXIgaW5kdWN0aW9uIHNjaGVkdWxlIG9mIHByZWRuaXNvbG9uZSAoMyB2cyA1IHdlZWtzKSBpbiB5b3VuZyBub24taGlnaC1yaXNrIEJDUC1BTEwuIFRoZSBzZWNvbmQgcmFuZG9taXNhdGlvbiBleGFtaW5lcyB0aGUgc3Vydml2YWwgYmVuZWZpdCBvZiBzdWJzdGl0dXRpbmcgZG94b3J1YmljaW4gd2l0aCBtaXRveGFudHJvbmUgaW4gZGVsYXllZCBpbnRlbnNpZmljYXRpb24gZm9yIGFsbCBwYXRpZW50cy4gUHJpbWFyeSBvdXRjb21lIG1lYXN1cmVzIGluY2x1ZGUgZXZlbnQtZnJlZSBzdXJ2aXZhbCAob3ZlcmFsbCwgYnkgcmlzayBncm91cHMpLCBzZXBzaXMgcmF0ZXMgaW4gaW5kdWN0aW9uIChmaXJzdCByYW5kb21pc2F0aW9uKSBhbmQgZXZlbnQtZnJlZSBzdXJ2aXZhbCByYXRlcyBmb2xsb3dpbmcgc2Vjb25kIHJhbmRvbWlzYXRpb24uIERpc2N1c3Npb246IElDaUNMZS1BTEwtMTQgaXMgdGhlIGZpcnN0IG11bHRpY2VudHJlIHJhbmRvbWlzZWQgY2hpbGRob29kIGNhbmNlciBjbGluaWNhbCB0cmlhbCBpbiBJbmRpYS4gVGhlIHByZS10cmlhbCBwaGFzZSBhbGxvd2VkIHN0YW5kYXJkaXNhdGlvbiBvZiByaXNrLXN0cmF0aWZpY2F0aW9uIGRpYWdub3N0aWNzIGFuZCBlc3RhYmxpc2hlZCB0aGUgZmVhc2liaWxpdHkgb2YgY29sbGFib3JhdGl2ZSBwcmFjdGljZSwgdW5pZm9ybSB0cmVhdG1lbnQsIHBhdGllbnQgZW5yb2xtZW50IGFuZCBkYXRhIGNhcHR1cmUuIFByZS10cmlhbCBvYnNlcnZhdGlvbnMgY29uZmlybSB0aGUgaW1wYWN0IG9mIHJpc2stc3RyYXRpZmllZCB0aGVyYXB5IGluIHJlZHVjaW5nIHRyZWF0bWVudC1yZWxhdGVkIGRlYXRocyBhbmQgY29zdHMuIFVuaWZvcm0gcHJhY3RpY2UgYWNyb3NzIGNlbnRyZXMgYWxsb3dzIHBhdGllbnRzIHRvIGFjY2VzcyBjYXJlIGxvY2FsbHksIHBvdGVudGlhbGx5IGRlY3JlYXNpbmcgZmluYW5jaWFsIGhhcmRzaGlwIGFuZCBkaXNsb2NhdGlvbi4gVHJpYWwgcmVnaXN0cmF0aW9uOiBDbGluaWNhbCBUcmlhbHMgUmVnaXN0cnktSW5kaWEgKENUUkkpIENUUkkvMjAxNS8xMi8wMDY0MzQuIFJlZ2lzdGVyZWQgb24gMTEgRGVjZW1iZXIgMjAxNS4iLCJwdWJsaXNoZXIiOiJCaW9NZWQgQ2VudHJhbCBMdGQiLCJpc3N1ZSI6IjEiLCJ2b2x1bWUiOiIyMyJ9LCJpc1RlbXBvcmFyeSI6ZmFsc2V9XX0="/>
          <w:id w:val="-316113195"/>
          <w:placeholder>
            <w:docPart w:val="DefaultPlaceholder_-1854013440"/>
          </w:placeholder>
        </w:sdtPr>
        <w:sdtEndPr/>
        <w:sdtContent>
          <w:r w:rsidR="00272696" w:rsidRPr="00272696">
            <w:rPr>
              <w:bCs/>
              <w:color w:val="000000"/>
              <w:shd w:val="clear" w:color="auto" w:fill="FFFFFF"/>
              <w:vertAlign w:val="superscript"/>
            </w:rPr>
            <w:t>1</w:t>
          </w:r>
        </w:sdtContent>
      </w:sdt>
      <w:r w:rsidRPr="00460C67">
        <w:rPr>
          <w:bCs/>
          <w:color w:val="000000"/>
          <w:shd w:val="clear" w:color="auto" w:fill="FFFFFF"/>
        </w:rPr>
        <w:t xml:space="preserve"> </w:t>
      </w:r>
    </w:p>
    <w:p w14:paraId="45C7BFD1" w14:textId="1C966BD7" w:rsidR="00D41C1A" w:rsidRPr="00D41C1A" w:rsidRDefault="00D41C1A" w:rsidP="00D41C1A">
      <w:pPr>
        <w:spacing w:before="100" w:beforeAutospacing="1" w:after="100" w:afterAutospacing="1" w:line="240" w:lineRule="auto"/>
        <w:rPr>
          <w:rFonts w:ascii="Times New Roman" w:eastAsia="Times New Roman" w:hAnsi="Times New Roman" w:cs="Times New Roman"/>
          <w:sz w:val="24"/>
          <w:szCs w:val="24"/>
          <w:lang w:eastAsia="en-IN"/>
        </w:rPr>
      </w:pPr>
      <w:r w:rsidRPr="00D41C1A">
        <w:rPr>
          <w:rFonts w:ascii="Times New Roman" w:eastAsia="Times New Roman" w:hAnsi="Times New Roman" w:cs="Times New Roman"/>
          <w:noProof/>
          <w:sz w:val="24"/>
          <w:szCs w:val="24"/>
          <w:lang w:eastAsia="en-IN"/>
        </w:rPr>
        <w:lastRenderedPageBreak/>
        <w:drawing>
          <wp:inline distT="0" distB="0" distL="0" distR="0" wp14:anchorId="3685CAF4" wp14:editId="3B7914B0">
            <wp:extent cx="5614598" cy="3158212"/>
            <wp:effectExtent l="0" t="0" r="5715" b="4445"/>
            <wp:docPr id="3" name="Picture 3" descr="C:\users\user\OneDrive\TMH\Publication\B-others\Manuscript\October_2024\Version 4\Supplementary 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OneDrive\TMH\Publication\B-others\Manuscript\October_2024\Version 4\Supplementary Figure 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24994" cy="3164060"/>
                    </a:xfrm>
                    <a:prstGeom prst="rect">
                      <a:avLst/>
                    </a:prstGeom>
                    <a:noFill/>
                    <a:ln>
                      <a:noFill/>
                    </a:ln>
                  </pic:spPr>
                </pic:pic>
              </a:graphicData>
            </a:graphic>
          </wp:inline>
        </w:drawing>
      </w:r>
    </w:p>
    <w:p w14:paraId="2F8D6B85" w14:textId="56B0BB4A" w:rsidR="00D41C1A" w:rsidRPr="00D41C1A" w:rsidRDefault="00D41C1A" w:rsidP="00D41C1A">
      <w:pPr>
        <w:spacing w:before="100" w:beforeAutospacing="1" w:after="100" w:afterAutospacing="1" w:line="240" w:lineRule="auto"/>
        <w:rPr>
          <w:rFonts w:ascii="Times New Roman" w:eastAsia="Times New Roman" w:hAnsi="Times New Roman" w:cs="Times New Roman"/>
          <w:sz w:val="24"/>
          <w:szCs w:val="24"/>
          <w:lang w:eastAsia="en-IN"/>
        </w:rPr>
      </w:pPr>
    </w:p>
    <w:p w14:paraId="7FE0652A" w14:textId="35508822" w:rsidR="00D41C1A" w:rsidRDefault="00D41C1A" w:rsidP="008215E6">
      <w:pPr>
        <w:pStyle w:val="NormalWeb"/>
        <w:spacing w:before="240" w:beforeAutospacing="0" w:after="240" w:afterAutospacing="0" w:line="480" w:lineRule="auto"/>
        <w:jc w:val="both"/>
        <w:rPr>
          <w:b/>
          <w:highlight w:val="white"/>
        </w:rPr>
      </w:pPr>
      <w:r>
        <w:rPr>
          <w:b/>
          <w:highlight w:val="white"/>
        </w:rPr>
        <w:t xml:space="preserve">Supplementary Figure 2. </w:t>
      </w:r>
      <w:r w:rsidR="006E57A5">
        <w:rPr>
          <w:rStyle w:val="Strong"/>
        </w:rPr>
        <w:t>Schematic overview of risk-stratified treatment and randomized interventions for patients diagnosed with B-ALL in the ICiCLe-ALL-14 protocol.</w:t>
      </w:r>
      <w:r w:rsidR="006E57A5">
        <w:t xml:space="preserve"> Patients are divided into three risk categories: Standard Risk (SR), Intermediate Risk (IR), and High Risk (</w:t>
      </w:r>
      <w:proofErr w:type="spellStart"/>
      <w:r w:rsidR="006E57A5">
        <w:t>HiR</w:t>
      </w:r>
      <w:proofErr w:type="spellEnd"/>
      <w:r w:rsidR="006E57A5">
        <w:t>). Each risk group undergoes four sequential blocks of intensive therapy—</w:t>
      </w:r>
      <w:r w:rsidR="006E57A5">
        <w:rPr>
          <w:rStyle w:val="Strong"/>
        </w:rPr>
        <w:t>Induction</w:t>
      </w:r>
      <w:r w:rsidR="006E57A5">
        <w:t xml:space="preserve"> (which includes a 7-day prednisolone pre-phase), </w:t>
      </w:r>
      <w:r w:rsidR="006E57A5">
        <w:rPr>
          <w:rStyle w:val="Strong"/>
        </w:rPr>
        <w:t>Consolidation</w:t>
      </w:r>
      <w:r w:rsidR="006E57A5">
        <w:t xml:space="preserve">, </w:t>
      </w:r>
      <w:r w:rsidR="006E57A5">
        <w:rPr>
          <w:rStyle w:val="Strong"/>
        </w:rPr>
        <w:t>Interim Maintenance (IM)</w:t>
      </w:r>
      <w:r w:rsidR="006E57A5">
        <w:t xml:space="preserve">, and </w:t>
      </w:r>
      <w:r w:rsidR="006E57A5">
        <w:rPr>
          <w:rStyle w:val="Strong"/>
        </w:rPr>
        <w:t>Delayed Intensification (DI)</w:t>
      </w:r>
      <w:r w:rsidR="006E57A5">
        <w:t xml:space="preserve">—followed by 24 months of maintenance therapy. Treatment intensity increases with risk category, with the </w:t>
      </w:r>
      <w:proofErr w:type="spellStart"/>
      <w:r w:rsidR="006E57A5">
        <w:t>HiR</w:t>
      </w:r>
      <w:proofErr w:type="spellEnd"/>
      <w:r w:rsidR="006E57A5">
        <w:t xml:space="preserve"> group receiving the most intensive regimen. Younger patients (&lt; 10 years) in the SR and IR categories are randomized in the Induction phase to either the standard continuous prednisolone schedule (R1 Arm A) over 4 weeks with tapering or a shorter, pulsed schedule (R1 Arm B: days 1-14, and 22-28). A second randomization, open to all risk groups, assigns patients in the DI phase to either 3 doses of doxorubicin (R2 Arm A) or a single dose of mitoxantrone (R2 Arm B). Abbreviations: 6-MP, 6-mercaptopurine; ARA-C, cytarabine; CNS+, central nervous system </w:t>
      </w:r>
      <w:r w:rsidR="006E57A5">
        <w:lastRenderedPageBreak/>
        <w:t xml:space="preserve">involvement; CTX, cyclophosphamide; </w:t>
      </w:r>
      <w:proofErr w:type="spellStart"/>
      <w:r w:rsidR="006E57A5">
        <w:t>Dauno</w:t>
      </w:r>
      <w:proofErr w:type="spellEnd"/>
      <w:r w:rsidR="006E57A5">
        <w:t>, daunorubicin; DXM, dexamethasone; HD-MTX, high-dose methotrexate; IT-MTX, intrathecal methotrexate; IV, intravenous; L-Asp, E. coli L-asparaginase; MRD, minimal residual disease; MTX, methotrexate; PRDL, prednisolone; VCR, vincristine (Adapted from</w:t>
      </w:r>
      <w:r w:rsidR="00272696">
        <w:t xml:space="preserve"> Das N et al.)</w:t>
      </w:r>
      <w:r w:rsidR="006E57A5">
        <w:t xml:space="preserve"> </w:t>
      </w:r>
      <w:sdt>
        <w:sdtPr>
          <w:rPr>
            <w:color w:val="000000"/>
            <w:vertAlign w:val="superscript"/>
          </w:rPr>
          <w:tag w:val="MENDELEY_CITATION_v3_eyJjaXRhdGlvbklEIjoiTUVOREVMRVlfQ0lUQVRJT05fZTlkYmRkYjAtN2VmOS00NGRkLWI2NWYtMTc3NDZlOWY3NDk0IiwicHJvcGVydGllcyI6eyJub3RlSW5kZXgiOjB9LCJpc0VkaXRlZCI6ZmFsc2UsIm1hbnVhbE92ZXJyaWRlIjp7ImlzTWFudWFsbHlPdmVycmlkZGVuIjpmYWxzZSwiY2l0ZXByb2NUZXh0IjoiPHN1cD4xPC9zdXA+IiwibWFudWFsT3ZlcnJpZGVUZXh0IjoiIn0sImNpdGF0aW9uSXRlbXMiOlt7ImlkIjoiNjk4NjkzMGUtYzk4Mi0zYzZjLThhMGMtM2M0YzllMTJmY2RmIiwiaXRlbURhdGEiOnsidHlwZSI6ImFydGljbGUtam91cm5hbCIsImlkIjoiNjk4NjkzMGUtYzk4Mi0zYzZjLThhMGMtM2M0YzllMTJmY2RmIiwidGl0bGUiOiJQcm90b2NvbCBmb3IgSUNpQ0xlLUFMTC0xNCAoSW5QT0ctQUxMLTE1LTAxKTogYSBwcm9zcGVjdGl2ZSwgcmlzayBzdHJhdGlmaWVkLCByYW5kb21pc2VkLCBtdWx0aWNlbnRyZSwgb3BlbiBsYWJlbCwgY29udHJvbGxlZCB0aGVyYXBldXRpYyB0cmlhbCBmb3IgbmV3bHkgZGlhZ25vc2VkIGNoaWxkaG9vZCBhY3V0ZSBseW1waG9ibGFzdGljIGxldWthZW1pYSBpbiBJbmRpYSIsImF1dGhvciI6W3siZmFtaWx5IjoiRGFzIiwiZ2l2ZW4iOiJOYW5kYW5hIiwicGFyc2UtbmFtZXMiOmZhbHNlLCJkcm9wcGluZy1wYXJ0aWNsZSI6IiIsIm5vbi1kcm9wcGluZy1wYXJ0aWNsZSI6IiJ9LHsiZmFtaWx5IjoiQmFuYXZhbGkiLCJnaXZlbiI6IlNocmlwYWQiLCJwYXJzZS1uYW1lcyI6ZmFsc2UsImRyb3BwaW5nLXBhcnRpY2xlIjoiIiwibm9uLWRyb3BwaW5nLXBhcnRpY2xlIjoiIn0seyJmYW1pbHkiOiJCYWtoc2hpIiwiZ2l2ZW4iOiJTYW1lZXIiLCJwYXJzZS1uYW1lcyI6ZmFsc2UsImRyb3BwaW5nLXBhcnRpY2xlIjoiIiwibm9uLWRyb3BwaW5nLXBhcnRpY2xlIjoiIn0seyJmYW1pbHkiOiJUcmVoYW4iLCJnaXZlbiI6IkFtaXRhIiwicGFyc2UtbmFtZXMiOmZhbHNlLCJkcm9wcGluZy1wYXJ0aWNsZSI6IiIsIm5vbi1kcm9wcGluZy1wYXJ0aWNsZSI6IiJ9LHsiZmFtaWx5IjoiUmFkaGFrcmlzaG5hbiIsImdpdmVuIjoiVmVua2F0cmFtYW4iLCJwYXJzZS1uYW1lcyI6ZmFsc2UsImRyb3BwaW5nLXBhcnRpY2xlIjoiIiwibm9uLWRyb3BwaW5nLXBhcnRpY2xlIjoiIn0seyJmYW1pbHkiOiJTZXRoIiwiZ2l2ZW4iOiJSYWNobmEiLCJwYXJzZS1uYW1lcyI6ZmFsc2UsImRyb3BwaW5nLXBhcnRpY2xlIjoiIiwibm9uLWRyb3BwaW5nLXBhcnRpY2xlIjoiIn0seyJmYW1pbHkiOiJBcm9yYSIsImdpdmVuIjoiQnJpamVzaCIsInBhcnNlLW5hbWVzIjpmYWxzZSwiZHJvcHBpbmctcGFydGljbGUiOiIiLCJub24tZHJvcHBpbmctcGFydGljbGUiOiIifSx7ImZhbWlseSI6Ik5hcnVsYSIsImdpdmVuIjoiR2F1cmF2IiwicGFyc2UtbmFtZXMiOmZhbHNlLCJkcm9wcGluZy1wYXJ0aWNsZSI6IiIsIm5vbi1kcm9wcGluZy1wYXJ0aWNsZSI6IiJ9LHsiZmFtaWx5IjoiU2luaGEiLCJnaXZlbiI6IlN1YmlyIiwicGFyc2UtbmFtZXMiOmZhbHNlLCJkcm9wcGluZy1wYXJ0aWNsZSI6IiIsIm5vbi1kcm9wcGluZy1wYXJ0aWNsZSI6IiJ9LHsiZmFtaWx5IjoiUm95IiwiZ2l2ZW4iOiJQcmFrcml0aSIsInBhcnNlLW5hbWVzIjpmYWxzZSwiZHJvcHBpbmctcGFydGljbGUiOiIiLCJub24tZHJvcHBpbmctcGFydGljbGUiOiIifSx7ImZhbWlseSI6IkdvZ29pIiwiZ2l2ZW4iOiJNYW5hc2ggUHJhdGltIiwicGFyc2UtbmFtZXMiOmZhbHNlLCJkcm9wcGluZy1wYXJ0aWNsZSI6IiIsIm5vbi1kcm9wcGluZy1wYXJ0aWNsZSI6IiJ9LHsiZmFtaWx5IjoiQ2hhdHRlcmplZSIsImdpdmVuIjoiU2F5YW4iLCJwYXJzZS1uYW1lcyI6ZmFsc2UsImRyb3BwaW5nLXBhcnRpY2xlIjoiIiwibm9uLWRyb3BwaW5nLXBhcnRpY2xlIjoiIn0seyJmYW1pbHkiOiJBYnJhaGFtIiwiZ2l2ZW4iOiJCaW5kaHUiLCJwYXJzZS1uYW1lcyI6ZmFsc2UsImRyb3BwaW5nLXBhcnRpY2xlIjoiIiwibm9uLWRyb3BwaW5nLXBhcnRpY2xlIjoiIn0seyJmYW1pbHkiOiJEYXMiLCJnaXZlbiI6IlBhcmFnIiwicGFyc2UtbmFtZXMiOmZhbHNlLCJkcm9wcGluZy1wYXJ0aWNsZSI6IiIsIm5vbi1kcm9wcGluZy1wYXJ0aWNsZSI6IiJ9LHsiZmFtaWx5IjoiU2FoYSIsImdpdmVuIjoiVmFza2FyIiwicGFyc2UtbmFtZXMiOmZhbHNlLCJkcm9wcGluZy1wYXJ0aWNsZSI6IiIsIm5vbi1kcm9wcGluZy1wYXJ0aWNsZSI6IiJ9LHsiZmFtaWx5IjoiS3Jpc2huYW4iLCJnaXZlbiI6IlNoZWtoYXIiLCJwYXJzZS1uYW1lcyI6ZmFsc2UsImRyb3BwaW5nLXBhcnRpY2xlIjoiIiwibm9uLWRyb3BwaW5nLXBhcnRpY2xlIjoiIn1dLCJjb250YWluZXItdGl0bGUiOiJUcmlhbHMiLCJjb250YWluZXItdGl0bGUtc2hvcnQiOiJUcmlhbHMiLCJhY2Nlc3NlZCI6eyJkYXRlLXBhcnRzIjpbWzIwMjMsNywyMV1dfSwiRE9JIjoiMTAuMTE4Ni9TMTMwNjMtMDIyLTA2MDMzLTEvRklHVVJFUy80IiwiSVNTTiI6IjE3NDU2MjE1IiwiUE1JRCI6IjM1MTAxMDk5IiwiVVJMIjoiaHR0cHM6Ly90cmlhbHNqb3VybmFsLmJpb21lZGNlbnRyYWwuY29tL2FydGljbGVzLzEwLjExODYvczEzMDYzLTAyMi0wNjAzMy0xIiwiaXNzdWVkIjp7ImRhdGUtcGFydHMiOltbMjAyMiwxMiwxXV19LCJwYWdlIjoiMS0yMCIsImFic3RyYWN0IjoiQmFja2dyb3VuZDogSW4gdGhlIHdlc3QsIHN1cnZpdmFsIGZvbGxvd2luZyB0cmVhdG1lbnQgb2YgY2hpbGRob29kIGFjdXRlIGx5bXBob2JsYXN0aWMgbGV1a2FlbWlhIChBTEwpIGFwcHJvYWNoZXMgOTAlLiBPdXRjb21lcyBpbiBJbmRpYSBkbyBub3QgZXhjZWVkIDcwJS4gVG8gYWRkcmVzcyB0aGlzIGRpc3Bhcml0eSwgdGhlIEluZGlhbiBDb2xsYWJvcmF0aXZlIENoaWxkaG9vZCBMZXVrYWVtaWEgZ3JvdXAgKElDaUNMZSkgZGV2ZWxvcGVkIGluIDIwMTMgYSBjb250ZW1wb3JhcnkgdHJlYXRtZW50IHByb3RvY29sIGZvciB1bmlmb3JtIHJpc2stc3RyYXRpZmllZCBtYW5hZ2VtZW50IG9mIGZpcnN0IHByZXNlbnRhdGlvbiBBTEwgYmFzZWQgb24gY3l0b2dlbmV0aWNzIGFuZCBtaW5pbWFsIHJlc2lkdWFsIGRpc2Vhc2UgbGV2ZWxzIChNUkQpLiBBIG11bHRpY2VudHJlIHJhbmRvbWlzZWQgY2xpbmljYWwgdHJpYWwgb3BlbmVkIGluIDIwMTYgKElDaUNMZS1BTEwtMTQpIGFuZCBleGFtaW5lcyB0aGUgYmVuZWZpdCBvZiByYW5kb21pc2VkIGludGVydmVudGlvbnMgdG8gZGVjcmVhc2UgdG94aWNpdHkgYW5kIGltcHJvdmUgb3V0Y29tZXMuIE1ldGhvZHM6IFBhdGllbnRzIDHigJMxOCB5ZWFycyB3aXRoIG5ld2x5IGRpYWdub3NlZCBBTEwgYXJlIGNhdGVnb3Jpc2VkIGludG8gZm91ciByaXNrIGdyb3VwcyBiYXNlZCBvbiBwcmVzZW50YXRpb24gZmVhdHVyZXMsIHR1bW91ciBnZW5ldGljcyBhbmQgdHJlYXRtZW50IHJlc3BvbnNlLiBTdGFuZGFyZCByaXNrIGluY2x1ZGVzIHlvdW5nICg8IDEwIHllYXJzKSBCIGNlbGwgcHJlY3Vyc29yIEFMTCAoQkNQLUFMTCkgcGF0aWVudHMgd2l0aCBsb3cgcHJlc2VudGF0aW9uIGxldWNvY3l0ZSBjb3VudCAoPCA1MCDDlyAxMDkvTCkgYW5kIG5vIGhpZ2gtcmlzayBmZWF0dXJlcy4gSW50ZXJtZWRpYXRlIHJpc2sgaW5jbHVkZXMgQkNQLUFMTCBwYXRpZW50cyB3aXRoIG5vIGhpZ2gtcmlzayBmZWF0dXJlcyBidXQgYXJlIG9sZGVyIGFuZCBoYXZlIGhpZ2ggcHJlc2VudGF0aW9uIGxldWNvY3l0ZSBjb3VudHMgYW5kL29yIGJ1bGt5IGRpc2Vhc2UuIEhpZ2ggcmlzayBpbmNsdWRlcyBCQ1AtQUxMIHBhdGllbnRzIHdpdGggYW55IGhpZ2gtcmlzayBmZWF0dXJlLCBpbmNsdWRpbmcgaGlnaC1yaXNrIGdlbmV0aWNzLCBjZW50cmFsIG5lcnZvdXMgc3lzdGVtIGxldWthZW1pYSwgcG9vciBwcmVkbmlzb2xvbmUgcmVzcG9uc2UgYXQgdHJlYXRtZW50IGRheSA4IGFuZCBoaWdoIE1SRCAo4omlIDDCtzAxJSkgYXQgdGhlIGVuZCBvZiBpbmR1Y3Rpb24uIFBhdGllbnRzIHdpdGggVC1saW5lYWdlIEFMTCBjb25zdGl0dXRlIHRoZSBmb3VydGggcmlzayBncm91cC4gQWxsIHBhdGllbnRzIHJlY2VpdmUgZm91ciBpbnRlbnNpdmUgdHJlYXRtZW50IGJsb2NrcyAoaW5kdWN0aW9uLCBjb25zb2xpZGF0aW9uLCBpbnRlcmltIG1haW50ZW5hbmNlLCBkZWxheWVkIGludGVuc2lmaWNhdGlvbikgZm9sbG93ZWQgYnkgOTYgd2Vla3Mgb2YgbWFpbnRlbmFuY2UuIFRyZWF0bWVudCBpbnRlbnNpdHkgdmFyaWVzIGJ5IHJpc2sgZ3JvdXAuIENsaW5pY2FsIGRhdGEgbWFuYWdlbWVudCBpcyBiYXNlZCBvbiBhIHdlYi1iYXNlZCByZW1vdGUgZGF0YSBjYXB0dXJlIHN5c3RlbS4gVGhlIGZpcnN0IHJhbmRvbWlzYXRpb24gZXhhbWluZXMgdGhlIHRveGljaXR5IGltcGFjdCBvZiBhIHNob3J0ZXIgaW5kdWN0aW9uIHNjaGVkdWxlIG9mIHByZWRuaXNvbG9uZSAoMyB2cyA1IHdlZWtzKSBpbiB5b3VuZyBub24taGlnaC1yaXNrIEJDUC1BTEwuIFRoZSBzZWNvbmQgcmFuZG9taXNhdGlvbiBleGFtaW5lcyB0aGUgc3Vydml2YWwgYmVuZWZpdCBvZiBzdWJzdGl0dXRpbmcgZG94b3J1YmljaW4gd2l0aCBtaXRveGFudHJvbmUgaW4gZGVsYXllZCBpbnRlbnNpZmljYXRpb24gZm9yIGFsbCBwYXRpZW50cy4gUHJpbWFyeSBvdXRjb21lIG1lYXN1cmVzIGluY2x1ZGUgZXZlbnQtZnJlZSBzdXJ2aXZhbCAob3ZlcmFsbCwgYnkgcmlzayBncm91cHMpLCBzZXBzaXMgcmF0ZXMgaW4gaW5kdWN0aW9uIChmaXJzdCByYW5kb21pc2F0aW9uKSBhbmQgZXZlbnQtZnJlZSBzdXJ2aXZhbCByYXRlcyBmb2xsb3dpbmcgc2Vjb25kIHJhbmRvbWlzYXRpb24uIERpc2N1c3Npb246IElDaUNMZS1BTEwtMTQgaXMgdGhlIGZpcnN0IG11bHRpY2VudHJlIHJhbmRvbWlzZWQgY2hpbGRob29kIGNhbmNlciBjbGluaWNhbCB0cmlhbCBpbiBJbmRpYS4gVGhlIHByZS10cmlhbCBwaGFzZSBhbGxvd2VkIHN0YW5kYXJkaXNhdGlvbiBvZiByaXNrLXN0cmF0aWZpY2F0aW9uIGRpYWdub3N0aWNzIGFuZCBlc3RhYmxpc2hlZCB0aGUgZmVhc2liaWxpdHkgb2YgY29sbGFib3JhdGl2ZSBwcmFjdGljZSwgdW5pZm9ybSB0cmVhdG1lbnQsIHBhdGllbnQgZW5yb2xtZW50IGFuZCBkYXRhIGNhcHR1cmUuIFByZS10cmlhbCBvYnNlcnZhdGlvbnMgY29uZmlybSB0aGUgaW1wYWN0IG9mIHJpc2stc3RyYXRpZmllZCB0aGVyYXB5IGluIHJlZHVjaW5nIHRyZWF0bWVudC1yZWxhdGVkIGRlYXRocyBhbmQgY29zdHMuIFVuaWZvcm0gcHJhY3RpY2UgYWNyb3NzIGNlbnRyZXMgYWxsb3dzIHBhdGllbnRzIHRvIGFjY2VzcyBjYXJlIGxvY2FsbHksIHBvdGVudGlhbGx5IGRlY3JlYXNpbmcgZmluYW5jaWFsIGhhcmRzaGlwIGFuZCBkaXNsb2NhdGlvbi4gVHJpYWwgcmVnaXN0cmF0aW9uOiBDbGluaWNhbCBUcmlhbHMgUmVnaXN0cnktSW5kaWEgKENUUkkpIENUUkkvMjAxNS8xMi8wMDY0MzQuIFJlZ2lzdGVyZWQgb24gMTEgRGVjZW1iZXIgMjAxNS4iLCJwdWJsaXNoZXIiOiJCaW9NZWQgQ2VudHJhbCBMdGQiLCJpc3N1ZSI6IjEiLCJ2b2x1bWUiOiIyMyJ9LCJpc1RlbXBvcmFyeSI6ZmFsc2V9XX0="/>
          <w:id w:val="-1786269549"/>
          <w:placeholder>
            <w:docPart w:val="DefaultPlaceholder_-1854013440"/>
          </w:placeholder>
        </w:sdtPr>
        <w:sdtEndPr/>
        <w:sdtContent>
          <w:r w:rsidR="00272696" w:rsidRPr="00272696">
            <w:rPr>
              <w:color w:val="000000"/>
              <w:vertAlign w:val="superscript"/>
            </w:rPr>
            <w:t>1</w:t>
          </w:r>
        </w:sdtContent>
      </w:sdt>
    </w:p>
    <w:p w14:paraId="389FD32A" w14:textId="12F9066C" w:rsidR="008215E6" w:rsidRPr="00A00987" w:rsidRDefault="008755FA" w:rsidP="008215E6">
      <w:pPr>
        <w:pStyle w:val="NormalWeb"/>
        <w:spacing w:before="240" w:beforeAutospacing="0" w:after="240" w:afterAutospacing="0" w:line="480" w:lineRule="auto"/>
        <w:jc w:val="both"/>
        <w:rPr>
          <w:highlight w:val="white"/>
        </w:rPr>
      </w:pPr>
      <w:r w:rsidRPr="008755FA">
        <w:rPr>
          <w:b/>
          <w:highlight w:val="white"/>
        </w:rPr>
        <w:t>RNA sequencing</w:t>
      </w:r>
      <w:r w:rsidR="006840C3">
        <w:rPr>
          <w:b/>
          <w:highlight w:val="white"/>
        </w:rPr>
        <w:t xml:space="preserve">: </w:t>
      </w:r>
      <w:r w:rsidR="00645EB4" w:rsidRPr="00645EB4">
        <w:t>Targeted RNA sequencing was performed using the lymphoid module of our in-house assay, NARASIMHA,</w:t>
      </w:r>
      <w:sdt>
        <w:sdtPr>
          <w:rPr>
            <w:color w:val="000000"/>
            <w:vertAlign w:val="superscript"/>
          </w:rPr>
          <w:tag w:val="MENDELEY_CITATION_v3_eyJjaXRhdGlvbklEIjoiTUVOREVMRVlfQ0lUQVRJT05fZDZiNmY5Y2YtMGI3NS00YTBmLWJiODEtNTk4YTE1MzUxZmE0IiwicHJvcGVydGllcyI6eyJub3RlSW5kZXgiOjB9LCJpc0VkaXRlZCI6ZmFsc2UsIm1hbnVhbE92ZXJyaWRlIjp7ImlzTWFudWFsbHlPdmVycmlkZGVuIjpmYWxzZSwiY2l0ZXByb2NUZXh0IjoiPHN1cD4yPC9zdXA+IiwibWFudWFsT3ZlcnJpZGVUZXh0IjoiIn0sImNpdGF0aW9uSXRlbXMiOlt7ImlkIjoiMjJlZGViMWQtZjRkNi0zMjVlLWFkZTYtNGNiMTMwMmJiNjFkIiwiaXRlbURhdGEiOnsidHlwZSI6ImFydGljbGUtam91cm5hbCIsImlkIjoiMjJlZGViMWQtZjRkNi0zMjVlLWFkZTYtNGNiMTMwMmJiNjFkIiwidGl0bGUiOiJOQVJBU0lNSEE6IE5vdmVsIEFzc2F5IGJhc2VkIG9uIFRhcmdldGVkIFJOQSBTZXF1ZW5jaW5nIHRvIElkZW50aWZ5IENoaU1lcmljIEdlbmUgRnVzaW9ucyBpbiBIZW1hdG9sb2dpY2FsIE1hbGlnbmFuY2llcyIsImF1dGhvciI6W3siZmFtaWx5IjoiUGF0a2FyIiwiZ2l2ZW4iOiJOaWtoaWwiLCJwYXJzZS1uYW1lcyI6ZmFsc2UsImRyb3BwaW5nLXBhcnRpY2xlIjoiIiwibm9uLWRyb3BwaW5nLXBhcnRpY2xlIjoiIn0seyJmYW1pbHkiOiJCaGFuc2hlIiwiZ2l2ZW4iOiJQcmFzYW5uYSIsInBhcnNlLW5hbWVzIjpmYWxzZSwiZHJvcHBpbmctcGFydGljbGUiOiIiLCJub24tZHJvcHBpbmctcGFydGljbGUiOiIifSx7ImZhbWlseSI6IlJhanBhbCIsImdpdmVuIjoiU3dldGEiLCJwYXJzZS1uYW1lcyI6ZmFsc2UsImRyb3BwaW5nLXBhcnRpY2xlIjoiIiwibm9uLWRyb3BwaW5nLXBhcnRpY2xlIjoiIn0seyJmYW1pbHkiOiJKb3NoaSIsImdpdmVuIjoiU3dhcG5hbGkiLCJwYXJzZS1uYW1lcyI6ZmFsc2UsImRyb3BwaW5nLXBhcnRpY2xlIjoiIiwibm9uLWRyb3BwaW5nLXBhcnRpY2xlIjoiIn0seyJmYW1pbHkiOiJDaGF1ZGhhcnkiLCJnaXZlbiI6IlNocnV0aSIsInBhcnNlLW5hbWVzIjpmYWxzZSwiZHJvcHBpbmctcGFydGljbGUiOiIiLCJub24tZHJvcHBpbmctcGFydGljbGUiOiIifSx7ImZhbWlseSI6IkNoYXR0ZXJqZWUiLCJnaXZlbiI6IkdhdXJhdiIsInBhcnNlLW5hbWVzIjpmYWxzZSwiZHJvcHBpbmctcGFydGljbGUiOiIiLCJub24tZHJvcHBpbmctcGFydGljbGUiOiIifSx7ImZhbWlseSI6IlRlbWJoYXJlIiwiZ2l2ZW4iOiJQcmFzaGFudCIsInBhcnNlLW5hbWVzIjpmYWxzZSwiZHJvcHBpbmctcGFydGljbGUiOiIiLCJub24tZHJvcHBpbmctcGFydGljbGUiOiIifSx7ImZhbWlseSI6IkRoYW1uZSIsImdpdmVuIjoiQ2hldGFuIiwicGFyc2UtbmFtZXMiOmZhbHNlLCJkcm9wcGluZy1wYXJ0aWNsZSI6IiIsIm5vbi1kcm9wcGluZy1wYXJ0aWNsZSI6IiJ9LHsiZmFtaWx5IjoiUHJhc2FkIiwiZ2l2ZW4iOiJNYXlhIiwicGFyc2UtbmFtZXMiOmZhbHNlLCJkcm9wcGluZy1wYXJ0aWNsZSI6IiIsIm5vbi1kcm9wcGluZy1wYXJ0aWNsZSI6IiJ9LHsiZmFtaWx5IjoiTW91bGlrIiwiZ2l2ZW4iOiJOaXJtYWx5YSBSb3kiLCJwYXJzZS1uYW1lcyI6ZmFsc2UsImRyb3BwaW5nLXBhcnRpY2xlIjoiIiwibm9uLWRyb3BwaW5nLXBhcnRpY2xlIjoiIn0seyJmYW1pbHkiOiJTaGV0dHkiLCJnaXZlbiI6IkRoYW5hbGF4bWkiLCJwYXJzZS1uYW1lcyI6ZmFsc2UsImRyb3BwaW5nLXBhcnRpY2xlIjoiIiwibm9uLWRyb3BwaW5nLXBhcnRpY2xlIjoiIn0seyJmYW1pbHkiOiJHb2thcm4iLCJnaXZlbiI6IkFuYW50IiwicGFyc2UtbmFtZXMiOmZhbHNlLCJkcm9wcGluZy1wYXJ0aWNsZSI6IiIsIm5vbi1kcm9wcGluZy1wYXJ0aWNsZSI6IiJ9LHsiZmFtaWx5IjoiQm9uZGEiLCJnaXZlbiI6IkF2aW5hc2giLCJwYXJzZS1uYW1lcyI6ZmFsc2UsImRyb3BwaW5nLXBhcnRpY2xlIjoiIiwibm9uLWRyb3BwaW5nLXBhcnRpY2xlIjoiIn0seyJmYW1pbHkiOiJOYXlhayIsImdpdmVuIjoiTGluZ2FyYWoiLCJwYXJzZS1uYW1lcyI6ZmFsc2UsImRyb3BwaW5nLXBhcnRpY2xlIjoiIiwibm9uLWRyb3BwaW5nLXBhcnRpY2xlIjoiIn0seyJmYW1pbHkiOiJQdW5hdGthciIsImdpdmVuIjoiU2FjaGluIiwicGFyc2UtbmFtZXMiOmZhbHNlLCJkcm9wcGluZy1wYXJ0aWNsZSI6IiIsIm5vbi1kcm9wcGluZy1wYXJ0aWNsZSI6IiJ9LHsiZmFtaWx5IjoiQmFnYWwiLCJnaXZlbiI6IkJoYXVzYWhlYiIsInBhcnNlLW5hbWVzIjpmYWxzZSwiZHJvcHBpbmctcGFydGljbGUiOiIiLCJub24tZHJvcHBpbmctcGFydGljbGUiOiIifSx7ImZhbWlseSI6IlNlbmdhciIsImdpdmVuIjoiTWFuanUiLCJwYXJzZS1uYW1lcyI6ZmFsc2UsImRyb3BwaW5nLXBhcnRpY2xlIjoiIiwibm9uLWRyb3BwaW5nLXBhcnRpY2xlIjoiIn0seyJmYW1pbHkiOiJOYXJ1bGEiLCJnaXZlbiI6IkdhdXJhdiIsInBhcnNlLW5hbWVzIjpmYWxzZSwiZHJvcHBpbmctcGFydGljbGUiOiIiLCJub24tZHJvcHBpbmctcGFydGljbGUiOiIifSx7ImZhbWlseSI6IktoYXR0cnkiLCJnaXZlbiI6Ik5hdmluIiwicGFyc2UtbmFtZXMiOmZhbHNlLCJkcm9wcGluZy1wYXJ0aWNsZSI6IiIsIm5vbi1kcm9wcGluZy1wYXJ0aWNsZSI6IiJ9LHsiZmFtaWx5IjoiQmFuYXZhbGkiLCJnaXZlbiI6IlNocmlwYWQiLCJwYXJzZS1uYW1lcyI6ZmFsc2UsImRyb3BwaW5nLXBhcnRpY2xlIjoiIiwibm9uLWRyb3BwaW5nLXBhcnRpY2xlIjoiIn0seyJmYW1pbHkiOiJTdWJyYW1hbmlhbiIsImdpdmVuIjoiUC4gRy4iLCJwYXJzZS1uYW1lcyI6ZmFsc2UsImRyb3BwaW5nLXBhcnRpY2xlIjoiIiwibm9uLWRyb3BwaW5nLXBhcnRpY2xlIjoiIn0seyJmYW1pbHkiOiJHdWpyYWwiLCJnaXZlbiI6IlN1bWVldCIsInBhcnNlLW5hbWVzIjpmYWxzZSwiZHJvcHBpbmctcGFydGljbGUiOiIiLCJub24tZHJvcHBpbmctcGFydGljbGUiOiIifV0sImNvbnRhaW5lci10aXRsZSI6IkJsb29kIENhbmNlciBKb3VybmFsIDIwMjAgMTA6NSIsImFjY2Vzc2VkIjp7ImRhdGUtcGFydHMiOltbMjAyMyw3LDIwXV19LCJET0kiOiIxMC4xMDM4L3M0MTQwOC0wMjAtMDMxMy02IiwiSVNTTiI6IjIwNDQtNTM4NSIsIlBNSUQiOiIzMjM3MjAyNCIsIlVSTCI6Imh0dHBzOi8vd3d3Lm5hdHVyZS5jb20vYXJ0aWNsZXMvczQxNDA4LTAyMC0wMzEzLTYiLCJpc3N1ZWQiOnsiZGF0ZS1wYXJ0cyI6W1syMDIwLDUsNV1dfSwicGFnZSI6IjEtNCIsInB1Ymxpc2hlciI6Ik5hdHVyZSBQdWJsaXNoaW5nIEdyb3VwIiwiaXNzdWUiOiI1Iiwidm9sdW1lIjoiMTAiLCJjb250YWluZXItdGl0bGUtc2hvcnQiOiIifSwiaXNUZW1wb3JhcnkiOmZhbHNlfV19"/>
          <w:id w:val="-511452738"/>
          <w:placeholder>
            <w:docPart w:val="DefaultPlaceholder_-1854013440"/>
          </w:placeholder>
        </w:sdtPr>
        <w:sdtEndPr/>
        <w:sdtContent>
          <w:r w:rsidR="00272696" w:rsidRPr="00272696">
            <w:rPr>
              <w:color w:val="000000"/>
              <w:vertAlign w:val="superscript"/>
            </w:rPr>
            <w:t>2</w:t>
          </w:r>
        </w:sdtContent>
      </w:sdt>
      <w:r w:rsidR="00645EB4" w:rsidRPr="00645EB4">
        <w:t xml:space="preserve"> with a 25-gene panel as listed in Supplementary Table 1</w:t>
      </w:r>
      <w:r w:rsidR="00D358D7">
        <w:rPr>
          <w:highlight w:val="white"/>
        </w:rPr>
        <w:t xml:space="preserve">. </w:t>
      </w:r>
      <w:r w:rsidR="008215E6" w:rsidRPr="00A00987">
        <w:rPr>
          <w:highlight w:val="white"/>
        </w:rPr>
        <w:t xml:space="preserve">Fusion detection was carried out on </w:t>
      </w:r>
      <w:proofErr w:type="spellStart"/>
      <w:r w:rsidR="008215E6" w:rsidRPr="00A00987">
        <w:rPr>
          <w:highlight w:val="white"/>
        </w:rPr>
        <w:t>Fastq</w:t>
      </w:r>
      <w:proofErr w:type="spellEnd"/>
      <w:r w:rsidR="008215E6" w:rsidRPr="00A00987">
        <w:rPr>
          <w:highlight w:val="white"/>
        </w:rPr>
        <w:t xml:space="preserve"> files through parallel workflows adapted from modification in </w:t>
      </w:r>
      <w:r w:rsidR="002B5990">
        <w:rPr>
          <w:highlight w:val="white"/>
        </w:rPr>
        <w:t xml:space="preserve">the </w:t>
      </w:r>
      <w:proofErr w:type="spellStart"/>
      <w:r w:rsidR="008215E6" w:rsidRPr="00A00987">
        <w:rPr>
          <w:highlight w:val="white"/>
        </w:rPr>
        <w:t>nf</w:t>
      </w:r>
      <w:proofErr w:type="spellEnd"/>
      <w:r w:rsidR="008215E6" w:rsidRPr="00A00987">
        <w:rPr>
          <w:highlight w:val="white"/>
        </w:rPr>
        <w:t>-core RNA sequencing pipeline</w:t>
      </w:r>
      <w:r w:rsidR="006840C3">
        <w:rPr>
          <w:highlight w:val="white"/>
        </w:rPr>
        <w:t>.</w:t>
      </w:r>
      <w:sdt>
        <w:sdtPr>
          <w:rPr>
            <w:color w:val="000000"/>
            <w:highlight w:val="white"/>
            <w:vertAlign w:val="superscript"/>
          </w:rPr>
          <w:tag w:val="MENDELEY_CITATION_v3_eyJjaXRhdGlvbklEIjoiTUVOREVMRVlfQ0lUQVRJT05fYzBkZTY5NjUtZWJkZC00MzAzLWIyYzgtYjFjNTc4OWJkNDhiIiwicHJvcGVydGllcyI6eyJub3RlSW5kZXgiOjB9LCJpc0VkaXRlZCI6ZmFsc2UsIm1hbnVhbE92ZXJyaWRlIjp7ImlzTWFudWFsbHlPdmVycmlkZGVuIjpmYWxzZSwiY2l0ZXByb2NUZXh0IjoiPHN1cD4zPC9zdXA+IiwibWFudWFsT3ZlcnJpZGVUZXh0IjoiIn0sImNpdGF0aW9uSXRlbXMiOlt7ImlkIjoiZWJlMWRjMzgtMGFkZi0zZWNiLTkzMGQtOTgwOGZiN2IyZDcyIiwiaXRlbURhdGEiOnsidHlwZSI6ImFydGljbGUtam91cm5hbCIsImlkIjoiZWJlMWRjMzgtMGFkZi0zZWNiLTkzMGQtOTgwOGZiN2IyZDcyIiwidGl0bGUiOiJUaGUgbmYtY29yZSBmcmFtZXdvcmsgZm9yIGNvbW11bml0eS1jdXJhdGVkIGJpb2luZm9ybWF0aWNzIHBpcGVsaW5lcyIsImF1dGhvciI6W3siZmFtaWx5IjoiRXdlbHMiLCJnaXZlbiI6IlBoaWxpcCBBLiIsInBhcnNlLW5hbWVzIjpmYWxzZSwiZHJvcHBpbmctcGFydGljbGUiOiIiLCJub24tZHJvcHBpbmctcGFydGljbGUiOiIifSx7ImZhbWlseSI6IlBlbHR6ZXIiLCJnaXZlbiI6IkFsZXhhbmRlciIsInBhcnNlLW5hbWVzIjpmYWxzZSwiZHJvcHBpbmctcGFydGljbGUiOiIiLCJub24tZHJvcHBpbmctcGFydGljbGUiOiIifSx7ImZhbWlseSI6IkZpbGxpbmdlciIsImdpdmVuIjoiU3ZlbiIsInBhcnNlLW5hbWVzIjpmYWxzZSwiZHJvcHBpbmctcGFydGljbGUiOiIiLCJub24tZHJvcHBpbmctcGFydGljbGUiOiIifSx7ImZhbWlseSI6IlBhdGVsIiwiZ2l2ZW4iOiJIYXJzaGlsIiwicGFyc2UtbmFtZXMiOmZhbHNlLCJkcm9wcGluZy1wYXJ0aWNsZSI6IiIsIm5vbi1kcm9wcGluZy1wYXJ0aWNsZSI6IiJ9LHsiZmFtaWx5IjoiQWxuZWJlcmciLCJnaXZlbiI6IkpvaGFubmVzIiwicGFyc2UtbmFtZXMiOmZhbHNlLCJkcm9wcGluZy1wYXJ0aWNsZSI6IiIsIm5vbi1kcm9wcGluZy1wYXJ0aWNsZSI6IiJ9LHsiZmFtaWx5IjoiV2lsbSIsImdpdmVuIjoiQW5kcmVhcyIsInBhcnNlLW5hbWVzIjpmYWxzZSwiZHJvcHBpbmctcGFydGljbGUiOiIiLCJub24tZHJvcHBpbmctcGFydGljbGUiOiIifSx7ImZhbWlseSI6IkdhcmNpYSIsImdpdmVuIjoiTWF4aW1lIFVseXNzZSIsInBhcnNlLW5hbWVzIjpmYWxzZSwiZHJvcHBpbmctcGFydGljbGUiOiIiLCJub24tZHJvcHBpbmctcGFydGljbGUiOiIifSx7ImZhbWlseSI6IlRvbW1hc28iLCJnaXZlbiI6IlBhb2xvIiwicGFyc2UtbmFtZXMiOmZhbHNlLCJkcm9wcGluZy1wYXJ0aWNsZSI6IiIsIm5vbi1kcm9wcGluZy1wYXJ0aWNsZSI6IkRpIn0seyJmYW1pbHkiOiJOYWhuc2VuIiwiZ2l2ZW4iOiJTdmVuIiwicGFyc2UtbmFtZXMiOmZhbHNlLCJkcm9wcGluZy1wYXJ0aWNsZSI6IiIsIm5vbi1kcm9wcGluZy1wYXJ0aWNsZSI6IiJ9XSwiY29udGFpbmVyLXRpdGxlIjoiTmF0dXJlIEJpb3RlY2hub2xvZ3kgMjAyMCAzODozIiwiYWNjZXNzZWQiOnsiZGF0ZS1wYXJ0cyI6W1syMDI0LDEsMjFdXX0sIkRPSSI6IjEwLjEwMzgvczQxNTg3LTAyMC0wNDM5LXgiLCJJU1NOIjoiMTU0Ni0xNjk2IiwiUE1JRCI6IjMyMDU1MDMxIiwiVVJMIjoiaHR0cHM6Ly93d3cubmF0dXJlLmNvbS9hcnRpY2xlcy9zNDE1ODctMDIwLTA0MzkteCIsImlzc3VlZCI6eyJkYXRlLXBhcnRzIjpbWzIwMjAsMiwxM11dfSwicGFnZSI6IjI3Ni0yNzgiLCJwdWJsaXNoZXIiOiJOYXR1cmUgUHVibGlzaGluZyBHcm91cCIsImlzc3VlIjoiMyIsInZvbHVtZSI6IjM4IiwiY29udGFpbmVyLXRpdGxlLXNob3J0IjoiIn0sImlzVGVtcG9yYXJ5IjpmYWxzZX1dfQ=="/>
          <w:id w:val="521439383"/>
          <w:placeholder>
            <w:docPart w:val="DefaultPlaceholder_-1854013440"/>
          </w:placeholder>
        </w:sdtPr>
        <w:sdtEndPr/>
        <w:sdtContent>
          <w:r w:rsidR="00272696" w:rsidRPr="00272696">
            <w:rPr>
              <w:color w:val="000000"/>
              <w:highlight w:val="white"/>
              <w:vertAlign w:val="superscript"/>
            </w:rPr>
            <w:t>3</w:t>
          </w:r>
        </w:sdtContent>
      </w:sdt>
      <w:r w:rsidR="008215E6" w:rsidRPr="00A00987">
        <w:rPr>
          <w:highlight w:val="white"/>
        </w:rPr>
        <w:t xml:space="preserve"> Briefly, tools such as </w:t>
      </w:r>
      <w:proofErr w:type="spellStart"/>
      <w:r w:rsidR="008215E6" w:rsidRPr="00A00987">
        <w:rPr>
          <w:highlight w:val="white"/>
        </w:rPr>
        <w:t>Arriba</w:t>
      </w:r>
      <w:proofErr w:type="spellEnd"/>
      <w:r w:rsidR="008215E6" w:rsidRPr="00A00987">
        <w:rPr>
          <w:highlight w:val="white"/>
        </w:rPr>
        <w:t xml:space="preserve"> v1.2.0, </w:t>
      </w:r>
      <w:proofErr w:type="spellStart"/>
      <w:r w:rsidR="008215E6" w:rsidRPr="00A00987">
        <w:rPr>
          <w:highlight w:val="white"/>
        </w:rPr>
        <w:t>FusionCatcher</w:t>
      </w:r>
      <w:proofErr w:type="spellEnd"/>
      <w:r w:rsidR="008215E6" w:rsidRPr="00A00987">
        <w:rPr>
          <w:highlight w:val="white"/>
        </w:rPr>
        <w:t xml:space="preserve"> v1.20, STAR-Fusion v1.8.1, and Pizzly v0.37.3 were employed for fusion detection. After the initial analysis, Fusion-report v2.2.1 was utilized to aggregate and consolidate the identified fusions. Complementary analyses were conducted using </w:t>
      </w:r>
      <w:proofErr w:type="spellStart"/>
      <w:r w:rsidR="008215E6" w:rsidRPr="00A00987">
        <w:rPr>
          <w:highlight w:val="white"/>
        </w:rPr>
        <w:t>FusionInspector</w:t>
      </w:r>
      <w:proofErr w:type="spellEnd"/>
      <w:r w:rsidR="008215E6" w:rsidRPr="00A00987">
        <w:rPr>
          <w:highlight w:val="white"/>
        </w:rPr>
        <w:t xml:space="preserve"> v2.2.1, visualization through Arriba v1.2.0. Coverage metrics were determined using </w:t>
      </w:r>
      <w:proofErr w:type="spellStart"/>
      <w:r w:rsidR="008215E6" w:rsidRPr="00A00987">
        <w:rPr>
          <w:highlight w:val="white"/>
        </w:rPr>
        <w:t>BedTools</w:t>
      </w:r>
      <w:proofErr w:type="spellEnd"/>
      <w:r w:rsidR="008215E6" w:rsidRPr="00A00987">
        <w:rPr>
          <w:highlight w:val="white"/>
        </w:rPr>
        <w:t xml:space="preserve"> v2.4. A fusion was deemed positive if identified by a minimum of two tools and supported by at least five spanning reads.  </w:t>
      </w:r>
    </w:p>
    <w:p w14:paraId="263B60FC" w14:textId="7A2608D0" w:rsidR="003F26C6" w:rsidRPr="00A00987" w:rsidRDefault="006D7023" w:rsidP="006840C3">
      <w:pPr>
        <w:pStyle w:val="NormalWeb"/>
        <w:spacing w:before="240" w:beforeAutospacing="0" w:after="240" w:afterAutospacing="0" w:line="480" w:lineRule="auto"/>
        <w:jc w:val="both"/>
      </w:pPr>
      <w:r w:rsidRPr="00A00987">
        <w:rPr>
          <w:b/>
        </w:rPr>
        <w:t>DNA Sequencing</w:t>
      </w:r>
      <w:r w:rsidR="006840C3">
        <w:rPr>
          <w:b/>
        </w:rPr>
        <w:t xml:space="preserve">: </w:t>
      </w:r>
      <w:r w:rsidR="006840C3" w:rsidRPr="006840C3">
        <w:t>Children who remained uncharacterized for any specific genetic subgroups after NARASIMHA. underwent DNA sequencing (n=</w:t>
      </w:r>
      <w:r w:rsidR="001F75B1">
        <w:t>124</w:t>
      </w:r>
      <w:r w:rsidR="006840C3" w:rsidRPr="006840C3">
        <w:t>) using either of two gene panels: 34 (</w:t>
      </w:r>
      <w:r w:rsidR="006840C3" w:rsidRPr="00E81981">
        <w:rPr>
          <w:i/>
          <w:iCs/>
        </w:rPr>
        <w:t>BCL11B, CCND3, CDKN2A, CDKN2B, CREBBP, CTCF, EZH2, FBXW7, FCGBP, FLT3, IKZF1, IL7R, JAK1, JAK2, JAK3, KDM6A, KMT2D, KRAS, LEF1, MYB, NOTCH1, NRAS, PAX5, PHF6, PTEN, PTPN11, RB1, RPL10, RUNX1, TP53, UNC80, USH2A, USP7, WT1</w:t>
      </w:r>
      <w:r w:rsidR="006840C3" w:rsidRPr="006840C3">
        <w:t>) or a 7-gene (</w:t>
      </w:r>
      <w:r w:rsidR="006840C3" w:rsidRPr="00E81981">
        <w:rPr>
          <w:i/>
          <w:iCs/>
        </w:rPr>
        <w:t xml:space="preserve">PAX5, IKZF1, NRAS, KRAS, TP53, IL7R </w:t>
      </w:r>
      <w:r w:rsidR="006840C3" w:rsidRPr="006840C3">
        <w:t xml:space="preserve">and </w:t>
      </w:r>
      <w:r w:rsidR="006840C3" w:rsidRPr="00E81981">
        <w:rPr>
          <w:i/>
          <w:iCs/>
        </w:rPr>
        <w:t>JAK2</w:t>
      </w:r>
      <w:r w:rsidR="006840C3" w:rsidRPr="006840C3">
        <w:t xml:space="preserve">) hotspot panel. Target areas of DNA were enriched </w:t>
      </w:r>
      <w:r w:rsidR="001F75B1">
        <w:t>by</w:t>
      </w:r>
      <w:r w:rsidR="00C45017">
        <w:rPr>
          <w:highlight w:val="white"/>
        </w:rPr>
        <w:t xml:space="preserve"> </w:t>
      </w:r>
      <w:r w:rsidR="002B5990">
        <w:rPr>
          <w:highlight w:val="white"/>
        </w:rPr>
        <w:t>a single-molecule</w:t>
      </w:r>
      <w:r w:rsidR="00301D3A" w:rsidRPr="00B04326">
        <w:rPr>
          <w:highlight w:val="white"/>
        </w:rPr>
        <w:t xml:space="preserve"> molecular inversion probe (</w:t>
      </w:r>
      <w:proofErr w:type="spellStart"/>
      <w:r w:rsidR="00301D3A" w:rsidRPr="00B04326">
        <w:rPr>
          <w:highlight w:val="white"/>
        </w:rPr>
        <w:t>smMIPS</w:t>
      </w:r>
      <w:proofErr w:type="spellEnd"/>
      <w:r w:rsidR="00301D3A" w:rsidRPr="00B04326">
        <w:rPr>
          <w:highlight w:val="white"/>
        </w:rPr>
        <w:t>)</w:t>
      </w:r>
      <w:r w:rsidR="002B5990">
        <w:rPr>
          <w:highlight w:val="white"/>
        </w:rPr>
        <w:t xml:space="preserve"> based approach</w:t>
      </w:r>
      <w:r w:rsidR="00301D3A" w:rsidRPr="00B04326">
        <w:rPr>
          <w:highlight w:val="white"/>
        </w:rPr>
        <w:t xml:space="preserve">. These </w:t>
      </w:r>
      <w:proofErr w:type="spellStart"/>
      <w:r w:rsidR="00301D3A" w:rsidRPr="00B04326">
        <w:rPr>
          <w:highlight w:val="white"/>
        </w:rPr>
        <w:t>smMIPS</w:t>
      </w:r>
      <w:proofErr w:type="spellEnd"/>
      <w:r w:rsidR="00301D3A" w:rsidRPr="00B04326">
        <w:rPr>
          <w:highlight w:val="white"/>
        </w:rPr>
        <w:t xml:space="preserve"> were designed to target the coding regions and an additional 5 base pairs of intronic flanking of genes known to be involved in ALL pathogenesis. To achieve </w:t>
      </w:r>
      <w:r w:rsidR="00301D3A" w:rsidRPr="00B04326">
        <w:rPr>
          <w:highlight w:val="white"/>
        </w:rPr>
        <w:lastRenderedPageBreak/>
        <w:t xml:space="preserve">uniform capture efficiency across targeted regions, the libraries were pooled and then adjusted. For the sequencing process, 600 ng of genomic DNA was processed using the </w:t>
      </w:r>
      <w:proofErr w:type="spellStart"/>
      <w:r w:rsidR="00301D3A" w:rsidRPr="00B04326">
        <w:rPr>
          <w:highlight w:val="white"/>
        </w:rPr>
        <w:t>smMIPS</w:t>
      </w:r>
      <w:proofErr w:type="spellEnd"/>
      <w:r w:rsidR="00301D3A" w:rsidRPr="00B04326">
        <w:rPr>
          <w:highlight w:val="white"/>
        </w:rPr>
        <w:t xml:space="preserve"> panel, followed by exonuclease treatment, PCR amplification, and size selection to create sequencing-ready libraries with dual indices specific to each sample. Sequencing of these libraries was performed using the 300 cycle Illumina </w:t>
      </w:r>
      <w:proofErr w:type="spellStart"/>
      <w:r w:rsidR="00301D3A" w:rsidRPr="00B04326">
        <w:rPr>
          <w:highlight w:val="white"/>
        </w:rPr>
        <w:t>MiSeq</w:t>
      </w:r>
      <w:proofErr w:type="spellEnd"/>
      <w:r w:rsidR="00301D3A" w:rsidRPr="00B04326">
        <w:rPr>
          <w:highlight w:val="white"/>
        </w:rPr>
        <w:t xml:space="preserve"> v2 chemistry system (Illumina, based in San Diego, CA, USA).</w:t>
      </w:r>
      <w:r w:rsidR="00301D3A" w:rsidRPr="00B04326">
        <w:t xml:space="preserve"> </w:t>
      </w:r>
      <w:bookmarkStart w:id="0" w:name="_Hlk166251684"/>
      <w:r w:rsidR="00301D3A" w:rsidRPr="00B04326">
        <w:t xml:space="preserve">Sequencing data was </w:t>
      </w:r>
      <w:proofErr w:type="spellStart"/>
      <w:r w:rsidR="002B5990">
        <w:t>analyzed</w:t>
      </w:r>
      <w:proofErr w:type="spellEnd"/>
      <w:r w:rsidR="00301D3A" w:rsidRPr="00B04326">
        <w:t xml:space="preserve"> using a customized pipeline</w:t>
      </w:r>
      <w:bookmarkEnd w:id="0"/>
      <w:r w:rsidR="00301D3A" w:rsidRPr="00B04326">
        <w:t xml:space="preserve"> that incorporates adapter trimming using </w:t>
      </w:r>
      <w:proofErr w:type="spellStart"/>
      <w:r w:rsidR="00301D3A" w:rsidRPr="00B04326">
        <w:t>ea-utils</w:t>
      </w:r>
      <w:proofErr w:type="spellEnd"/>
      <w:r w:rsidR="00301D3A" w:rsidRPr="00B04326">
        <w:t xml:space="preserve">, read self-assembly using PEAR, bwa (v0.7.12) for mapping to the human genome (build hg19/GRCh37), </w:t>
      </w:r>
      <w:proofErr w:type="spellStart"/>
      <w:r w:rsidR="00301D3A" w:rsidRPr="00B04326">
        <w:t>samtools</w:t>
      </w:r>
      <w:proofErr w:type="spellEnd"/>
      <w:r w:rsidR="00301D3A" w:rsidRPr="00B04326">
        <w:t xml:space="preserve"> (v. </w:t>
      </w:r>
      <w:proofErr w:type="gramStart"/>
      <w:r w:rsidR="00301D3A" w:rsidRPr="00B04326">
        <w:t>0.1.19)&amp;</w:t>
      </w:r>
      <w:proofErr w:type="gramEnd"/>
      <w:r w:rsidR="00301D3A" w:rsidRPr="00B04326">
        <w:t xml:space="preserve"> GATK v3.8 for pre-processing the aligned file. For the identification of sequence variants, we adhered to the </w:t>
      </w:r>
      <w:bookmarkStart w:id="1" w:name="_Hlk166252962"/>
      <w:r w:rsidR="00301D3A" w:rsidRPr="00B04326">
        <w:t>GATK best practices framework</w:t>
      </w:r>
      <w:bookmarkEnd w:id="1"/>
      <w:r w:rsidR="00301D3A" w:rsidRPr="00B04326">
        <w:t>.</w:t>
      </w:r>
      <w:r w:rsidR="00E04D3F" w:rsidRPr="00E04D3F">
        <w:t xml:space="preserve"> Variant calling </w:t>
      </w:r>
      <w:r w:rsidR="00E04D3F">
        <w:t>wa</w:t>
      </w:r>
      <w:r w:rsidR="00E04D3F" w:rsidRPr="00E04D3F">
        <w:t xml:space="preserve">s done using </w:t>
      </w:r>
      <w:proofErr w:type="spellStart"/>
      <w:r w:rsidR="00E04D3F" w:rsidRPr="00E04D3F">
        <w:t>Varscan</w:t>
      </w:r>
      <w:proofErr w:type="spellEnd"/>
      <w:r w:rsidR="00E04D3F" w:rsidRPr="00E04D3F">
        <w:t xml:space="preserve"> (ver2.3), MuTect2.0, </w:t>
      </w:r>
      <w:r w:rsidR="002B5990">
        <w:t xml:space="preserve">and </w:t>
      </w:r>
      <w:r w:rsidR="00E04D3F" w:rsidRPr="00E04D3F">
        <w:t>Platypus v0.8.1</w:t>
      </w:r>
      <w:r w:rsidR="00301D3A" w:rsidRPr="00B04326">
        <w:t>. The identified variants were subsequently annotated, referencing several population frequency databases</w:t>
      </w:r>
      <w:r w:rsidR="002B5990">
        <w:t xml:space="preserve"> using </w:t>
      </w:r>
      <w:proofErr w:type="spellStart"/>
      <w:r w:rsidR="002B5990">
        <w:t>Annovar</w:t>
      </w:r>
      <w:proofErr w:type="spellEnd"/>
      <w:r w:rsidR="00301D3A" w:rsidRPr="00B04326">
        <w:t>. These include the 1000 Genomes Project (covering diverse populations such as African, Admixed American, East Asian, Finnish, Non-Finnish European, and South Asian), the Exome Aggregation Consortium datasets, NHLBI-ESP (encompassing 6500 genomes), and the COSMIC database (versions 80 and 83). Variants were filtered</w:t>
      </w:r>
      <w:r w:rsidR="002B5990">
        <w:t>,</w:t>
      </w:r>
      <w:r w:rsidR="00301D3A" w:rsidRPr="00B04326">
        <w:t xml:space="preserve"> focusing on </w:t>
      </w:r>
      <w:proofErr w:type="spellStart"/>
      <w:r w:rsidR="00301D3A" w:rsidRPr="00B04326">
        <w:t>exonic</w:t>
      </w:r>
      <w:proofErr w:type="spellEnd"/>
      <w:r w:rsidR="00301D3A" w:rsidRPr="00B04326">
        <w:t xml:space="preserve"> and spicing variants. The variants that were detected in population frequency of &gt;0.01 were removed and the remaining variants were subjected to in-silico prediction tools (SIFT, PolyPhen2, CADD, PROVEAN, </w:t>
      </w:r>
      <w:proofErr w:type="spellStart"/>
      <w:r w:rsidR="00301D3A" w:rsidRPr="00B04326">
        <w:t>MutationTaster</w:t>
      </w:r>
      <w:proofErr w:type="spellEnd"/>
      <w:r w:rsidR="00301D3A" w:rsidRPr="00B04326">
        <w:t xml:space="preserve">, </w:t>
      </w:r>
      <w:proofErr w:type="spellStart"/>
      <w:r w:rsidR="00301D3A" w:rsidRPr="00B04326">
        <w:t>MutationAssessor</w:t>
      </w:r>
      <w:proofErr w:type="spellEnd"/>
      <w:r w:rsidR="00301D3A" w:rsidRPr="00B04326">
        <w:t xml:space="preserve">, M-CAP, FATHMM, LRT, DANN) for determination of their pathogenicity. </w:t>
      </w:r>
      <w:bookmarkStart w:id="2" w:name="_Hlk166253262"/>
      <w:r w:rsidR="00301D3A" w:rsidRPr="00B04326">
        <w:t xml:space="preserve">Variants that were called by </w:t>
      </w:r>
      <w:proofErr w:type="spellStart"/>
      <w:r w:rsidR="00301D3A" w:rsidRPr="00B04326">
        <w:t>atleast</w:t>
      </w:r>
      <w:proofErr w:type="spellEnd"/>
      <w:r w:rsidR="00301D3A" w:rsidRPr="00B04326">
        <w:t xml:space="preserve"> 2 variant callers and determined pathogenic or likely pathogenic were reported.</w:t>
      </w:r>
      <w:bookmarkEnd w:id="2"/>
    </w:p>
    <w:tbl>
      <w:tblPr>
        <w:tblW w:w="8631" w:type="dxa"/>
        <w:tblBorders>
          <w:top w:val="nil"/>
          <w:left w:val="nil"/>
          <w:bottom w:val="nil"/>
          <w:right w:val="nil"/>
          <w:insideH w:val="nil"/>
          <w:insideV w:val="nil"/>
        </w:tblBorders>
        <w:tblLayout w:type="fixed"/>
        <w:tblLook w:val="0600" w:firstRow="0" w:lastRow="0" w:firstColumn="0" w:lastColumn="0" w:noHBand="1" w:noVBand="1"/>
      </w:tblPr>
      <w:tblGrid>
        <w:gridCol w:w="891"/>
        <w:gridCol w:w="1354"/>
        <w:gridCol w:w="1620"/>
        <w:gridCol w:w="1526"/>
        <w:gridCol w:w="1620"/>
        <w:gridCol w:w="1620"/>
      </w:tblGrid>
      <w:tr w:rsidR="00215278" w:rsidRPr="00A00987" w14:paraId="4E52DA4B" w14:textId="3FC36B52" w:rsidTr="000845DA">
        <w:trPr>
          <w:trHeight w:val="235"/>
        </w:trPr>
        <w:tc>
          <w:tcPr>
            <w:tcW w:w="891"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3D1CB23F" w14:textId="77777777"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Gene</w:t>
            </w:r>
          </w:p>
        </w:tc>
        <w:tc>
          <w:tcPr>
            <w:tcW w:w="1354"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10EEF4A7" w14:textId="77777777"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RefSeq ID</w:t>
            </w:r>
          </w:p>
        </w:tc>
        <w:tc>
          <w:tcPr>
            <w:tcW w:w="1620" w:type="dxa"/>
            <w:tcBorders>
              <w:top w:val="single" w:sz="4" w:space="0" w:color="auto"/>
              <w:left w:val="single" w:sz="4" w:space="0" w:color="auto"/>
              <w:bottom w:val="single" w:sz="4" w:space="0" w:color="auto"/>
              <w:right w:val="single" w:sz="4" w:space="0" w:color="auto"/>
            </w:tcBorders>
            <w:shd w:val="clear" w:color="auto" w:fill="auto"/>
            <w:tcMar>
              <w:top w:w="0" w:type="dxa"/>
              <w:left w:w="100" w:type="dxa"/>
              <w:bottom w:w="0" w:type="dxa"/>
              <w:right w:w="100" w:type="dxa"/>
            </w:tcMar>
          </w:tcPr>
          <w:p w14:paraId="3A2C755F" w14:textId="77777777"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Region</w:t>
            </w:r>
          </w:p>
        </w:tc>
        <w:tc>
          <w:tcPr>
            <w:tcW w:w="1526" w:type="dxa"/>
            <w:tcBorders>
              <w:top w:val="single" w:sz="4" w:space="0" w:color="auto"/>
              <w:left w:val="single" w:sz="4" w:space="0" w:color="auto"/>
              <w:bottom w:val="single" w:sz="4" w:space="0" w:color="auto"/>
              <w:right w:val="single" w:sz="4" w:space="0" w:color="auto"/>
            </w:tcBorders>
          </w:tcPr>
          <w:p w14:paraId="46F8F584" w14:textId="17D49591"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Gene</w:t>
            </w:r>
          </w:p>
        </w:tc>
        <w:tc>
          <w:tcPr>
            <w:tcW w:w="1620" w:type="dxa"/>
            <w:tcBorders>
              <w:top w:val="single" w:sz="4" w:space="0" w:color="auto"/>
              <w:left w:val="single" w:sz="4" w:space="0" w:color="auto"/>
              <w:bottom w:val="single" w:sz="4" w:space="0" w:color="auto"/>
              <w:right w:val="single" w:sz="4" w:space="0" w:color="auto"/>
            </w:tcBorders>
          </w:tcPr>
          <w:p w14:paraId="57EFA2CA" w14:textId="517A8BEE"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RefSeq ID</w:t>
            </w:r>
          </w:p>
        </w:tc>
        <w:tc>
          <w:tcPr>
            <w:tcW w:w="1620" w:type="dxa"/>
            <w:tcBorders>
              <w:top w:val="single" w:sz="4" w:space="0" w:color="auto"/>
              <w:left w:val="single" w:sz="4" w:space="0" w:color="auto"/>
              <w:bottom w:val="single" w:sz="4" w:space="0" w:color="auto"/>
              <w:right w:val="single" w:sz="4" w:space="0" w:color="auto"/>
            </w:tcBorders>
          </w:tcPr>
          <w:p w14:paraId="1F45176C" w14:textId="65570266" w:rsidR="00215278" w:rsidRPr="000845DA" w:rsidRDefault="00215278" w:rsidP="000845DA">
            <w:pPr>
              <w:keepLines/>
              <w:spacing w:after="0"/>
              <w:ind w:left="20" w:right="140"/>
              <w:jc w:val="center"/>
              <w:rPr>
                <w:rFonts w:ascii="Times New Roman" w:eastAsia="Times New Roman" w:hAnsi="Times New Roman" w:cs="Times New Roman"/>
                <w:b/>
                <w:sz w:val="16"/>
                <w:szCs w:val="16"/>
                <w:highlight w:val="white"/>
              </w:rPr>
            </w:pPr>
            <w:r w:rsidRPr="000845DA">
              <w:rPr>
                <w:rFonts w:ascii="Times New Roman" w:eastAsia="Times New Roman" w:hAnsi="Times New Roman" w:cs="Times New Roman"/>
                <w:b/>
                <w:sz w:val="16"/>
                <w:szCs w:val="16"/>
                <w:highlight w:val="white"/>
              </w:rPr>
              <w:t>Region</w:t>
            </w:r>
          </w:p>
        </w:tc>
      </w:tr>
      <w:tr w:rsidR="00215278" w:rsidRPr="00A00987" w14:paraId="101B9636" w14:textId="1C57E36E" w:rsidTr="000845DA">
        <w:trPr>
          <w:trHeight w:val="233"/>
        </w:trPr>
        <w:tc>
          <w:tcPr>
            <w:tcW w:w="891" w:type="dxa"/>
            <w:tcBorders>
              <w:top w:val="single" w:sz="4" w:space="0" w:color="auto"/>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5B8D4E54"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ABL1</w:t>
            </w:r>
          </w:p>
        </w:tc>
        <w:tc>
          <w:tcPr>
            <w:tcW w:w="1354" w:type="dxa"/>
            <w:tcBorders>
              <w:top w:val="single" w:sz="4" w:space="0" w:color="auto"/>
              <w:left w:val="nil"/>
              <w:bottom w:val="single" w:sz="7" w:space="0" w:color="000000"/>
              <w:right w:val="single" w:sz="7" w:space="0" w:color="000000"/>
            </w:tcBorders>
            <w:shd w:val="clear" w:color="auto" w:fill="auto"/>
            <w:tcMar>
              <w:top w:w="0" w:type="dxa"/>
              <w:left w:w="100" w:type="dxa"/>
              <w:bottom w:w="0" w:type="dxa"/>
              <w:right w:w="100" w:type="dxa"/>
            </w:tcMar>
          </w:tcPr>
          <w:p w14:paraId="5702D99C"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NM005157</w:t>
            </w:r>
          </w:p>
        </w:tc>
        <w:tc>
          <w:tcPr>
            <w:tcW w:w="1620" w:type="dxa"/>
            <w:tcBorders>
              <w:top w:val="single" w:sz="4" w:space="0" w:color="auto"/>
              <w:left w:val="nil"/>
              <w:bottom w:val="single" w:sz="7" w:space="0" w:color="000000"/>
              <w:right w:val="single" w:sz="7" w:space="0" w:color="000000"/>
            </w:tcBorders>
            <w:shd w:val="clear" w:color="auto" w:fill="auto"/>
            <w:tcMar>
              <w:top w:w="0" w:type="dxa"/>
              <w:left w:w="100" w:type="dxa"/>
              <w:bottom w:w="0" w:type="dxa"/>
              <w:right w:w="100" w:type="dxa"/>
            </w:tcMar>
          </w:tcPr>
          <w:p w14:paraId="2363217F"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1-5</w:t>
            </w:r>
          </w:p>
        </w:tc>
        <w:tc>
          <w:tcPr>
            <w:tcW w:w="1526" w:type="dxa"/>
            <w:tcBorders>
              <w:top w:val="single" w:sz="4" w:space="0" w:color="auto"/>
              <w:left w:val="nil"/>
              <w:bottom w:val="single" w:sz="7" w:space="0" w:color="000000"/>
              <w:right w:val="single" w:sz="7" w:space="0" w:color="000000"/>
            </w:tcBorders>
          </w:tcPr>
          <w:p w14:paraId="72BCBF03" w14:textId="41ED0C6F"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KMT2A</w:t>
            </w:r>
          </w:p>
        </w:tc>
        <w:tc>
          <w:tcPr>
            <w:tcW w:w="1620" w:type="dxa"/>
            <w:tcBorders>
              <w:top w:val="single" w:sz="4" w:space="0" w:color="auto"/>
              <w:left w:val="nil"/>
              <w:bottom w:val="single" w:sz="7" w:space="0" w:color="000000"/>
              <w:right w:val="single" w:sz="7" w:space="0" w:color="000000"/>
            </w:tcBorders>
          </w:tcPr>
          <w:p w14:paraId="4DF8BDF1" w14:textId="3E02C32F"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NM005933</w:t>
            </w:r>
          </w:p>
        </w:tc>
        <w:tc>
          <w:tcPr>
            <w:tcW w:w="1620" w:type="dxa"/>
            <w:tcBorders>
              <w:top w:val="single" w:sz="4" w:space="0" w:color="auto"/>
              <w:left w:val="nil"/>
              <w:bottom w:val="single" w:sz="7" w:space="0" w:color="000000"/>
              <w:right w:val="single" w:sz="7" w:space="0" w:color="000000"/>
            </w:tcBorders>
          </w:tcPr>
          <w:p w14:paraId="5A9B9719" w14:textId="0B06B925"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2-35</w:t>
            </w:r>
          </w:p>
        </w:tc>
      </w:tr>
      <w:tr w:rsidR="00215278" w:rsidRPr="00A00987" w14:paraId="4F29E6C9" w14:textId="79FAA468" w:rsidTr="000845DA">
        <w:trPr>
          <w:trHeight w:val="145"/>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0D5E3EE8"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ABL2</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3A000FA"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NM005158</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C526796"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2-8</w:t>
            </w:r>
          </w:p>
        </w:tc>
        <w:tc>
          <w:tcPr>
            <w:tcW w:w="1526" w:type="dxa"/>
            <w:tcBorders>
              <w:top w:val="nil"/>
              <w:left w:val="nil"/>
              <w:bottom w:val="single" w:sz="7" w:space="0" w:color="000000"/>
              <w:right w:val="single" w:sz="7" w:space="0" w:color="000000"/>
            </w:tcBorders>
          </w:tcPr>
          <w:p w14:paraId="1F822A96" w14:textId="1BF97678"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MEF2D</w:t>
            </w:r>
          </w:p>
        </w:tc>
        <w:tc>
          <w:tcPr>
            <w:tcW w:w="1620" w:type="dxa"/>
            <w:tcBorders>
              <w:top w:val="nil"/>
              <w:left w:val="nil"/>
              <w:bottom w:val="single" w:sz="7" w:space="0" w:color="000000"/>
              <w:right w:val="single" w:sz="7" w:space="0" w:color="000000"/>
            </w:tcBorders>
          </w:tcPr>
          <w:p w14:paraId="5FA87942" w14:textId="4C428BA5"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NM005920</w:t>
            </w:r>
          </w:p>
        </w:tc>
        <w:tc>
          <w:tcPr>
            <w:tcW w:w="1620" w:type="dxa"/>
            <w:tcBorders>
              <w:top w:val="nil"/>
              <w:left w:val="nil"/>
              <w:bottom w:val="single" w:sz="7" w:space="0" w:color="000000"/>
              <w:right w:val="single" w:sz="7" w:space="0" w:color="000000"/>
            </w:tcBorders>
          </w:tcPr>
          <w:p w14:paraId="5D40BEBA" w14:textId="2FF41FAB"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5-8</w:t>
            </w:r>
          </w:p>
        </w:tc>
      </w:tr>
      <w:tr w:rsidR="00215278" w:rsidRPr="00A00987" w14:paraId="3E6C56A6" w14:textId="6ECCD1EB" w:rsidTr="000845DA">
        <w:trPr>
          <w:trHeight w:val="208"/>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15878E34"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CRLF1</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C672AEC"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NM022147</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CE664E4"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 1</w:t>
            </w:r>
          </w:p>
        </w:tc>
        <w:tc>
          <w:tcPr>
            <w:tcW w:w="1526" w:type="dxa"/>
            <w:tcBorders>
              <w:top w:val="nil"/>
              <w:left w:val="nil"/>
              <w:bottom w:val="single" w:sz="7" w:space="0" w:color="000000"/>
              <w:right w:val="single" w:sz="7" w:space="0" w:color="000000"/>
            </w:tcBorders>
          </w:tcPr>
          <w:p w14:paraId="429E25FF" w14:textId="436FBE16"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NTRK3</w:t>
            </w:r>
          </w:p>
        </w:tc>
        <w:tc>
          <w:tcPr>
            <w:tcW w:w="1620" w:type="dxa"/>
            <w:tcBorders>
              <w:top w:val="nil"/>
              <w:left w:val="nil"/>
              <w:bottom w:val="single" w:sz="7" w:space="0" w:color="000000"/>
              <w:right w:val="single" w:sz="7" w:space="0" w:color="000000"/>
            </w:tcBorders>
          </w:tcPr>
          <w:p w14:paraId="48248AC4" w14:textId="30DC191A"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NM001007156</w:t>
            </w:r>
          </w:p>
        </w:tc>
        <w:tc>
          <w:tcPr>
            <w:tcW w:w="1620" w:type="dxa"/>
            <w:tcBorders>
              <w:top w:val="nil"/>
              <w:left w:val="nil"/>
              <w:bottom w:val="single" w:sz="7" w:space="0" w:color="000000"/>
              <w:right w:val="single" w:sz="7" w:space="0" w:color="000000"/>
            </w:tcBorders>
          </w:tcPr>
          <w:p w14:paraId="3CEC66F5" w14:textId="06BBBC63"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 15</w:t>
            </w:r>
          </w:p>
        </w:tc>
      </w:tr>
      <w:tr w:rsidR="00215278" w:rsidRPr="00A00987" w14:paraId="33440BFC" w14:textId="48626B0E" w:rsidTr="000845DA">
        <w:trPr>
          <w:trHeight w:val="163"/>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5D44F452"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CRLF2</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95DDBB6"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NM022148</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0C29A80"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1-6</w:t>
            </w:r>
          </w:p>
        </w:tc>
        <w:tc>
          <w:tcPr>
            <w:tcW w:w="1526" w:type="dxa"/>
            <w:tcBorders>
              <w:top w:val="nil"/>
              <w:left w:val="nil"/>
              <w:bottom w:val="single" w:sz="7" w:space="0" w:color="000000"/>
              <w:right w:val="single" w:sz="7" w:space="0" w:color="000000"/>
            </w:tcBorders>
          </w:tcPr>
          <w:p w14:paraId="02B1D35A" w14:textId="6B36CF72"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NUP98</w:t>
            </w:r>
          </w:p>
        </w:tc>
        <w:tc>
          <w:tcPr>
            <w:tcW w:w="1620" w:type="dxa"/>
            <w:tcBorders>
              <w:top w:val="nil"/>
              <w:left w:val="nil"/>
              <w:bottom w:val="single" w:sz="7" w:space="0" w:color="000000"/>
              <w:right w:val="single" w:sz="7" w:space="0" w:color="000000"/>
            </w:tcBorders>
          </w:tcPr>
          <w:p w14:paraId="7B05E04F" w14:textId="30C12C12"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NM016320</w:t>
            </w:r>
          </w:p>
        </w:tc>
        <w:tc>
          <w:tcPr>
            <w:tcW w:w="1620" w:type="dxa"/>
            <w:tcBorders>
              <w:top w:val="nil"/>
              <w:left w:val="nil"/>
              <w:bottom w:val="single" w:sz="7" w:space="0" w:color="000000"/>
              <w:right w:val="single" w:sz="7" w:space="0" w:color="000000"/>
            </w:tcBorders>
          </w:tcPr>
          <w:p w14:paraId="2B7B34E2" w14:textId="7DC4787D"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12-17</w:t>
            </w:r>
          </w:p>
        </w:tc>
      </w:tr>
      <w:tr w:rsidR="00215278" w:rsidRPr="00A00987" w14:paraId="75E68474" w14:textId="5A89B6F6" w:rsidTr="000845DA">
        <w:trPr>
          <w:trHeight w:val="226"/>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548C8083"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CSF1R</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D2B03BF"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NM005211</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63B8E47"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9-14</w:t>
            </w:r>
          </w:p>
        </w:tc>
        <w:tc>
          <w:tcPr>
            <w:tcW w:w="1526" w:type="dxa"/>
            <w:tcBorders>
              <w:top w:val="nil"/>
              <w:left w:val="nil"/>
              <w:bottom w:val="single" w:sz="7" w:space="0" w:color="000000"/>
              <w:right w:val="single" w:sz="7" w:space="0" w:color="000000"/>
            </w:tcBorders>
          </w:tcPr>
          <w:p w14:paraId="703CD9C6" w14:textId="754F5E53"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NUP214</w:t>
            </w:r>
          </w:p>
        </w:tc>
        <w:tc>
          <w:tcPr>
            <w:tcW w:w="1620" w:type="dxa"/>
            <w:tcBorders>
              <w:top w:val="nil"/>
              <w:left w:val="nil"/>
              <w:bottom w:val="single" w:sz="7" w:space="0" w:color="000000"/>
              <w:right w:val="single" w:sz="7" w:space="0" w:color="000000"/>
            </w:tcBorders>
          </w:tcPr>
          <w:p w14:paraId="697B7C09" w14:textId="00E28D5E"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NM005085</w:t>
            </w:r>
          </w:p>
        </w:tc>
        <w:tc>
          <w:tcPr>
            <w:tcW w:w="1620" w:type="dxa"/>
            <w:tcBorders>
              <w:top w:val="nil"/>
              <w:left w:val="nil"/>
              <w:bottom w:val="single" w:sz="7" w:space="0" w:color="000000"/>
              <w:right w:val="single" w:sz="7" w:space="0" w:color="000000"/>
            </w:tcBorders>
          </w:tcPr>
          <w:p w14:paraId="41524FE5" w14:textId="0E560254"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17-19</w:t>
            </w:r>
          </w:p>
        </w:tc>
      </w:tr>
      <w:tr w:rsidR="00215278" w:rsidRPr="00A00987" w14:paraId="6E9A977B" w14:textId="14F08492" w:rsidTr="000845DA">
        <w:trPr>
          <w:trHeight w:val="163"/>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27744722"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lastRenderedPageBreak/>
              <w:t>DUX4</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2D9B9E5"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NM001293798</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5BD5829"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 1</w:t>
            </w:r>
          </w:p>
        </w:tc>
        <w:tc>
          <w:tcPr>
            <w:tcW w:w="1526" w:type="dxa"/>
            <w:tcBorders>
              <w:top w:val="nil"/>
              <w:left w:val="nil"/>
              <w:bottom w:val="single" w:sz="7" w:space="0" w:color="000000"/>
              <w:right w:val="single" w:sz="7" w:space="0" w:color="000000"/>
            </w:tcBorders>
          </w:tcPr>
          <w:p w14:paraId="6A1A8B36" w14:textId="14A40651"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PDGFRA</w:t>
            </w:r>
          </w:p>
        </w:tc>
        <w:tc>
          <w:tcPr>
            <w:tcW w:w="1620" w:type="dxa"/>
            <w:tcBorders>
              <w:top w:val="nil"/>
              <w:left w:val="nil"/>
              <w:bottom w:val="single" w:sz="7" w:space="0" w:color="000000"/>
              <w:right w:val="single" w:sz="7" w:space="0" w:color="000000"/>
            </w:tcBorders>
          </w:tcPr>
          <w:p w14:paraId="175B7CF9" w14:textId="7393206F"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NM006206</w:t>
            </w:r>
          </w:p>
        </w:tc>
        <w:tc>
          <w:tcPr>
            <w:tcW w:w="1620" w:type="dxa"/>
            <w:tcBorders>
              <w:top w:val="nil"/>
              <w:left w:val="nil"/>
              <w:bottom w:val="single" w:sz="7" w:space="0" w:color="000000"/>
              <w:right w:val="single" w:sz="7" w:space="0" w:color="000000"/>
            </w:tcBorders>
          </w:tcPr>
          <w:p w14:paraId="2BD61494" w14:textId="6E50440F"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9-12,14</w:t>
            </w:r>
          </w:p>
        </w:tc>
      </w:tr>
      <w:tr w:rsidR="00215278" w:rsidRPr="00A00987" w14:paraId="0CAB11BC" w14:textId="1046AFD8" w:rsidTr="000845DA">
        <w:trPr>
          <w:trHeight w:val="208"/>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3BB24B63"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EBF1</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202D8A0"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NM024007</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23D4CCB"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10-15</w:t>
            </w:r>
          </w:p>
        </w:tc>
        <w:tc>
          <w:tcPr>
            <w:tcW w:w="1526" w:type="dxa"/>
            <w:tcBorders>
              <w:top w:val="nil"/>
              <w:left w:val="nil"/>
              <w:bottom w:val="single" w:sz="7" w:space="0" w:color="000000"/>
              <w:right w:val="single" w:sz="7" w:space="0" w:color="000000"/>
            </w:tcBorders>
          </w:tcPr>
          <w:p w14:paraId="02D4A2B3" w14:textId="184FF41B"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PDGFRB</w:t>
            </w:r>
          </w:p>
        </w:tc>
        <w:tc>
          <w:tcPr>
            <w:tcW w:w="1620" w:type="dxa"/>
            <w:tcBorders>
              <w:top w:val="nil"/>
              <w:left w:val="nil"/>
              <w:bottom w:val="single" w:sz="7" w:space="0" w:color="000000"/>
              <w:right w:val="single" w:sz="7" w:space="0" w:color="000000"/>
            </w:tcBorders>
          </w:tcPr>
          <w:p w14:paraId="32726D78" w14:textId="4E545EA3"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NM002609</w:t>
            </w:r>
          </w:p>
        </w:tc>
        <w:tc>
          <w:tcPr>
            <w:tcW w:w="1620" w:type="dxa"/>
            <w:tcBorders>
              <w:top w:val="nil"/>
              <w:left w:val="nil"/>
              <w:bottom w:val="single" w:sz="7" w:space="0" w:color="000000"/>
              <w:right w:val="single" w:sz="7" w:space="0" w:color="000000"/>
            </w:tcBorders>
          </w:tcPr>
          <w:p w14:paraId="6ADE5029" w14:textId="15BF8136"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8-9,13</w:t>
            </w:r>
          </w:p>
        </w:tc>
      </w:tr>
      <w:tr w:rsidR="00215278" w:rsidRPr="00A00987" w14:paraId="1634166A" w14:textId="764E663A" w:rsidTr="000845DA">
        <w:trPr>
          <w:trHeight w:val="163"/>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19D417D4"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EPOR</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8A2D686"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NM000121</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A0CC536"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7-8</w:t>
            </w:r>
          </w:p>
        </w:tc>
        <w:tc>
          <w:tcPr>
            <w:tcW w:w="1526" w:type="dxa"/>
            <w:tcBorders>
              <w:top w:val="nil"/>
              <w:left w:val="nil"/>
              <w:bottom w:val="single" w:sz="7" w:space="0" w:color="000000"/>
              <w:right w:val="single" w:sz="7" w:space="0" w:color="000000"/>
            </w:tcBorders>
          </w:tcPr>
          <w:p w14:paraId="38B4B742" w14:textId="6ECCC0F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P2RY8</w:t>
            </w:r>
          </w:p>
        </w:tc>
        <w:tc>
          <w:tcPr>
            <w:tcW w:w="1620" w:type="dxa"/>
            <w:tcBorders>
              <w:top w:val="nil"/>
              <w:left w:val="nil"/>
              <w:bottom w:val="single" w:sz="7" w:space="0" w:color="000000"/>
              <w:right w:val="single" w:sz="7" w:space="0" w:color="000000"/>
            </w:tcBorders>
          </w:tcPr>
          <w:p w14:paraId="07E73705" w14:textId="4013C774"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NM178129</w:t>
            </w:r>
          </w:p>
        </w:tc>
        <w:tc>
          <w:tcPr>
            <w:tcW w:w="1620" w:type="dxa"/>
            <w:tcBorders>
              <w:top w:val="nil"/>
              <w:left w:val="nil"/>
              <w:bottom w:val="single" w:sz="7" w:space="0" w:color="000000"/>
              <w:right w:val="single" w:sz="7" w:space="0" w:color="000000"/>
            </w:tcBorders>
          </w:tcPr>
          <w:p w14:paraId="4C367EB3" w14:textId="51D79391"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 1</w:t>
            </w:r>
          </w:p>
        </w:tc>
      </w:tr>
      <w:tr w:rsidR="00215278" w:rsidRPr="00A00987" w14:paraId="11D0FCED" w14:textId="17819779" w:rsidTr="000845DA">
        <w:trPr>
          <w:trHeight w:val="145"/>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674C8CA3"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ETV6</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7EBC48E4"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NM001987</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18454073"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1-6</w:t>
            </w:r>
          </w:p>
        </w:tc>
        <w:tc>
          <w:tcPr>
            <w:tcW w:w="1526" w:type="dxa"/>
            <w:tcBorders>
              <w:top w:val="nil"/>
              <w:left w:val="nil"/>
              <w:bottom w:val="single" w:sz="7" w:space="0" w:color="000000"/>
              <w:right w:val="single" w:sz="7" w:space="0" w:color="000000"/>
            </w:tcBorders>
          </w:tcPr>
          <w:p w14:paraId="619CC4D0" w14:textId="56450721"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PAX5</w:t>
            </w:r>
          </w:p>
        </w:tc>
        <w:tc>
          <w:tcPr>
            <w:tcW w:w="1620" w:type="dxa"/>
            <w:tcBorders>
              <w:top w:val="nil"/>
              <w:left w:val="nil"/>
              <w:bottom w:val="single" w:sz="7" w:space="0" w:color="000000"/>
              <w:right w:val="single" w:sz="7" w:space="0" w:color="000000"/>
            </w:tcBorders>
          </w:tcPr>
          <w:p w14:paraId="563740D2" w14:textId="312F5495"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NM016734</w:t>
            </w:r>
          </w:p>
        </w:tc>
        <w:tc>
          <w:tcPr>
            <w:tcW w:w="1620" w:type="dxa"/>
            <w:tcBorders>
              <w:top w:val="nil"/>
              <w:left w:val="nil"/>
              <w:bottom w:val="single" w:sz="7" w:space="0" w:color="000000"/>
              <w:right w:val="single" w:sz="7" w:space="0" w:color="000000"/>
            </w:tcBorders>
          </w:tcPr>
          <w:p w14:paraId="20BE894A" w14:textId="7FCC9890"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1,4-8</w:t>
            </w:r>
          </w:p>
        </w:tc>
      </w:tr>
      <w:tr w:rsidR="00215278" w:rsidRPr="00A00987" w14:paraId="70E3CE08" w14:textId="5415E651" w:rsidTr="000845DA">
        <w:trPr>
          <w:trHeight w:val="136"/>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1983B9FC"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FGFR1</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6D82C0A0"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NM023110</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4C24B049"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2-12,17</w:t>
            </w:r>
          </w:p>
        </w:tc>
        <w:tc>
          <w:tcPr>
            <w:tcW w:w="1526" w:type="dxa"/>
            <w:tcBorders>
              <w:top w:val="nil"/>
              <w:left w:val="nil"/>
              <w:bottom w:val="single" w:sz="7" w:space="0" w:color="000000"/>
              <w:right w:val="single" w:sz="7" w:space="0" w:color="000000"/>
            </w:tcBorders>
          </w:tcPr>
          <w:p w14:paraId="67319D18" w14:textId="6705D49B"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RUNX1</w:t>
            </w:r>
          </w:p>
        </w:tc>
        <w:tc>
          <w:tcPr>
            <w:tcW w:w="1620" w:type="dxa"/>
            <w:tcBorders>
              <w:top w:val="nil"/>
              <w:left w:val="nil"/>
              <w:bottom w:val="single" w:sz="7" w:space="0" w:color="000000"/>
              <w:right w:val="single" w:sz="7" w:space="0" w:color="000000"/>
            </w:tcBorders>
          </w:tcPr>
          <w:p w14:paraId="7564A298" w14:textId="65BA27BB"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NM001754</w:t>
            </w:r>
          </w:p>
        </w:tc>
        <w:tc>
          <w:tcPr>
            <w:tcW w:w="1620" w:type="dxa"/>
            <w:tcBorders>
              <w:top w:val="nil"/>
              <w:left w:val="nil"/>
              <w:bottom w:val="single" w:sz="7" w:space="0" w:color="000000"/>
              <w:right w:val="single" w:sz="7" w:space="0" w:color="000000"/>
            </w:tcBorders>
          </w:tcPr>
          <w:p w14:paraId="30BE8B3E" w14:textId="31932094"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2-9</w:t>
            </w:r>
          </w:p>
        </w:tc>
      </w:tr>
      <w:tr w:rsidR="00215278" w:rsidRPr="00A00987" w14:paraId="4FA12042" w14:textId="72107094" w:rsidTr="000845DA">
        <w:trPr>
          <w:trHeight w:val="123"/>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6E63F6AC"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IKZF1</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0BFB28BC"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NM006060</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3D567EB3"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1-3,7,8</w:t>
            </w:r>
          </w:p>
        </w:tc>
        <w:tc>
          <w:tcPr>
            <w:tcW w:w="1526" w:type="dxa"/>
            <w:tcBorders>
              <w:top w:val="nil"/>
              <w:left w:val="nil"/>
              <w:bottom w:val="single" w:sz="7" w:space="0" w:color="000000"/>
              <w:right w:val="single" w:sz="7" w:space="0" w:color="000000"/>
            </w:tcBorders>
          </w:tcPr>
          <w:p w14:paraId="7BBBD6D9" w14:textId="745599F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TCF3</w:t>
            </w:r>
          </w:p>
        </w:tc>
        <w:tc>
          <w:tcPr>
            <w:tcW w:w="1620" w:type="dxa"/>
            <w:tcBorders>
              <w:top w:val="nil"/>
              <w:left w:val="nil"/>
              <w:bottom w:val="single" w:sz="7" w:space="0" w:color="000000"/>
              <w:right w:val="single" w:sz="7" w:space="0" w:color="000000"/>
            </w:tcBorders>
          </w:tcPr>
          <w:p w14:paraId="702E310D" w14:textId="13008E85"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NM003200</w:t>
            </w:r>
          </w:p>
        </w:tc>
        <w:tc>
          <w:tcPr>
            <w:tcW w:w="1620" w:type="dxa"/>
            <w:tcBorders>
              <w:top w:val="nil"/>
              <w:left w:val="nil"/>
              <w:bottom w:val="single" w:sz="7" w:space="0" w:color="000000"/>
              <w:right w:val="single" w:sz="7" w:space="0" w:color="000000"/>
            </w:tcBorders>
          </w:tcPr>
          <w:p w14:paraId="371CA10E" w14:textId="17684C7A"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11-18</w:t>
            </w:r>
          </w:p>
        </w:tc>
      </w:tr>
      <w:tr w:rsidR="00215278" w:rsidRPr="00A00987" w14:paraId="7353AF6B" w14:textId="4B7A7994" w:rsidTr="000845DA">
        <w:trPr>
          <w:trHeight w:val="118"/>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735F68AD"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IL2RB</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E3FB9D9"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NM000878</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5DC97D31"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 10</w:t>
            </w:r>
          </w:p>
        </w:tc>
        <w:tc>
          <w:tcPr>
            <w:tcW w:w="1526" w:type="dxa"/>
            <w:tcBorders>
              <w:top w:val="nil"/>
              <w:left w:val="nil"/>
              <w:bottom w:val="single" w:sz="7" w:space="0" w:color="000000"/>
              <w:right w:val="single" w:sz="7" w:space="0" w:color="000000"/>
            </w:tcBorders>
          </w:tcPr>
          <w:p w14:paraId="34970E5D" w14:textId="174A94BA"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i/>
                <w:sz w:val="16"/>
                <w:szCs w:val="16"/>
                <w:highlight w:val="white"/>
              </w:rPr>
              <w:t>ZNF384</w:t>
            </w:r>
          </w:p>
        </w:tc>
        <w:tc>
          <w:tcPr>
            <w:tcW w:w="1620" w:type="dxa"/>
            <w:tcBorders>
              <w:top w:val="nil"/>
              <w:left w:val="nil"/>
              <w:bottom w:val="single" w:sz="7" w:space="0" w:color="000000"/>
              <w:right w:val="single" w:sz="7" w:space="0" w:color="000000"/>
            </w:tcBorders>
          </w:tcPr>
          <w:p w14:paraId="220ED955" w14:textId="23386416"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NM001039920</w:t>
            </w:r>
          </w:p>
        </w:tc>
        <w:tc>
          <w:tcPr>
            <w:tcW w:w="1620" w:type="dxa"/>
            <w:tcBorders>
              <w:top w:val="nil"/>
              <w:left w:val="nil"/>
              <w:bottom w:val="single" w:sz="7" w:space="0" w:color="000000"/>
              <w:right w:val="single" w:sz="7" w:space="0" w:color="000000"/>
            </w:tcBorders>
          </w:tcPr>
          <w:p w14:paraId="2EB459A9" w14:textId="4564628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2,3,7</w:t>
            </w:r>
          </w:p>
        </w:tc>
      </w:tr>
      <w:tr w:rsidR="00215278" w:rsidRPr="00A00987" w14:paraId="63BA2128" w14:textId="01AB9555" w:rsidTr="000845DA">
        <w:trPr>
          <w:trHeight w:val="190"/>
        </w:trPr>
        <w:tc>
          <w:tcPr>
            <w:tcW w:w="891" w:type="dxa"/>
            <w:tcBorders>
              <w:top w:val="nil"/>
              <w:left w:val="single" w:sz="7" w:space="0" w:color="000000"/>
              <w:bottom w:val="single" w:sz="7" w:space="0" w:color="000000"/>
              <w:right w:val="single" w:sz="7" w:space="0" w:color="000000"/>
            </w:tcBorders>
            <w:shd w:val="clear" w:color="auto" w:fill="auto"/>
            <w:tcMar>
              <w:top w:w="0" w:type="dxa"/>
              <w:left w:w="100" w:type="dxa"/>
              <w:bottom w:w="0" w:type="dxa"/>
              <w:right w:w="100" w:type="dxa"/>
            </w:tcMar>
          </w:tcPr>
          <w:p w14:paraId="6C7D934E" w14:textId="77777777" w:rsidR="00215278" w:rsidRPr="00A00987" w:rsidRDefault="00215278" w:rsidP="000845DA">
            <w:pPr>
              <w:keepLines/>
              <w:spacing w:after="0"/>
              <w:ind w:left="20" w:right="140"/>
              <w:jc w:val="center"/>
              <w:rPr>
                <w:rFonts w:ascii="Times New Roman" w:eastAsia="Times New Roman" w:hAnsi="Times New Roman" w:cs="Times New Roman"/>
                <w:i/>
                <w:sz w:val="16"/>
                <w:szCs w:val="16"/>
                <w:highlight w:val="white"/>
              </w:rPr>
            </w:pPr>
            <w:r w:rsidRPr="00A00987">
              <w:rPr>
                <w:rFonts w:ascii="Times New Roman" w:eastAsia="Times New Roman" w:hAnsi="Times New Roman" w:cs="Times New Roman"/>
                <w:i/>
                <w:sz w:val="16"/>
                <w:szCs w:val="16"/>
                <w:highlight w:val="white"/>
              </w:rPr>
              <w:t>JAK2</w:t>
            </w:r>
          </w:p>
        </w:tc>
        <w:tc>
          <w:tcPr>
            <w:tcW w:w="1354"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88905DB"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NM004972</w:t>
            </w:r>
          </w:p>
        </w:tc>
        <w:tc>
          <w:tcPr>
            <w:tcW w:w="1620" w:type="dxa"/>
            <w:tcBorders>
              <w:top w:val="nil"/>
              <w:left w:val="nil"/>
              <w:bottom w:val="single" w:sz="7" w:space="0" w:color="000000"/>
              <w:right w:val="single" w:sz="7" w:space="0" w:color="000000"/>
            </w:tcBorders>
            <w:shd w:val="clear" w:color="auto" w:fill="auto"/>
            <w:tcMar>
              <w:top w:w="0" w:type="dxa"/>
              <w:left w:w="100" w:type="dxa"/>
              <w:bottom w:w="0" w:type="dxa"/>
              <w:right w:w="100" w:type="dxa"/>
            </w:tcMar>
          </w:tcPr>
          <w:p w14:paraId="2BB27967"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r w:rsidRPr="00A00987">
              <w:rPr>
                <w:rFonts w:ascii="Times New Roman" w:eastAsia="Times New Roman" w:hAnsi="Times New Roman" w:cs="Times New Roman"/>
                <w:sz w:val="16"/>
                <w:szCs w:val="16"/>
                <w:highlight w:val="white"/>
              </w:rPr>
              <w:t>Exons 6-13, 15,20</w:t>
            </w:r>
          </w:p>
        </w:tc>
        <w:tc>
          <w:tcPr>
            <w:tcW w:w="1526" w:type="dxa"/>
            <w:tcBorders>
              <w:top w:val="nil"/>
              <w:left w:val="nil"/>
              <w:bottom w:val="single" w:sz="7" w:space="0" w:color="000000"/>
              <w:right w:val="single" w:sz="7" w:space="0" w:color="000000"/>
            </w:tcBorders>
          </w:tcPr>
          <w:p w14:paraId="2E8C87FD"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p>
        </w:tc>
        <w:tc>
          <w:tcPr>
            <w:tcW w:w="1620" w:type="dxa"/>
            <w:tcBorders>
              <w:top w:val="nil"/>
              <w:left w:val="nil"/>
              <w:bottom w:val="single" w:sz="7" w:space="0" w:color="000000"/>
              <w:right w:val="single" w:sz="7" w:space="0" w:color="000000"/>
            </w:tcBorders>
          </w:tcPr>
          <w:p w14:paraId="6049D1E6"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p>
        </w:tc>
        <w:tc>
          <w:tcPr>
            <w:tcW w:w="1620" w:type="dxa"/>
            <w:tcBorders>
              <w:top w:val="nil"/>
              <w:left w:val="nil"/>
              <w:bottom w:val="single" w:sz="7" w:space="0" w:color="000000"/>
              <w:right w:val="single" w:sz="7" w:space="0" w:color="000000"/>
            </w:tcBorders>
          </w:tcPr>
          <w:p w14:paraId="0B063EFF" w14:textId="77777777" w:rsidR="00215278" w:rsidRPr="00A00987" w:rsidRDefault="00215278" w:rsidP="000845DA">
            <w:pPr>
              <w:keepLines/>
              <w:spacing w:after="0"/>
              <w:ind w:left="20" w:right="140"/>
              <w:jc w:val="center"/>
              <w:rPr>
                <w:rFonts w:ascii="Times New Roman" w:eastAsia="Times New Roman" w:hAnsi="Times New Roman" w:cs="Times New Roman"/>
                <w:sz w:val="16"/>
                <w:szCs w:val="16"/>
                <w:highlight w:val="white"/>
              </w:rPr>
            </w:pPr>
          </w:p>
        </w:tc>
      </w:tr>
    </w:tbl>
    <w:p w14:paraId="1AA343BE" w14:textId="39C639CE" w:rsidR="008215E6" w:rsidRPr="002B5990" w:rsidRDefault="008215E6" w:rsidP="002B5990">
      <w:pPr>
        <w:pStyle w:val="NoSpacing"/>
        <w:rPr>
          <w:b/>
          <w:bCs/>
          <w:highlight w:val="white"/>
        </w:rPr>
      </w:pPr>
      <w:r w:rsidRPr="002B5990">
        <w:rPr>
          <w:b/>
          <w:bCs/>
          <w:highlight w:val="white"/>
        </w:rPr>
        <w:t xml:space="preserve">Supplementary Table 1. </w:t>
      </w:r>
      <w:r w:rsidR="002B5990">
        <w:rPr>
          <w:b/>
          <w:bCs/>
          <w:highlight w:val="white"/>
        </w:rPr>
        <w:t>Panel of genes tested using the targeted RNA sequencing approach (NARASIMHA)</w:t>
      </w:r>
    </w:p>
    <w:p w14:paraId="0CF98612" w14:textId="77777777" w:rsidR="002B5990" w:rsidRDefault="002B5990" w:rsidP="00EF030D">
      <w:pPr>
        <w:rPr>
          <w:rFonts w:ascii="Times New Roman" w:hAnsi="Times New Roman" w:cs="Times New Roman"/>
          <w:b/>
          <w:sz w:val="24"/>
          <w:szCs w:val="24"/>
        </w:rPr>
      </w:pPr>
    </w:p>
    <w:p w14:paraId="73738B47" w14:textId="4A921182" w:rsidR="00A11539" w:rsidRPr="002B5990" w:rsidRDefault="003E4ECF" w:rsidP="00EF030D">
      <w:pPr>
        <w:rPr>
          <w:rFonts w:ascii="Times New Roman" w:eastAsia="Times New Roman" w:hAnsi="Times New Roman" w:cs="Times New Roman"/>
          <w:b/>
          <w:bCs/>
          <w:color w:val="000000"/>
          <w:sz w:val="32"/>
          <w:szCs w:val="32"/>
          <w:shd w:val="clear" w:color="auto" w:fill="FFFFFF"/>
        </w:rPr>
      </w:pPr>
      <w:r w:rsidRPr="002B5990">
        <w:rPr>
          <w:rFonts w:ascii="Times New Roman" w:hAnsi="Times New Roman" w:cs="Times New Roman"/>
          <w:b/>
          <w:sz w:val="32"/>
          <w:szCs w:val="32"/>
        </w:rPr>
        <w:t>Results</w:t>
      </w:r>
    </w:p>
    <w:p w14:paraId="5461F11C" w14:textId="22E381C1" w:rsidR="00021563" w:rsidRDefault="00021563" w:rsidP="001F75B1">
      <w:pPr>
        <w:spacing w:before="240" w:after="240" w:line="480" w:lineRule="auto"/>
        <w:jc w:val="both"/>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bCs/>
          <w:color w:val="000000"/>
          <w:sz w:val="24"/>
          <w:szCs w:val="24"/>
          <w:shd w:val="clear" w:color="auto" w:fill="FFFFFF"/>
        </w:rPr>
        <w:t>MRD Characteristics of Gen</w:t>
      </w:r>
      <w:r w:rsidR="00B14B42">
        <w:rPr>
          <w:rFonts w:ascii="Times New Roman" w:eastAsia="Times New Roman" w:hAnsi="Times New Roman" w:cs="Times New Roman"/>
          <w:b/>
          <w:bCs/>
          <w:color w:val="000000"/>
          <w:sz w:val="24"/>
          <w:szCs w:val="24"/>
          <w:shd w:val="clear" w:color="auto" w:fill="FFFFFF"/>
        </w:rPr>
        <w:t>etic</w:t>
      </w:r>
      <w:r>
        <w:rPr>
          <w:rFonts w:ascii="Times New Roman" w:eastAsia="Times New Roman" w:hAnsi="Times New Roman" w:cs="Times New Roman"/>
          <w:b/>
          <w:bCs/>
          <w:color w:val="000000"/>
          <w:sz w:val="24"/>
          <w:szCs w:val="24"/>
          <w:shd w:val="clear" w:color="auto" w:fill="FFFFFF"/>
        </w:rPr>
        <w:t xml:space="preserve"> Subtypes</w:t>
      </w:r>
      <w:r w:rsidR="001F75B1">
        <w:rPr>
          <w:rFonts w:ascii="Times New Roman" w:eastAsia="Times New Roman" w:hAnsi="Times New Roman" w:cs="Times New Roman"/>
          <w:b/>
          <w:bCs/>
          <w:color w:val="000000"/>
          <w:sz w:val="24"/>
          <w:szCs w:val="24"/>
          <w:shd w:val="clear" w:color="auto" w:fill="FFFFFF"/>
        </w:rPr>
        <w:t xml:space="preserve">: </w:t>
      </w:r>
      <w:r>
        <w:rPr>
          <w:rFonts w:ascii="Times New Roman" w:eastAsia="Times New Roman" w:hAnsi="Times New Roman" w:cs="Times New Roman"/>
          <w:color w:val="000000"/>
          <w:sz w:val="24"/>
          <w:szCs w:val="24"/>
          <w:shd w:val="clear" w:color="auto" w:fill="FFFFFF"/>
        </w:rPr>
        <w:t xml:space="preserve">More than half of the cases in the </w:t>
      </w:r>
      <w:proofErr w:type="gramStart"/>
      <w:r>
        <w:rPr>
          <w:rFonts w:ascii="Times New Roman" w:eastAsia="Times New Roman" w:hAnsi="Times New Roman" w:cs="Times New Roman"/>
          <w:i/>
          <w:iCs/>
          <w:color w:val="000000"/>
          <w:sz w:val="24"/>
          <w:szCs w:val="24"/>
          <w:shd w:val="clear" w:color="auto" w:fill="FFFFFF"/>
        </w:rPr>
        <w:t>BCR::</w:t>
      </w:r>
      <w:proofErr w:type="gramEnd"/>
      <w:r>
        <w:rPr>
          <w:rFonts w:ascii="Times New Roman" w:eastAsia="Times New Roman" w:hAnsi="Times New Roman" w:cs="Times New Roman"/>
          <w:i/>
          <w:iCs/>
          <w:color w:val="000000"/>
          <w:sz w:val="24"/>
          <w:szCs w:val="24"/>
          <w:shd w:val="clear" w:color="auto" w:fill="FFFFFF"/>
        </w:rPr>
        <w:t xml:space="preserve">ABL1 </w:t>
      </w:r>
      <w:r>
        <w:rPr>
          <w:rFonts w:ascii="Times New Roman" w:eastAsia="Times New Roman" w:hAnsi="Times New Roman" w:cs="Times New Roman"/>
          <w:color w:val="000000"/>
          <w:sz w:val="24"/>
          <w:szCs w:val="24"/>
          <w:shd w:val="clear" w:color="auto" w:fill="FFFFFF"/>
        </w:rPr>
        <w:t xml:space="preserve">(p=0.02), </w:t>
      </w:r>
      <w:r>
        <w:rPr>
          <w:rFonts w:ascii="Times New Roman" w:eastAsia="Times New Roman" w:hAnsi="Times New Roman" w:cs="Times New Roman"/>
          <w:i/>
          <w:iCs/>
          <w:color w:val="000000"/>
          <w:sz w:val="24"/>
          <w:szCs w:val="24"/>
          <w:shd w:val="clear" w:color="auto" w:fill="FFFFFF"/>
        </w:rPr>
        <w:t>BCR::ABL1</w:t>
      </w:r>
      <w:r>
        <w:rPr>
          <w:rFonts w:ascii="Times New Roman" w:eastAsia="Times New Roman" w:hAnsi="Times New Roman" w:cs="Times New Roman"/>
          <w:color w:val="000000"/>
          <w:sz w:val="24"/>
          <w:szCs w:val="24"/>
          <w:shd w:val="clear" w:color="auto" w:fill="FFFFFF"/>
        </w:rPr>
        <w:t xml:space="preserve">-like (p&lt;0.0001), </w:t>
      </w:r>
      <w:r>
        <w:rPr>
          <w:rFonts w:ascii="Times New Roman" w:eastAsia="Times New Roman" w:hAnsi="Times New Roman" w:cs="Times New Roman"/>
          <w:i/>
          <w:iCs/>
          <w:color w:val="000000"/>
          <w:sz w:val="24"/>
          <w:szCs w:val="24"/>
          <w:shd w:val="clear" w:color="auto" w:fill="FFFFFF"/>
        </w:rPr>
        <w:t xml:space="preserve">TCF3::HLF </w:t>
      </w:r>
      <w:r>
        <w:rPr>
          <w:rFonts w:ascii="Times New Roman" w:eastAsia="Times New Roman" w:hAnsi="Times New Roman" w:cs="Times New Roman"/>
          <w:color w:val="000000"/>
          <w:sz w:val="24"/>
          <w:szCs w:val="24"/>
          <w:shd w:val="clear" w:color="auto" w:fill="FFFFFF"/>
        </w:rPr>
        <w:t xml:space="preserve">(p=0.19), and </w:t>
      </w:r>
      <w:r>
        <w:rPr>
          <w:rFonts w:ascii="Times New Roman" w:eastAsia="Times New Roman" w:hAnsi="Times New Roman" w:cs="Times New Roman"/>
          <w:i/>
          <w:iCs/>
          <w:color w:val="000000"/>
          <w:sz w:val="24"/>
          <w:szCs w:val="24"/>
          <w:shd w:val="clear" w:color="auto" w:fill="FFFFFF"/>
        </w:rPr>
        <w:t>ZNF384</w:t>
      </w:r>
      <w:r>
        <w:rPr>
          <w:rFonts w:ascii="Times New Roman" w:eastAsia="Times New Roman" w:hAnsi="Times New Roman" w:cs="Times New Roman"/>
          <w:color w:val="000000"/>
          <w:sz w:val="24"/>
          <w:szCs w:val="24"/>
          <w:shd w:val="clear" w:color="auto" w:fill="FFFFFF"/>
        </w:rPr>
        <w:t xml:space="preserve"> rearrangement (p=0.51) groups exhibited positive PI MRD. Significantly, in the </w:t>
      </w:r>
      <w:r>
        <w:rPr>
          <w:rFonts w:ascii="Times New Roman" w:eastAsia="Times New Roman" w:hAnsi="Times New Roman" w:cs="Times New Roman"/>
          <w:i/>
          <w:iCs/>
          <w:color w:val="000000"/>
          <w:sz w:val="24"/>
          <w:szCs w:val="24"/>
          <w:shd w:val="clear" w:color="auto" w:fill="FFFFFF"/>
        </w:rPr>
        <w:t>TCF3::HLF</w:t>
      </w:r>
      <w:r>
        <w:rPr>
          <w:rFonts w:ascii="Times New Roman" w:eastAsia="Times New Roman" w:hAnsi="Times New Roman" w:cs="Times New Roman"/>
          <w:color w:val="000000"/>
          <w:sz w:val="24"/>
          <w:szCs w:val="24"/>
          <w:shd w:val="clear" w:color="auto" w:fill="FFFFFF"/>
        </w:rPr>
        <w:t xml:space="preserve">, </w:t>
      </w:r>
      <w:r>
        <w:rPr>
          <w:rFonts w:ascii="Times New Roman" w:eastAsia="Times New Roman" w:hAnsi="Times New Roman" w:cs="Times New Roman"/>
          <w:i/>
          <w:iCs/>
          <w:color w:val="000000"/>
          <w:sz w:val="24"/>
          <w:szCs w:val="24"/>
          <w:shd w:val="clear" w:color="auto" w:fill="FFFFFF"/>
        </w:rPr>
        <w:t>BCR::ABL1</w:t>
      </w:r>
      <w:r>
        <w:rPr>
          <w:rFonts w:ascii="Times New Roman" w:eastAsia="Times New Roman" w:hAnsi="Times New Roman" w:cs="Times New Roman"/>
          <w:color w:val="000000"/>
          <w:sz w:val="24"/>
          <w:szCs w:val="24"/>
          <w:shd w:val="clear" w:color="auto" w:fill="FFFFFF"/>
        </w:rPr>
        <w:t xml:space="preserve"> like, </w:t>
      </w:r>
      <w:r>
        <w:rPr>
          <w:rFonts w:ascii="Times New Roman" w:eastAsia="Times New Roman" w:hAnsi="Times New Roman" w:cs="Times New Roman"/>
          <w:i/>
          <w:iCs/>
          <w:color w:val="000000"/>
          <w:sz w:val="24"/>
          <w:szCs w:val="24"/>
          <w:shd w:val="clear" w:color="auto" w:fill="FFFFFF"/>
        </w:rPr>
        <w:t>ZNF384</w:t>
      </w:r>
      <w:r>
        <w:rPr>
          <w:rFonts w:ascii="Times New Roman" w:eastAsia="Times New Roman" w:hAnsi="Times New Roman" w:cs="Times New Roman"/>
          <w:color w:val="000000"/>
          <w:sz w:val="24"/>
          <w:szCs w:val="24"/>
          <w:shd w:val="clear" w:color="auto" w:fill="FFFFFF"/>
        </w:rPr>
        <w:t xml:space="preserve"> rearrangement, </w:t>
      </w:r>
      <w:r>
        <w:rPr>
          <w:rFonts w:ascii="Times New Roman" w:eastAsia="Times New Roman" w:hAnsi="Times New Roman" w:cs="Times New Roman"/>
          <w:i/>
          <w:iCs/>
          <w:color w:val="000000"/>
          <w:sz w:val="24"/>
          <w:szCs w:val="24"/>
          <w:shd w:val="clear" w:color="auto" w:fill="FFFFFF"/>
        </w:rPr>
        <w:t>BCR::ABL1</w:t>
      </w:r>
      <w:r>
        <w:rPr>
          <w:rFonts w:ascii="Times New Roman" w:eastAsia="Times New Roman" w:hAnsi="Times New Roman" w:cs="Times New Roman"/>
          <w:color w:val="000000"/>
          <w:sz w:val="24"/>
          <w:szCs w:val="24"/>
          <w:shd w:val="clear" w:color="auto" w:fill="FFFFFF"/>
        </w:rPr>
        <w:t xml:space="preserve"> and hypodiploidy categories, a significant proportion of patients had MRD&gt;1% comprising of 50, 39.13, 33.33, 24, and 16.67% cases respectively. The proportion of patients having PI MRD&lt;0.01, 0.01-1%, 1-5% and &gt;5% MRD in each genetic categories is shown in Supplementary Figure </w:t>
      </w:r>
      <w:r w:rsidR="000845DA">
        <w:rPr>
          <w:rFonts w:ascii="Times New Roman" w:eastAsia="Times New Roman" w:hAnsi="Times New Roman" w:cs="Times New Roman"/>
          <w:color w:val="000000"/>
          <w:sz w:val="24"/>
          <w:szCs w:val="24"/>
          <w:shd w:val="clear" w:color="auto" w:fill="FFFFFF"/>
        </w:rPr>
        <w:t>2</w:t>
      </w:r>
      <w:r>
        <w:rPr>
          <w:rFonts w:ascii="Times New Roman" w:eastAsia="Times New Roman" w:hAnsi="Times New Roman" w:cs="Times New Roman"/>
          <w:color w:val="000000"/>
          <w:sz w:val="24"/>
          <w:szCs w:val="24"/>
          <w:shd w:val="clear" w:color="auto" w:fill="FFFFFF"/>
        </w:rPr>
        <w:t>.</w:t>
      </w:r>
      <w:r>
        <w:rPr>
          <w:rFonts w:ascii="Times New Roman" w:eastAsia="Times New Roman" w:hAnsi="Times New Roman" w:cs="Times New Roman"/>
          <w:b/>
          <w:bCs/>
          <w:color w:val="000000"/>
          <w:sz w:val="24"/>
          <w:szCs w:val="24"/>
          <w:shd w:val="clear" w:color="auto" w:fill="FFFFFF"/>
        </w:rPr>
        <w:t> </w:t>
      </w:r>
    </w:p>
    <w:p w14:paraId="448232F2" w14:textId="51E93F96" w:rsidR="00F33851" w:rsidRDefault="00F33851" w:rsidP="009C6D91">
      <w:pPr>
        <w:spacing w:before="240" w:after="240" w:line="480" w:lineRule="auto"/>
        <w:jc w:val="both"/>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noProof/>
          <w:color w:val="000000"/>
          <w:sz w:val="24"/>
          <w:szCs w:val="24"/>
          <w:bdr w:val="none" w:sz="0" w:space="0" w:color="auto" w:frame="1"/>
          <w:shd w:val="clear" w:color="auto" w:fill="FFFFFF"/>
        </w:rPr>
        <w:lastRenderedPageBreak/>
        <w:drawing>
          <wp:anchor distT="0" distB="0" distL="114300" distR="114300" simplePos="0" relativeHeight="251661312" behindDoc="0" locked="0" layoutInCell="1" allowOverlap="1" wp14:anchorId="7C3936E1" wp14:editId="39FB4A54">
            <wp:simplePos x="0" y="0"/>
            <wp:positionH relativeFrom="column">
              <wp:posOffset>-255270</wp:posOffset>
            </wp:positionH>
            <wp:positionV relativeFrom="paragraph">
              <wp:posOffset>504825</wp:posOffset>
            </wp:positionV>
            <wp:extent cx="6901180" cy="4113530"/>
            <wp:effectExtent l="0" t="0" r="0" b="1270"/>
            <wp:wrapSquare wrapText="bothSides"/>
            <wp:docPr id="1" name="Picture 1" descr="https://lh7-us.googleusercontent.com/6Xdt8gFrt8dMN6DGROfegSd4VvEafpg2RdhIjyiaMGe7c0svhz7--bN4dKjhjxpbiZ-4Kt6x-OVWysNVZU4RvrpLPIT3xXv1GxLRHYZf5LdE6Diu7yO-QhT-L89697CoAsT3cIByxlYOIglDLx4ZmS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7-us.googleusercontent.com/6Xdt8gFrt8dMN6DGROfegSd4VvEafpg2RdhIjyiaMGe7c0svhz7--bN4dKjhjxpbiZ-4Kt6x-OVWysNVZU4RvrpLPIT3xXv1GxLRHYZf5LdE6Diu7yO-QhT-L89697CoAsT3cIByxlYOIglDLx4ZmS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01180" cy="4113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3F54CA" w14:textId="0CF595D8" w:rsidR="009C6D91" w:rsidRDefault="009C6D91" w:rsidP="009C6D91">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t xml:space="preserve">Supplementary Figure </w:t>
      </w:r>
      <w:r w:rsidR="00B6795F">
        <w:rPr>
          <w:rFonts w:ascii="Times New Roman" w:eastAsia="Times New Roman" w:hAnsi="Times New Roman" w:cs="Times New Roman"/>
          <w:b/>
          <w:bCs/>
          <w:color w:val="000000"/>
          <w:sz w:val="24"/>
          <w:szCs w:val="24"/>
          <w:shd w:val="clear" w:color="auto" w:fill="FFFFFF"/>
        </w:rPr>
        <w:t>3</w:t>
      </w:r>
      <w:r>
        <w:rPr>
          <w:rFonts w:ascii="Times New Roman" w:eastAsia="Times New Roman" w:hAnsi="Times New Roman" w:cs="Times New Roman"/>
          <w:b/>
          <w:bCs/>
          <w:color w:val="000000"/>
          <w:sz w:val="24"/>
          <w:szCs w:val="24"/>
          <w:shd w:val="clear" w:color="auto" w:fill="FFFFFF"/>
        </w:rPr>
        <w:t>. Post induction MRD levels in patients of genetic sub-categories</w:t>
      </w:r>
    </w:p>
    <w:p w14:paraId="300369EC" w14:textId="46D8F7DB" w:rsidR="006C74CE" w:rsidRDefault="00DE5B75" w:rsidP="004519CA">
      <w:pPr>
        <w:spacing w:before="240" w:after="240" w:line="480" w:lineRule="auto"/>
        <w:jc w:val="both"/>
        <w:rPr>
          <w:noProof/>
        </w:rPr>
      </w:pPr>
      <w:r>
        <w:rPr>
          <w:noProof/>
        </w:rPr>
        <w:drawing>
          <wp:inline distT="0" distB="0" distL="0" distR="0" wp14:anchorId="0CA96CFF" wp14:editId="75DDFA71">
            <wp:extent cx="5731510" cy="2760345"/>
            <wp:effectExtent l="0" t="0" r="2540" b="1905"/>
            <wp:docPr id="5" name="Chart 5">
              <a:extLst xmlns:a="http://schemas.openxmlformats.org/drawingml/2006/main">
                <a:ext uri="{FF2B5EF4-FFF2-40B4-BE49-F238E27FC236}">
                  <a16:creationId xmlns:a16="http://schemas.microsoft.com/office/drawing/2014/main" id="{DDCF0343-0EDB-4BEA-9C8B-4E30BC8877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A3FCED8" w14:textId="6597100E" w:rsidR="00776C1C" w:rsidRDefault="004519CA" w:rsidP="004519CA">
      <w:pPr>
        <w:spacing w:before="240" w:after="240" w:line="480" w:lineRule="auto"/>
        <w:jc w:val="both"/>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bCs/>
          <w:color w:val="000000"/>
          <w:sz w:val="24"/>
          <w:szCs w:val="24"/>
          <w:shd w:val="clear" w:color="auto" w:fill="FFFFFF"/>
        </w:rPr>
        <w:t xml:space="preserve">Supplementary Figure </w:t>
      </w:r>
      <w:r w:rsidR="00B6795F">
        <w:rPr>
          <w:rFonts w:ascii="Times New Roman" w:eastAsia="Times New Roman" w:hAnsi="Times New Roman" w:cs="Times New Roman"/>
          <w:b/>
          <w:bCs/>
          <w:color w:val="000000"/>
          <w:sz w:val="24"/>
          <w:szCs w:val="24"/>
          <w:shd w:val="clear" w:color="auto" w:fill="FFFFFF"/>
        </w:rPr>
        <w:t>4</w:t>
      </w:r>
      <w:r>
        <w:rPr>
          <w:rFonts w:ascii="Times New Roman" w:eastAsia="Times New Roman" w:hAnsi="Times New Roman" w:cs="Times New Roman"/>
          <w:b/>
          <w:bCs/>
          <w:color w:val="000000"/>
          <w:sz w:val="24"/>
          <w:szCs w:val="24"/>
          <w:shd w:val="clear" w:color="auto" w:fill="FFFFFF"/>
        </w:rPr>
        <w:t xml:space="preserve">. </w:t>
      </w:r>
      <w:r w:rsidRPr="00D224B5">
        <w:rPr>
          <w:rFonts w:ascii="Times New Roman" w:eastAsia="Times New Roman" w:hAnsi="Times New Roman" w:cs="Times New Roman"/>
          <w:b/>
          <w:bCs/>
          <w:i/>
          <w:iCs/>
          <w:color w:val="000000"/>
          <w:sz w:val="24"/>
          <w:szCs w:val="24"/>
          <w:shd w:val="clear" w:color="auto" w:fill="FFFFFF"/>
        </w:rPr>
        <w:t>IKZF1</w:t>
      </w:r>
      <w:r>
        <w:rPr>
          <w:rFonts w:ascii="Times New Roman" w:eastAsia="Times New Roman" w:hAnsi="Times New Roman" w:cs="Times New Roman"/>
          <w:b/>
          <w:bCs/>
          <w:color w:val="000000"/>
          <w:sz w:val="24"/>
          <w:szCs w:val="24"/>
          <w:shd w:val="clear" w:color="auto" w:fill="FFFFFF"/>
        </w:rPr>
        <w:t xml:space="preserve"> deletion</w:t>
      </w:r>
      <w:r w:rsidR="00BD6D7E">
        <w:rPr>
          <w:rFonts w:ascii="Times New Roman" w:eastAsia="Times New Roman" w:hAnsi="Times New Roman" w:cs="Times New Roman"/>
          <w:b/>
          <w:bCs/>
          <w:color w:val="000000"/>
          <w:sz w:val="24"/>
          <w:szCs w:val="24"/>
          <w:shd w:val="clear" w:color="auto" w:fill="FFFFFF"/>
        </w:rPr>
        <w:t xml:space="preserve"> frequenc</w:t>
      </w:r>
      <w:r w:rsidR="00C240A1">
        <w:rPr>
          <w:rFonts w:ascii="Times New Roman" w:eastAsia="Times New Roman" w:hAnsi="Times New Roman" w:cs="Times New Roman"/>
          <w:b/>
          <w:bCs/>
          <w:color w:val="000000"/>
          <w:sz w:val="24"/>
          <w:szCs w:val="24"/>
          <w:shd w:val="clear" w:color="auto" w:fill="FFFFFF"/>
        </w:rPr>
        <w:t>ies across</w:t>
      </w:r>
      <w:r w:rsidR="00D224B5">
        <w:rPr>
          <w:rFonts w:ascii="Times New Roman" w:eastAsia="Times New Roman" w:hAnsi="Times New Roman" w:cs="Times New Roman"/>
          <w:b/>
          <w:bCs/>
          <w:color w:val="000000"/>
          <w:sz w:val="24"/>
          <w:szCs w:val="24"/>
          <w:shd w:val="clear" w:color="auto" w:fill="FFFFFF"/>
        </w:rPr>
        <w:t xml:space="preserve"> genetic </w:t>
      </w:r>
      <w:r>
        <w:rPr>
          <w:rFonts w:ascii="Times New Roman" w:eastAsia="Times New Roman" w:hAnsi="Times New Roman" w:cs="Times New Roman"/>
          <w:b/>
          <w:bCs/>
          <w:color w:val="000000"/>
          <w:sz w:val="24"/>
          <w:szCs w:val="24"/>
          <w:shd w:val="clear" w:color="auto" w:fill="FFFFFF"/>
        </w:rPr>
        <w:t>sub-groups.</w:t>
      </w:r>
    </w:p>
    <w:p w14:paraId="3A6D057D" w14:textId="276F4823" w:rsidR="00C21F04" w:rsidRPr="00C21F04" w:rsidRDefault="00C21F04" w:rsidP="00C21F04">
      <w:pPr>
        <w:spacing w:before="100" w:beforeAutospacing="1" w:after="100" w:afterAutospacing="1" w:line="240" w:lineRule="auto"/>
        <w:rPr>
          <w:rFonts w:ascii="Times New Roman" w:eastAsia="Times New Roman" w:hAnsi="Times New Roman" w:cs="Times New Roman"/>
          <w:sz w:val="24"/>
          <w:szCs w:val="24"/>
          <w:lang w:eastAsia="en-IN"/>
        </w:rPr>
      </w:pPr>
      <w:r w:rsidRPr="00C21F04">
        <w:rPr>
          <w:rFonts w:ascii="Times New Roman" w:eastAsia="Times New Roman" w:hAnsi="Times New Roman" w:cs="Times New Roman"/>
          <w:noProof/>
          <w:sz w:val="24"/>
          <w:szCs w:val="24"/>
          <w:lang w:eastAsia="en-IN"/>
        </w:rPr>
        <w:lastRenderedPageBreak/>
        <w:drawing>
          <wp:inline distT="0" distB="0" distL="0" distR="0" wp14:anchorId="58FE9A29" wp14:editId="71EA2769">
            <wp:extent cx="5805278" cy="2419350"/>
            <wp:effectExtent l="0" t="0" r="5080" b="0"/>
            <wp:docPr id="4" name="Picture 4" descr="C:\users\user\OneDrive\TMH\Publication\B-others\Manuscript\October_2024\Version 4\Supplementary Figur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OneDrive\TMH\Publication\B-others\Manuscript\October_2024\Version 4\Supplementary Figure 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27472" cy="2428600"/>
                    </a:xfrm>
                    <a:prstGeom prst="rect">
                      <a:avLst/>
                    </a:prstGeom>
                    <a:noFill/>
                    <a:ln>
                      <a:noFill/>
                    </a:ln>
                  </pic:spPr>
                </pic:pic>
              </a:graphicData>
            </a:graphic>
          </wp:inline>
        </w:drawing>
      </w:r>
    </w:p>
    <w:p w14:paraId="611F0982" w14:textId="4F26D730" w:rsidR="00843747" w:rsidRDefault="00843747" w:rsidP="003B0C18">
      <w:pPr>
        <w:pStyle w:val="NoSpacing"/>
        <w:rPr>
          <w:rFonts w:ascii="Times New Roman" w:hAnsi="Times New Roman" w:cs="Times New Roman"/>
          <w:b/>
          <w:bCs/>
          <w:shd w:val="clear" w:color="auto" w:fill="FFFFFF"/>
        </w:rPr>
      </w:pPr>
      <w:r w:rsidRPr="001B473B">
        <w:rPr>
          <w:rFonts w:ascii="Times New Roman" w:hAnsi="Times New Roman" w:cs="Times New Roman"/>
          <w:b/>
          <w:bCs/>
          <w:shd w:val="clear" w:color="auto" w:fill="FFFFFF"/>
        </w:rPr>
        <w:t xml:space="preserve">Supplementary Figure </w:t>
      </w:r>
      <w:r w:rsidR="00B6795F">
        <w:rPr>
          <w:rFonts w:ascii="Times New Roman" w:hAnsi="Times New Roman" w:cs="Times New Roman"/>
          <w:b/>
          <w:bCs/>
          <w:shd w:val="clear" w:color="auto" w:fill="FFFFFF"/>
        </w:rPr>
        <w:t>5</w:t>
      </w:r>
      <w:r w:rsidRPr="001B473B">
        <w:rPr>
          <w:rFonts w:ascii="Times New Roman" w:hAnsi="Times New Roman" w:cs="Times New Roman"/>
          <w:b/>
          <w:bCs/>
          <w:shd w:val="clear" w:color="auto" w:fill="FFFFFF"/>
        </w:rPr>
        <w:t xml:space="preserve">. </w:t>
      </w:r>
      <w:r w:rsidR="003B0C18" w:rsidRPr="001B473B">
        <w:rPr>
          <w:rFonts w:ascii="Times New Roman" w:hAnsi="Times New Roman" w:cs="Times New Roman"/>
          <w:b/>
          <w:bCs/>
          <w:shd w:val="clear" w:color="auto" w:fill="FFFFFF"/>
        </w:rPr>
        <w:t>Event-free</w:t>
      </w:r>
      <w:r w:rsidRPr="001B473B">
        <w:rPr>
          <w:rFonts w:ascii="Times New Roman" w:hAnsi="Times New Roman" w:cs="Times New Roman"/>
          <w:b/>
          <w:bCs/>
          <w:shd w:val="clear" w:color="auto" w:fill="FFFFFF"/>
        </w:rPr>
        <w:t xml:space="preserve"> survival of pediatric B-ALL patients with post-induction and post-consolidation measurable residual disease.</w:t>
      </w:r>
    </w:p>
    <w:p w14:paraId="201A277A" w14:textId="26694166" w:rsidR="00F33851" w:rsidRDefault="00F33851" w:rsidP="003B0C18">
      <w:pPr>
        <w:pStyle w:val="NoSpacing"/>
        <w:rPr>
          <w:rFonts w:ascii="Times New Roman" w:hAnsi="Times New Roman" w:cs="Times New Roman"/>
          <w:b/>
          <w:bCs/>
          <w:shd w:val="clear" w:color="auto" w:fill="FFFFFF"/>
        </w:rPr>
      </w:pPr>
    </w:p>
    <w:p w14:paraId="79E1763A" w14:textId="3F369188" w:rsidR="00F33851" w:rsidRPr="00352C02" w:rsidRDefault="00F33851" w:rsidP="00F33851">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shd w:val="clear" w:color="auto" w:fill="FFFFFF"/>
        </w:rPr>
        <w:t xml:space="preserve">Impact of </w:t>
      </w:r>
      <w:bookmarkStart w:id="3" w:name="_Hlk179558302"/>
      <w:proofErr w:type="spellStart"/>
      <w:r>
        <w:rPr>
          <w:rFonts w:ascii="Times New Roman" w:eastAsia="Times New Roman" w:hAnsi="Times New Roman" w:cs="Times New Roman"/>
          <w:b/>
          <w:bCs/>
          <w:color w:val="000000"/>
          <w:sz w:val="24"/>
          <w:szCs w:val="24"/>
          <w:shd w:val="clear" w:color="auto" w:fill="FFFFFF"/>
        </w:rPr>
        <w:t>ICiCLe</w:t>
      </w:r>
      <w:proofErr w:type="spellEnd"/>
      <w:r>
        <w:rPr>
          <w:rFonts w:ascii="Times New Roman" w:eastAsia="Times New Roman" w:hAnsi="Times New Roman" w:cs="Times New Roman"/>
          <w:b/>
          <w:bCs/>
          <w:color w:val="000000"/>
          <w:sz w:val="24"/>
          <w:szCs w:val="24"/>
          <w:shd w:val="clear" w:color="auto" w:fill="FFFFFF"/>
        </w:rPr>
        <w:t xml:space="preserve"> Risk </w:t>
      </w:r>
      <w:r w:rsidR="005B3890">
        <w:rPr>
          <w:rFonts w:ascii="Times New Roman" w:eastAsia="Times New Roman" w:hAnsi="Times New Roman" w:cs="Times New Roman"/>
          <w:b/>
          <w:bCs/>
          <w:color w:val="000000"/>
          <w:sz w:val="24"/>
          <w:szCs w:val="24"/>
          <w:shd w:val="clear" w:color="auto" w:fill="FFFFFF"/>
        </w:rPr>
        <w:t xml:space="preserve">stratification </w:t>
      </w:r>
      <w:r>
        <w:rPr>
          <w:rFonts w:ascii="Times New Roman" w:eastAsia="Times New Roman" w:hAnsi="Times New Roman" w:cs="Times New Roman"/>
          <w:b/>
          <w:bCs/>
          <w:color w:val="000000"/>
          <w:sz w:val="24"/>
          <w:szCs w:val="24"/>
          <w:shd w:val="clear" w:color="auto" w:fill="FFFFFF"/>
        </w:rPr>
        <w:t>on Patient Outcomes</w:t>
      </w:r>
      <w:bookmarkEnd w:id="3"/>
      <w:r>
        <w:rPr>
          <w:rFonts w:ascii="Times New Roman" w:eastAsia="Times New Roman" w:hAnsi="Times New Roman" w:cs="Times New Roman"/>
          <w:b/>
          <w:bCs/>
          <w:color w:val="000000"/>
          <w:sz w:val="24"/>
          <w:szCs w:val="24"/>
          <w:shd w:val="clear" w:color="auto" w:fill="FFFFFF"/>
        </w:rPr>
        <w:t xml:space="preserve">: </w:t>
      </w:r>
      <w:r w:rsidRPr="009C6D91">
        <w:rPr>
          <w:rFonts w:ascii="Times New Roman" w:eastAsia="Times New Roman" w:hAnsi="Times New Roman" w:cs="Times New Roman"/>
          <w:color w:val="000000"/>
          <w:sz w:val="24"/>
          <w:szCs w:val="24"/>
        </w:rPr>
        <w:t xml:space="preserve">The 2-year EFS rates based on </w:t>
      </w:r>
      <w:proofErr w:type="spellStart"/>
      <w:r w:rsidRPr="009C6D91">
        <w:rPr>
          <w:rFonts w:ascii="Times New Roman" w:eastAsia="Times New Roman" w:hAnsi="Times New Roman" w:cs="Times New Roman"/>
          <w:color w:val="000000"/>
          <w:sz w:val="24"/>
          <w:szCs w:val="24"/>
        </w:rPr>
        <w:t>ICiCLe</w:t>
      </w:r>
      <w:proofErr w:type="spellEnd"/>
      <w:r w:rsidRPr="009C6D91">
        <w:rPr>
          <w:rFonts w:ascii="Times New Roman" w:eastAsia="Times New Roman" w:hAnsi="Times New Roman" w:cs="Times New Roman"/>
          <w:color w:val="000000"/>
          <w:sz w:val="24"/>
          <w:szCs w:val="24"/>
        </w:rPr>
        <w:t xml:space="preserve"> initial risk categorization were 86.2% for standard risk (SR), 70.6% for intermediate risk (IR), and 67.0% for </w:t>
      </w:r>
      <w:proofErr w:type="spellStart"/>
      <w:r w:rsidRPr="009C6D91">
        <w:rPr>
          <w:rFonts w:ascii="Times New Roman" w:eastAsia="Times New Roman" w:hAnsi="Times New Roman" w:cs="Times New Roman"/>
          <w:color w:val="000000"/>
          <w:sz w:val="24"/>
          <w:szCs w:val="24"/>
        </w:rPr>
        <w:t>HiR</w:t>
      </w:r>
      <w:proofErr w:type="spellEnd"/>
      <w:r w:rsidRPr="009C6D91">
        <w:rPr>
          <w:rFonts w:ascii="Times New Roman" w:eastAsia="Times New Roman" w:hAnsi="Times New Roman" w:cs="Times New Roman"/>
          <w:color w:val="000000"/>
          <w:sz w:val="24"/>
          <w:szCs w:val="24"/>
        </w:rPr>
        <w:t>, respectively (</w:t>
      </w:r>
      <w:r w:rsidRPr="009C6D91">
        <w:rPr>
          <w:rFonts w:ascii="Times New Roman" w:eastAsia="Times New Roman" w:hAnsi="Times New Roman" w:cs="Times New Roman"/>
          <w:i/>
          <w:color w:val="000000"/>
          <w:sz w:val="24"/>
          <w:szCs w:val="24"/>
        </w:rPr>
        <w:t>p</w:t>
      </w:r>
      <w:r w:rsidRPr="009C6D91">
        <w:rPr>
          <w:rFonts w:ascii="Times New Roman" w:eastAsia="Times New Roman" w:hAnsi="Times New Roman" w:cs="Times New Roman"/>
          <w:color w:val="000000"/>
          <w:sz w:val="24"/>
          <w:szCs w:val="24"/>
        </w:rPr>
        <w:t xml:space="preserve">&lt;0.0001; supplementary Figure 5A). Similarly, the 2-year OS based on </w:t>
      </w:r>
      <w:proofErr w:type="spellStart"/>
      <w:r w:rsidRPr="009C6D91">
        <w:rPr>
          <w:rFonts w:ascii="Times New Roman" w:eastAsia="Times New Roman" w:hAnsi="Times New Roman" w:cs="Times New Roman"/>
          <w:color w:val="000000"/>
          <w:sz w:val="24"/>
          <w:szCs w:val="24"/>
        </w:rPr>
        <w:t>ICiCLe</w:t>
      </w:r>
      <w:proofErr w:type="spellEnd"/>
      <w:r w:rsidRPr="009C6D91">
        <w:rPr>
          <w:rFonts w:ascii="Times New Roman" w:eastAsia="Times New Roman" w:hAnsi="Times New Roman" w:cs="Times New Roman"/>
          <w:color w:val="000000"/>
          <w:sz w:val="24"/>
          <w:szCs w:val="24"/>
        </w:rPr>
        <w:t xml:space="preserve"> initial risk categorization were 92.8% for SR, 76.7% for IR and 83.2% for </w:t>
      </w:r>
      <w:proofErr w:type="spellStart"/>
      <w:r w:rsidRPr="009C6D91">
        <w:rPr>
          <w:rFonts w:ascii="Times New Roman" w:eastAsia="Times New Roman" w:hAnsi="Times New Roman" w:cs="Times New Roman"/>
          <w:color w:val="000000"/>
          <w:sz w:val="24"/>
          <w:szCs w:val="24"/>
        </w:rPr>
        <w:t>HiR</w:t>
      </w:r>
      <w:proofErr w:type="spellEnd"/>
      <w:r w:rsidRPr="009C6D91">
        <w:rPr>
          <w:rFonts w:ascii="Times New Roman" w:eastAsia="Times New Roman" w:hAnsi="Times New Roman" w:cs="Times New Roman"/>
          <w:color w:val="000000"/>
          <w:sz w:val="24"/>
          <w:szCs w:val="24"/>
        </w:rPr>
        <w:t xml:space="preserve"> (</w:t>
      </w:r>
      <w:r w:rsidRPr="009C6D91">
        <w:rPr>
          <w:rFonts w:ascii="Times New Roman" w:eastAsia="Times New Roman" w:hAnsi="Times New Roman" w:cs="Times New Roman"/>
          <w:i/>
          <w:color w:val="000000"/>
          <w:sz w:val="24"/>
          <w:szCs w:val="24"/>
        </w:rPr>
        <w:t>p</w:t>
      </w:r>
      <w:r w:rsidRPr="009C6D91">
        <w:rPr>
          <w:rFonts w:ascii="Times New Roman" w:eastAsia="Times New Roman" w:hAnsi="Times New Roman" w:cs="Times New Roman"/>
          <w:color w:val="000000"/>
          <w:sz w:val="24"/>
          <w:szCs w:val="24"/>
        </w:rPr>
        <w:t xml:space="preserve">&lt;0.0001). For the </w:t>
      </w:r>
      <w:proofErr w:type="spellStart"/>
      <w:r w:rsidRPr="009C6D91">
        <w:rPr>
          <w:rFonts w:ascii="Times New Roman" w:eastAsia="Times New Roman" w:hAnsi="Times New Roman" w:cs="Times New Roman"/>
          <w:color w:val="000000"/>
          <w:sz w:val="24"/>
          <w:szCs w:val="24"/>
        </w:rPr>
        <w:t>ICiCLe</w:t>
      </w:r>
      <w:proofErr w:type="spellEnd"/>
      <w:r w:rsidRPr="009C6D91">
        <w:rPr>
          <w:rFonts w:ascii="Times New Roman" w:eastAsia="Times New Roman" w:hAnsi="Times New Roman" w:cs="Times New Roman"/>
          <w:color w:val="000000"/>
          <w:sz w:val="24"/>
          <w:szCs w:val="24"/>
        </w:rPr>
        <w:t xml:space="preserve"> final risk categorization, the 2-year EFS rates were 89.9% for SR, 79.0% for IR, and 70.9% for </w:t>
      </w:r>
      <w:proofErr w:type="spellStart"/>
      <w:r w:rsidRPr="009C6D91">
        <w:rPr>
          <w:rFonts w:ascii="Times New Roman" w:eastAsia="Times New Roman" w:hAnsi="Times New Roman" w:cs="Times New Roman"/>
          <w:color w:val="000000"/>
          <w:sz w:val="24"/>
          <w:szCs w:val="24"/>
        </w:rPr>
        <w:t>HiR</w:t>
      </w:r>
      <w:proofErr w:type="spellEnd"/>
      <w:r w:rsidRPr="009C6D91">
        <w:rPr>
          <w:rFonts w:ascii="Times New Roman" w:eastAsia="Times New Roman" w:hAnsi="Times New Roman" w:cs="Times New Roman"/>
          <w:color w:val="000000"/>
          <w:sz w:val="24"/>
          <w:szCs w:val="24"/>
        </w:rPr>
        <w:t xml:space="preserve"> (p&lt;0.0001; supplementary Figure 5B) and the corresponding 2-years OS were 94.4% for SR, 83.3% for IR and 81.6% for </w:t>
      </w:r>
      <w:proofErr w:type="spellStart"/>
      <w:r w:rsidRPr="009C6D91">
        <w:rPr>
          <w:rFonts w:ascii="Times New Roman" w:eastAsia="Times New Roman" w:hAnsi="Times New Roman" w:cs="Times New Roman"/>
          <w:color w:val="000000"/>
          <w:sz w:val="24"/>
          <w:szCs w:val="24"/>
        </w:rPr>
        <w:t>HiR</w:t>
      </w:r>
      <w:proofErr w:type="spellEnd"/>
      <w:r w:rsidRPr="009C6D91">
        <w:rPr>
          <w:rFonts w:ascii="Times New Roman" w:eastAsia="Times New Roman" w:hAnsi="Times New Roman" w:cs="Times New Roman"/>
          <w:color w:val="000000"/>
          <w:sz w:val="24"/>
          <w:szCs w:val="24"/>
        </w:rPr>
        <w:t xml:space="preserve"> respectively (</w:t>
      </w:r>
      <w:r w:rsidRPr="009C6D91">
        <w:rPr>
          <w:rFonts w:ascii="Times New Roman" w:eastAsia="Times New Roman" w:hAnsi="Times New Roman" w:cs="Times New Roman"/>
          <w:i/>
          <w:color w:val="000000"/>
          <w:sz w:val="24"/>
          <w:szCs w:val="24"/>
        </w:rPr>
        <w:t>p</w:t>
      </w:r>
      <w:r w:rsidRPr="009C6D91">
        <w:rPr>
          <w:rFonts w:ascii="Times New Roman" w:eastAsia="Times New Roman" w:hAnsi="Times New Roman" w:cs="Times New Roman"/>
          <w:color w:val="000000"/>
          <w:sz w:val="24"/>
          <w:szCs w:val="24"/>
        </w:rPr>
        <w:t>=0.242).</w:t>
      </w:r>
      <w:r w:rsidRPr="00930618">
        <w:rPr>
          <w:rFonts w:ascii="Times New Roman" w:eastAsia="Times New Roman" w:hAnsi="Times New Roman" w:cs="Times New Roman"/>
          <w:color w:val="000000"/>
          <w:sz w:val="14"/>
          <w:szCs w:val="14"/>
          <w:shd w:val="clear" w:color="auto" w:fill="FFFFFF"/>
        </w:rPr>
        <w:t>    </w:t>
      </w:r>
    </w:p>
    <w:p w14:paraId="2EFEA3DF" w14:textId="77777777" w:rsidR="00F33851" w:rsidRPr="003B0C18" w:rsidRDefault="00F33851" w:rsidP="003B0C18">
      <w:pPr>
        <w:pStyle w:val="NoSpacing"/>
        <w:rPr>
          <w:rFonts w:ascii="Times New Roman" w:hAnsi="Times New Roman" w:cs="Times New Roman"/>
          <w:b/>
          <w:bCs/>
          <w:shd w:val="clear" w:color="auto" w:fill="FFFFFF"/>
        </w:rPr>
      </w:pPr>
    </w:p>
    <w:p w14:paraId="64CC4E10" w14:textId="7008EA1B" w:rsidR="00833909" w:rsidRPr="00833909" w:rsidRDefault="00833909" w:rsidP="00833909">
      <w:pPr>
        <w:spacing w:before="100" w:beforeAutospacing="1" w:after="100" w:afterAutospacing="1" w:line="240" w:lineRule="auto"/>
        <w:rPr>
          <w:rFonts w:ascii="Times New Roman" w:eastAsia="Times New Roman" w:hAnsi="Times New Roman" w:cs="Times New Roman"/>
          <w:sz w:val="24"/>
          <w:szCs w:val="24"/>
          <w:lang w:eastAsia="en-IN"/>
        </w:rPr>
      </w:pPr>
      <w:r w:rsidRPr="00833909">
        <w:rPr>
          <w:rFonts w:ascii="Times New Roman" w:eastAsia="Times New Roman" w:hAnsi="Times New Roman" w:cs="Times New Roman"/>
          <w:noProof/>
          <w:sz w:val="24"/>
          <w:szCs w:val="24"/>
          <w:lang w:eastAsia="en-IN"/>
        </w:rPr>
        <w:lastRenderedPageBreak/>
        <w:drawing>
          <wp:inline distT="0" distB="0" distL="0" distR="0" wp14:anchorId="146E4150" wp14:editId="7C881899">
            <wp:extent cx="5626268" cy="4276725"/>
            <wp:effectExtent l="0" t="0" r="0" b="0"/>
            <wp:docPr id="8" name="Picture 8" descr="C:\users\user\OneDrive\TMH\Publication\B-others\Manuscript\October_2024\Version 4\Supplementary Figur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OneDrive\TMH\Publication\B-others\Manuscript\October_2024\Version 4\Supplementary Figure 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38475" cy="4286004"/>
                    </a:xfrm>
                    <a:prstGeom prst="rect">
                      <a:avLst/>
                    </a:prstGeom>
                    <a:noFill/>
                    <a:ln>
                      <a:noFill/>
                    </a:ln>
                  </pic:spPr>
                </pic:pic>
              </a:graphicData>
            </a:graphic>
          </wp:inline>
        </w:drawing>
      </w:r>
    </w:p>
    <w:p w14:paraId="7D6701A3" w14:textId="41F8F88C" w:rsidR="00021563" w:rsidRDefault="00FF0424" w:rsidP="0073214D">
      <w:pPr>
        <w:spacing w:before="240" w:after="240" w:line="480" w:lineRule="auto"/>
        <w:jc w:val="both"/>
        <w:rPr>
          <w:rFonts w:ascii="Times New Roman" w:eastAsia="Times New Roman" w:hAnsi="Times New Roman" w:cs="Times New Roman"/>
          <w:b/>
          <w:bCs/>
          <w:color w:val="000000"/>
          <w:sz w:val="24"/>
          <w:szCs w:val="24"/>
          <w:shd w:val="clear" w:color="auto" w:fill="FFFFFF"/>
        </w:rPr>
      </w:pPr>
      <w:r w:rsidRPr="005250D2">
        <w:rPr>
          <w:rFonts w:ascii="Times New Roman" w:eastAsia="Times New Roman" w:hAnsi="Times New Roman" w:cs="Times New Roman"/>
          <w:b/>
          <w:bCs/>
          <w:color w:val="000000"/>
          <w:sz w:val="24"/>
          <w:szCs w:val="24"/>
          <w:shd w:val="clear" w:color="auto" w:fill="FFFFFF"/>
        </w:rPr>
        <w:t xml:space="preserve">Supplementary Figure </w:t>
      </w:r>
      <w:r w:rsidR="00B6795F" w:rsidRPr="005250D2">
        <w:rPr>
          <w:rFonts w:ascii="Times New Roman" w:eastAsia="Times New Roman" w:hAnsi="Times New Roman" w:cs="Times New Roman"/>
          <w:b/>
          <w:bCs/>
          <w:color w:val="000000"/>
          <w:sz w:val="24"/>
          <w:szCs w:val="24"/>
          <w:shd w:val="clear" w:color="auto" w:fill="FFFFFF"/>
        </w:rPr>
        <w:t>6</w:t>
      </w:r>
      <w:r w:rsidRPr="005250D2">
        <w:rPr>
          <w:rFonts w:ascii="Times New Roman" w:eastAsia="Times New Roman" w:hAnsi="Times New Roman" w:cs="Times New Roman"/>
          <w:b/>
          <w:bCs/>
          <w:color w:val="000000"/>
          <w:sz w:val="24"/>
          <w:szCs w:val="24"/>
          <w:shd w:val="clear" w:color="auto" w:fill="FFFFFF"/>
        </w:rPr>
        <w:t>. Event free and Overall survival of pediatric B-ALL patients stratified by ICiCLe initial and final risk.</w:t>
      </w:r>
    </w:p>
    <w:tbl>
      <w:tblPr>
        <w:tblW w:w="0" w:type="auto"/>
        <w:tblCellMar>
          <w:top w:w="15" w:type="dxa"/>
          <w:left w:w="15" w:type="dxa"/>
          <w:bottom w:w="15" w:type="dxa"/>
          <w:right w:w="15" w:type="dxa"/>
        </w:tblCellMar>
        <w:tblLook w:val="04A0" w:firstRow="1" w:lastRow="0" w:firstColumn="1" w:lastColumn="0" w:noHBand="0" w:noVBand="1"/>
      </w:tblPr>
      <w:tblGrid>
        <w:gridCol w:w="1525"/>
        <w:gridCol w:w="630"/>
        <w:gridCol w:w="1396"/>
        <w:gridCol w:w="996"/>
        <w:gridCol w:w="1478"/>
        <w:gridCol w:w="630"/>
        <w:gridCol w:w="1350"/>
        <w:gridCol w:w="1011"/>
      </w:tblGrid>
      <w:tr w:rsidR="005250D2" w:rsidRPr="005250D2" w14:paraId="7B5A88C3" w14:textId="77777777" w:rsidTr="00B22790">
        <w:trPr>
          <w:trHeight w:val="300"/>
        </w:trPr>
        <w:tc>
          <w:tcPr>
            <w:tcW w:w="0" w:type="auto"/>
            <w:gridSpan w:val="4"/>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D315CF0"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Event free survival</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9C73C21"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Overall survival</w:t>
            </w:r>
          </w:p>
        </w:tc>
      </w:tr>
      <w:tr w:rsidR="005250D2" w:rsidRPr="005250D2" w14:paraId="649CA6CE" w14:textId="77777777" w:rsidTr="00B22790">
        <w:trPr>
          <w:trHeight w:val="585"/>
        </w:trPr>
        <w:tc>
          <w:tcPr>
            <w:tcW w:w="152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B3DABAE"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Variable</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7F02260"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HR</w:t>
            </w:r>
          </w:p>
        </w:tc>
        <w:tc>
          <w:tcPr>
            <w:tcW w:w="139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263B9DC"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95% CI</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6DDDF80"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i/>
                <w:iCs/>
                <w:color w:val="000000"/>
                <w:sz w:val="24"/>
                <w:szCs w:val="24"/>
                <w:shd w:val="clear" w:color="auto" w:fill="FFFFFF"/>
              </w:rPr>
              <w:t>p</w:t>
            </w:r>
            <w:r w:rsidRPr="005250D2">
              <w:rPr>
                <w:rFonts w:ascii="Times New Roman" w:eastAsia="Times New Roman" w:hAnsi="Times New Roman" w:cs="Times New Roman"/>
                <w:b/>
                <w:iCs/>
                <w:color w:val="000000"/>
                <w:sz w:val="24"/>
                <w:szCs w:val="24"/>
                <w:shd w:val="clear" w:color="auto" w:fill="FFFFFF"/>
              </w:rPr>
              <w:t>-</w:t>
            </w:r>
            <w:r w:rsidRPr="005250D2">
              <w:rPr>
                <w:rFonts w:ascii="Times New Roman" w:eastAsia="Times New Roman" w:hAnsi="Times New Roman" w:cs="Times New Roman"/>
                <w:b/>
                <w:color w:val="000000"/>
                <w:sz w:val="24"/>
                <w:szCs w:val="24"/>
                <w:shd w:val="clear" w:color="auto" w:fill="FFFFFF"/>
              </w:rPr>
              <w:t>value</w:t>
            </w:r>
          </w:p>
        </w:tc>
        <w:tc>
          <w:tcPr>
            <w:tcW w:w="147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8D3FC48"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Variable</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7822B47"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HR</w:t>
            </w:r>
          </w:p>
        </w:tc>
        <w:tc>
          <w:tcPr>
            <w:tcW w:w="13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7C30375"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color w:val="000000"/>
                <w:sz w:val="24"/>
                <w:szCs w:val="24"/>
                <w:shd w:val="clear" w:color="auto" w:fill="FFFFFF"/>
              </w:rPr>
              <w:t>95% CI</w:t>
            </w:r>
          </w:p>
        </w:tc>
        <w:tc>
          <w:tcPr>
            <w:tcW w:w="1011"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F686FF9" w14:textId="77777777" w:rsidR="005250D2" w:rsidRPr="005250D2" w:rsidRDefault="005250D2" w:rsidP="00B22790">
            <w:pPr>
              <w:spacing w:before="240" w:line="240" w:lineRule="auto"/>
              <w:jc w:val="center"/>
              <w:rPr>
                <w:rFonts w:ascii="Times New Roman" w:eastAsia="Times New Roman" w:hAnsi="Times New Roman" w:cs="Times New Roman"/>
                <w:b/>
                <w:sz w:val="24"/>
                <w:szCs w:val="24"/>
              </w:rPr>
            </w:pPr>
            <w:r w:rsidRPr="005250D2">
              <w:rPr>
                <w:rFonts w:ascii="Times New Roman" w:eastAsia="Times New Roman" w:hAnsi="Times New Roman" w:cs="Times New Roman"/>
                <w:b/>
                <w:i/>
                <w:iCs/>
                <w:color w:val="000000"/>
                <w:sz w:val="24"/>
                <w:szCs w:val="24"/>
                <w:shd w:val="clear" w:color="auto" w:fill="FFFFFF"/>
              </w:rPr>
              <w:t>p</w:t>
            </w:r>
            <w:r w:rsidRPr="005250D2">
              <w:rPr>
                <w:rFonts w:ascii="Times New Roman" w:eastAsia="Times New Roman" w:hAnsi="Times New Roman" w:cs="Times New Roman"/>
                <w:b/>
                <w:iCs/>
                <w:color w:val="000000"/>
                <w:sz w:val="24"/>
                <w:szCs w:val="24"/>
                <w:shd w:val="clear" w:color="auto" w:fill="FFFFFF"/>
              </w:rPr>
              <w:t>-</w:t>
            </w:r>
            <w:r w:rsidRPr="005250D2">
              <w:rPr>
                <w:rFonts w:ascii="Times New Roman" w:eastAsia="Times New Roman" w:hAnsi="Times New Roman" w:cs="Times New Roman"/>
                <w:b/>
                <w:color w:val="000000"/>
                <w:sz w:val="24"/>
                <w:szCs w:val="24"/>
                <w:shd w:val="clear" w:color="auto" w:fill="FFFFFF"/>
              </w:rPr>
              <w:t>value</w:t>
            </w:r>
          </w:p>
        </w:tc>
      </w:tr>
      <w:tr w:rsidR="005250D2" w:rsidRPr="005250D2" w14:paraId="013D223D" w14:textId="77777777" w:rsidTr="00B22790">
        <w:trPr>
          <w:trHeight w:val="870"/>
        </w:trPr>
        <w:tc>
          <w:tcPr>
            <w:tcW w:w="152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8B816B5"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proofErr w:type="spellStart"/>
            <w:r w:rsidRPr="005250D2">
              <w:rPr>
                <w:rFonts w:ascii="Times New Roman" w:eastAsia="Times New Roman" w:hAnsi="Times New Roman" w:cs="Times New Roman"/>
                <w:color w:val="000000"/>
                <w:sz w:val="24"/>
                <w:szCs w:val="24"/>
                <w:shd w:val="clear" w:color="auto" w:fill="FFFFFF"/>
              </w:rPr>
              <w:t>ICiCLe</w:t>
            </w:r>
            <w:proofErr w:type="spellEnd"/>
            <w:r w:rsidRPr="005250D2">
              <w:rPr>
                <w:rFonts w:ascii="Times New Roman" w:eastAsia="Times New Roman" w:hAnsi="Times New Roman" w:cs="Times New Roman"/>
                <w:color w:val="000000"/>
                <w:sz w:val="24"/>
                <w:szCs w:val="24"/>
                <w:shd w:val="clear" w:color="auto" w:fill="FFFFFF"/>
              </w:rPr>
              <w:t xml:space="preserve"> Initial Risk</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94C10D7"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1.29</w:t>
            </w:r>
          </w:p>
        </w:tc>
        <w:tc>
          <w:tcPr>
            <w:tcW w:w="139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762F084E"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1.05 to 1.57</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55E9073"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0.0154</w:t>
            </w:r>
          </w:p>
        </w:tc>
        <w:tc>
          <w:tcPr>
            <w:tcW w:w="147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17D845D9"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proofErr w:type="spellStart"/>
            <w:r w:rsidRPr="005250D2">
              <w:rPr>
                <w:rFonts w:ascii="Times New Roman" w:eastAsia="Times New Roman" w:hAnsi="Times New Roman" w:cs="Times New Roman"/>
                <w:color w:val="000000"/>
                <w:sz w:val="24"/>
                <w:szCs w:val="24"/>
                <w:shd w:val="clear" w:color="auto" w:fill="FFFFFF"/>
              </w:rPr>
              <w:t>ICiCLe</w:t>
            </w:r>
            <w:proofErr w:type="spellEnd"/>
            <w:r w:rsidRPr="005250D2">
              <w:rPr>
                <w:rFonts w:ascii="Times New Roman" w:eastAsia="Times New Roman" w:hAnsi="Times New Roman" w:cs="Times New Roman"/>
                <w:color w:val="000000"/>
                <w:sz w:val="24"/>
                <w:szCs w:val="24"/>
                <w:shd w:val="clear" w:color="auto" w:fill="FFFFFF"/>
              </w:rPr>
              <w:t xml:space="preserve"> Initial Risk</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5EFC66E7"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1.21</w:t>
            </w:r>
          </w:p>
        </w:tc>
        <w:tc>
          <w:tcPr>
            <w:tcW w:w="13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4049A4A"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0.93 to 1.57</w:t>
            </w:r>
          </w:p>
        </w:tc>
        <w:tc>
          <w:tcPr>
            <w:tcW w:w="1011"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0F9FD1B7"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0.148</w:t>
            </w:r>
          </w:p>
        </w:tc>
      </w:tr>
      <w:tr w:rsidR="005250D2" w:rsidRPr="005250D2" w14:paraId="73FE9AC9" w14:textId="77777777" w:rsidTr="00B22790">
        <w:trPr>
          <w:trHeight w:val="870"/>
        </w:trPr>
        <w:tc>
          <w:tcPr>
            <w:tcW w:w="152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1573FF3"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Post induction MRD</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B3D1330"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1.98</w:t>
            </w:r>
          </w:p>
        </w:tc>
        <w:tc>
          <w:tcPr>
            <w:tcW w:w="139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6115E979"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1.42 to 2.74</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20AA9EAA"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&lt;0.0001</w:t>
            </w:r>
          </w:p>
        </w:tc>
        <w:tc>
          <w:tcPr>
            <w:tcW w:w="147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C959781"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Post induction MRD</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21E20F19"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1.57</w:t>
            </w:r>
          </w:p>
        </w:tc>
        <w:tc>
          <w:tcPr>
            <w:tcW w:w="13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786A06BF"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1.03 to 2.38</w:t>
            </w:r>
          </w:p>
        </w:tc>
        <w:tc>
          <w:tcPr>
            <w:tcW w:w="1011"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691D755"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0.037</w:t>
            </w:r>
          </w:p>
        </w:tc>
      </w:tr>
      <w:tr w:rsidR="005250D2" w:rsidRPr="005250D2" w14:paraId="132DF20C" w14:textId="77777777" w:rsidTr="00B22790">
        <w:trPr>
          <w:trHeight w:val="870"/>
        </w:trPr>
        <w:tc>
          <w:tcPr>
            <w:tcW w:w="1525"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09851918"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Genetic Risk</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52205BCD"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1.99</w:t>
            </w:r>
          </w:p>
        </w:tc>
        <w:tc>
          <w:tcPr>
            <w:tcW w:w="1396"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E6E9626"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1.62 to 2.45</w:t>
            </w:r>
          </w:p>
        </w:tc>
        <w:tc>
          <w:tcPr>
            <w:tcW w:w="0" w:type="auto"/>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3382FF01"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&lt;0.0001</w:t>
            </w:r>
          </w:p>
        </w:tc>
        <w:tc>
          <w:tcPr>
            <w:tcW w:w="1478"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hideMark/>
          </w:tcPr>
          <w:p w14:paraId="437DA2FA"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color w:val="000000"/>
                <w:sz w:val="24"/>
                <w:szCs w:val="24"/>
                <w:shd w:val="clear" w:color="auto" w:fill="FFFFFF"/>
              </w:rPr>
              <w:t>Genetic Risk</w:t>
            </w:r>
          </w:p>
        </w:tc>
        <w:tc>
          <w:tcPr>
            <w:tcW w:w="63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45E233F3"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1.67</w:t>
            </w:r>
          </w:p>
        </w:tc>
        <w:tc>
          <w:tcPr>
            <w:tcW w:w="1350"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11EFD708"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1.29 to 2.17</w:t>
            </w:r>
          </w:p>
        </w:tc>
        <w:tc>
          <w:tcPr>
            <w:tcW w:w="1011" w:type="dxa"/>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14:paraId="39191B02" w14:textId="77777777" w:rsidR="005250D2" w:rsidRPr="005250D2" w:rsidRDefault="005250D2" w:rsidP="00B22790">
            <w:pPr>
              <w:spacing w:before="240" w:line="240" w:lineRule="auto"/>
              <w:jc w:val="center"/>
              <w:rPr>
                <w:rFonts w:ascii="Times New Roman" w:eastAsia="Times New Roman" w:hAnsi="Times New Roman" w:cs="Times New Roman"/>
                <w:sz w:val="24"/>
                <w:szCs w:val="24"/>
              </w:rPr>
            </w:pPr>
            <w:r w:rsidRPr="005250D2">
              <w:rPr>
                <w:rFonts w:ascii="Times New Roman" w:eastAsia="Times New Roman" w:hAnsi="Times New Roman" w:cs="Times New Roman"/>
                <w:sz w:val="24"/>
                <w:szCs w:val="24"/>
              </w:rPr>
              <w:t>0.0001</w:t>
            </w:r>
          </w:p>
        </w:tc>
      </w:tr>
    </w:tbl>
    <w:p w14:paraId="201109D8" w14:textId="21BF96BC" w:rsidR="005250D2" w:rsidRPr="005250D2" w:rsidRDefault="005250D2" w:rsidP="008A3E3E">
      <w:pPr>
        <w:spacing w:before="240" w:after="240" w:line="480" w:lineRule="auto"/>
        <w:jc w:val="both"/>
        <w:rPr>
          <w:rFonts w:ascii="Times New Roman" w:eastAsia="Times New Roman" w:hAnsi="Times New Roman" w:cs="Times New Roman"/>
          <w:b/>
          <w:bCs/>
          <w:color w:val="000000"/>
          <w:sz w:val="24"/>
          <w:szCs w:val="24"/>
          <w:shd w:val="clear" w:color="auto" w:fill="FFFFFF"/>
        </w:rPr>
      </w:pPr>
      <w:r w:rsidRPr="005250D2">
        <w:rPr>
          <w:rFonts w:ascii="Times New Roman" w:hAnsi="Times New Roman" w:cs="Times New Roman"/>
          <w:b/>
          <w:bCs/>
          <w:highlight w:val="white"/>
        </w:rPr>
        <w:lastRenderedPageBreak/>
        <w:t>Supplementary Table</w:t>
      </w:r>
      <w:r w:rsidRPr="005250D2">
        <w:rPr>
          <w:rFonts w:ascii="Times New Roman" w:hAnsi="Times New Roman" w:cs="Times New Roman"/>
          <w:b/>
          <w:bCs/>
          <w:highlight w:val="white"/>
        </w:rPr>
        <w:t xml:space="preserve"> 2. </w:t>
      </w:r>
      <w:r w:rsidRPr="005250D2">
        <w:rPr>
          <w:rFonts w:ascii="Times New Roman" w:eastAsia="Times New Roman" w:hAnsi="Times New Roman" w:cs="Times New Roman"/>
          <w:b/>
          <w:bCs/>
          <w:color w:val="000000"/>
          <w:sz w:val="24"/>
          <w:szCs w:val="24"/>
          <w:shd w:val="clear" w:color="auto" w:fill="FFFFFF"/>
        </w:rPr>
        <w:t>Multivariate regression analysis of factors influencing event-free survival and overall survival. HR- Hazard ratio, CI- Confidence Interval</w:t>
      </w:r>
      <w:bookmarkStart w:id="4" w:name="_GoBack"/>
      <w:bookmarkEnd w:id="4"/>
    </w:p>
    <w:p w14:paraId="0BFB9F0F" w14:textId="1B58285C" w:rsidR="00A168F3" w:rsidRDefault="008A3E3E" w:rsidP="008A3E3E">
      <w:pPr>
        <w:spacing w:before="240" w:after="240" w:line="480" w:lineRule="auto"/>
        <w:jc w:val="both"/>
        <w:rPr>
          <w:rFonts w:ascii="Times New Roman" w:eastAsia="Times New Roman" w:hAnsi="Times New Roman" w:cs="Times New Roman"/>
          <w:b/>
          <w:bCs/>
          <w:color w:val="000000"/>
          <w:sz w:val="24"/>
          <w:szCs w:val="24"/>
          <w:shd w:val="clear" w:color="auto" w:fill="FFFFFF"/>
        </w:rPr>
      </w:pPr>
      <w:r>
        <w:rPr>
          <w:rFonts w:ascii="Times New Roman" w:eastAsia="Times New Roman" w:hAnsi="Times New Roman" w:cs="Times New Roman"/>
          <w:b/>
          <w:bCs/>
          <w:color w:val="000000"/>
          <w:sz w:val="24"/>
          <w:szCs w:val="24"/>
          <w:shd w:val="clear" w:color="auto" w:fill="FFFFFF"/>
        </w:rPr>
        <w:t>References:</w:t>
      </w:r>
    </w:p>
    <w:sdt>
      <w:sdtPr>
        <w:rPr>
          <w:rFonts w:ascii="Times New Roman" w:eastAsia="Times New Roman" w:hAnsi="Times New Roman" w:cs="Times New Roman"/>
          <w:bCs/>
          <w:color w:val="000000"/>
          <w:sz w:val="24"/>
          <w:szCs w:val="24"/>
          <w:shd w:val="clear" w:color="auto" w:fill="FFFFFF"/>
        </w:rPr>
        <w:tag w:val="MENDELEY_BIBLIOGRAPHY"/>
        <w:id w:val="-1654674364"/>
        <w:placeholder>
          <w:docPart w:val="DefaultPlaceholder_-1854013440"/>
        </w:placeholder>
      </w:sdtPr>
      <w:sdtEndPr/>
      <w:sdtContent>
        <w:p w14:paraId="5F74767B" w14:textId="77777777" w:rsidR="00272696" w:rsidRDefault="00272696">
          <w:pPr>
            <w:autoSpaceDE w:val="0"/>
            <w:autoSpaceDN w:val="0"/>
            <w:ind w:hanging="640"/>
            <w:divId w:val="611014092"/>
            <w:rPr>
              <w:rFonts w:eastAsia="Times New Roman"/>
              <w:sz w:val="24"/>
              <w:szCs w:val="24"/>
            </w:rPr>
          </w:pPr>
          <w:r>
            <w:rPr>
              <w:rFonts w:eastAsia="Times New Roman"/>
            </w:rPr>
            <w:t xml:space="preserve">1 </w:t>
          </w:r>
          <w:r>
            <w:rPr>
              <w:rFonts w:eastAsia="Times New Roman"/>
            </w:rPr>
            <w:tab/>
            <w:t xml:space="preserve">Das N, </w:t>
          </w:r>
          <w:proofErr w:type="spellStart"/>
          <w:r>
            <w:rPr>
              <w:rFonts w:eastAsia="Times New Roman"/>
            </w:rPr>
            <w:t>Banavali</w:t>
          </w:r>
          <w:proofErr w:type="spellEnd"/>
          <w:r>
            <w:rPr>
              <w:rFonts w:eastAsia="Times New Roman"/>
            </w:rPr>
            <w:t xml:space="preserve"> S, </w:t>
          </w:r>
          <w:proofErr w:type="spellStart"/>
          <w:r>
            <w:rPr>
              <w:rFonts w:eastAsia="Times New Roman"/>
            </w:rPr>
            <w:t>Bakhshi</w:t>
          </w:r>
          <w:proofErr w:type="spellEnd"/>
          <w:r>
            <w:rPr>
              <w:rFonts w:eastAsia="Times New Roman"/>
            </w:rPr>
            <w:t xml:space="preserve"> S, </w:t>
          </w:r>
          <w:proofErr w:type="spellStart"/>
          <w:r>
            <w:rPr>
              <w:rFonts w:eastAsia="Times New Roman"/>
            </w:rPr>
            <w:t>Trehan</w:t>
          </w:r>
          <w:proofErr w:type="spellEnd"/>
          <w:r>
            <w:rPr>
              <w:rFonts w:eastAsia="Times New Roman"/>
            </w:rPr>
            <w:t xml:space="preserve"> A, Radhakrishnan V, Seth R </w:t>
          </w:r>
          <w:r>
            <w:rPr>
              <w:rFonts w:eastAsia="Times New Roman"/>
              <w:i/>
              <w:iCs/>
            </w:rPr>
            <w:t>et al.</w:t>
          </w:r>
          <w:r>
            <w:rPr>
              <w:rFonts w:eastAsia="Times New Roman"/>
            </w:rPr>
            <w:t xml:space="preserve"> Protocol for ICiCLe-ALL-14 (InPOG-ALL-15-01): a prospective, risk stratified, randomised, multicentre, open label, controlled therapeutic trial for newly diagnosed childhood acute lymphoblastic leukaemia in India. </w:t>
          </w:r>
          <w:r>
            <w:rPr>
              <w:rFonts w:eastAsia="Times New Roman"/>
              <w:i/>
              <w:iCs/>
            </w:rPr>
            <w:t>Trials</w:t>
          </w:r>
          <w:r>
            <w:rPr>
              <w:rFonts w:eastAsia="Times New Roman"/>
            </w:rPr>
            <w:t xml:space="preserve"> 2022; </w:t>
          </w:r>
          <w:r>
            <w:rPr>
              <w:rFonts w:eastAsia="Times New Roman"/>
              <w:b/>
              <w:bCs/>
            </w:rPr>
            <w:t>23</w:t>
          </w:r>
          <w:r>
            <w:rPr>
              <w:rFonts w:eastAsia="Times New Roman"/>
            </w:rPr>
            <w:t>: 1–20.</w:t>
          </w:r>
        </w:p>
        <w:p w14:paraId="11F24459" w14:textId="77777777" w:rsidR="00272696" w:rsidRDefault="00272696">
          <w:pPr>
            <w:autoSpaceDE w:val="0"/>
            <w:autoSpaceDN w:val="0"/>
            <w:ind w:hanging="640"/>
            <w:divId w:val="514274837"/>
            <w:rPr>
              <w:rFonts w:eastAsia="Times New Roman"/>
            </w:rPr>
          </w:pPr>
          <w:r>
            <w:rPr>
              <w:rFonts w:eastAsia="Times New Roman"/>
            </w:rPr>
            <w:t xml:space="preserve">2 </w:t>
          </w:r>
          <w:r>
            <w:rPr>
              <w:rFonts w:eastAsia="Times New Roman"/>
            </w:rPr>
            <w:tab/>
            <w:t xml:space="preserve">Patkar N, </w:t>
          </w:r>
          <w:proofErr w:type="spellStart"/>
          <w:r>
            <w:rPr>
              <w:rFonts w:eastAsia="Times New Roman"/>
            </w:rPr>
            <w:t>Bhanshe</w:t>
          </w:r>
          <w:proofErr w:type="spellEnd"/>
          <w:r>
            <w:rPr>
              <w:rFonts w:eastAsia="Times New Roman"/>
            </w:rPr>
            <w:t xml:space="preserve"> P, Rajpal S, Joshi S, Chaudhary S, Chatterjee G </w:t>
          </w:r>
          <w:r>
            <w:rPr>
              <w:rFonts w:eastAsia="Times New Roman"/>
              <w:i/>
              <w:iCs/>
            </w:rPr>
            <w:t>et al.</w:t>
          </w:r>
          <w:r>
            <w:rPr>
              <w:rFonts w:eastAsia="Times New Roman"/>
            </w:rPr>
            <w:t xml:space="preserve"> NARASIMHA: Novel Assay based on Targeted RNA Sequencing to Identify </w:t>
          </w:r>
          <w:proofErr w:type="spellStart"/>
          <w:r>
            <w:rPr>
              <w:rFonts w:eastAsia="Times New Roman"/>
            </w:rPr>
            <w:t>ChiMeric</w:t>
          </w:r>
          <w:proofErr w:type="spellEnd"/>
          <w:r>
            <w:rPr>
              <w:rFonts w:eastAsia="Times New Roman"/>
            </w:rPr>
            <w:t xml:space="preserve"> Gene Fusions in </w:t>
          </w:r>
          <w:proofErr w:type="spellStart"/>
          <w:r>
            <w:rPr>
              <w:rFonts w:eastAsia="Times New Roman"/>
            </w:rPr>
            <w:t>Hematological</w:t>
          </w:r>
          <w:proofErr w:type="spellEnd"/>
          <w:r>
            <w:rPr>
              <w:rFonts w:eastAsia="Times New Roman"/>
            </w:rPr>
            <w:t xml:space="preserve"> Malignancies. </w:t>
          </w:r>
          <w:r>
            <w:rPr>
              <w:rFonts w:eastAsia="Times New Roman"/>
              <w:i/>
              <w:iCs/>
            </w:rPr>
            <w:t>Blood Cancer Journal 2020 10:5</w:t>
          </w:r>
          <w:r>
            <w:rPr>
              <w:rFonts w:eastAsia="Times New Roman"/>
            </w:rPr>
            <w:t xml:space="preserve"> 2020; </w:t>
          </w:r>
          <w:r>
            <w:rPr>
              <w:rFonts w:eastAsia="Times New Roman"/>
              <w:b/>
              <w:bCs/>
            </w:rPr>
            <w:t>10</w:t>
          </w:r>
          <w:r>
            <w:rPr>
              <w:rFonts w:eastAsia="Times New Roman"/>
            </w:rPr>
            <w:t>: 1–4.</w:t>
          </w:r>
        </w:p>
        <w:p w14:paraId="1634C0E2" w14:textId="77777777" w:rsidR="00272696" w:rsidRDefault="00272696">
          <w:pPr>
            <w:autoSpaceDE w:val="0"/>
            <w:autoSpaceDN w:val="0"/>
            <w:ind w:hanging="640"/>
            <w:divId w:val="1427379818"/>
            <w:rPr>
              <w:rFonts w:eastAsia="Times New Roman"/>
            </w:rPr>
          </w:pPr>
          <w:r>
            <w:rPr>
              <w:rFonts w:eastAsia="Times New Roman"/>
            </w:rPr>
            <w:t xml:space="preserve">3 </w:t>
          </w:r>
          <w:r>
            <w:rPr>
              <w:rFonts w:eastAsia="Times New Roman"/>
            </w:rPr>
            <w:tab/>
          </w:r>
          <w:proofErr w:type="spellStart"/>
          <w:r>
            <w:rPr>
              <w:rFonts w:eastAsia="Times New Roman"/>
            </w:rPr>
            <w:t>Ewels</w:t>
          </w:r>
          <w:proofErr w:type="spellEnd"/>
          <w:r>
            <w:rPr>
              <w:rFonts w:eastAsia="Times New Roman"/>
            </w:rPr>
            <w:t xml:space="preserve"> PA, </w:t>
          </w:r>
          <w:proofErr w:type="spellStart"/>
          <w:r>
            <w:rPr>
              <w:rFonts w:eastAsia="Times New Roman"/>
            </w:rPr>
            <w:t>Peltzer</w:t>
          </w:r>
          <w:proofErr w:type="spellEnd"/>
          <w:r>
            <w:rPr>
              <w:rFonts w:eastAsia="Times New Roman"/>
            </w:rPr>
            <w:t xml:space="preserve"> A, </w:t>
          </w:r>
          <w:proofErr w:type="spellStart"/>
          <w:r>
            <w:rPr>
              <w:rFonts w:eastAsia="Times New Roman"/>
            </w:rPr>
            <w:t>Fillinger</w:t>
          </w:r>
          <w:proofErr w:type="spellEnd"/>
          <w:r>
            <w:rPr>
              <w:rFonts w:eastAsia="Times New Roman"/>
            </w:rPr>
            <w:t xml:space="preserve"> S, Patel H, </w:t>
          </w:r>
          <w:proofErr w:type="spellStart"/>
          <w:r>
            <w:rPr>
              <w:rFonts w:eastAsia="Times New Roman"/>
            </w:rPr>
            <w:t>Alneberg</w:t>
          </w:r>
          <w:proofErr w:type="spellEnd"/>
          <w:r>
            <w:rPr>
              <w:rFonts w:eastAsia="Times New Roman"/>
            </w:rPr>
            <w:t xml:space="preserve"> J, </w:t>
          </w:r>
          <w:proofErr w:type="spellStart"/>
          <w:r>
            <w:rPr>
              <w:rFonts w:eastAsia="Times New Roman"/>
            </w:rPr>
            <w:t>Wilm</w:t>
          </w:r>
          <w:proofErr w:type="spellEnd"/>
          <w:r>
            <w:rPr>
              <w:rFonts w:eastAsia="Times New Roman"/>
            </w:rPr>
            <w:t xml:space="preserve"> A </w:t>
          </w:r>
          <w:r>
            <w:rPr>
              <w:rFonts w:eastAsia="Times New Roman"/>
              <w:i/>
              <w:iCs/>
            </w:rPr>
            <w:t>et al.</w:t>
          </w:r>
          <w:r>
            <w:rPr>
              <w:rFonts w:eastAsia="Times New Roman"/>
            </w:rPr>
            <w:t xml:space="preserve"> The </w:t>
          </w:r>
          <w:proofErr w:type="spellStart"/>
          <w:r>
            <w:rPr>
              <w:rFonts w:eastAsia="Times New Roman"/>
            </w:rPr>
            <w:t>nf</w:t>
          </w:r>
          <w:proofErr w:type="spellEnd"/>
          <w:r>
            <w:rPr>
              <w:rFonts w:eastAsia="Times New Roman"/>
            </w:rPr>
            <w:t xml:space="preserve">-core framework for community-curated bioinformatics pipelines. </w:t>
          </w:r>
          <w:r>
            <w:rPr>
              <w:rFonts w:eastAsia="Times New Roman"/>
              <w:i/>
              <w:iCs/>
            </w:rPr>
            <w:t>Nature Biotechnology 2020 38:3</w:t>
          </w:r>
          <w:r>
            <w:rPr>
              <w:rFonts w:eastAsia="Times New Roman"/>
            </w:rPr>
            <w:t xml:space="preserve"> 2020; </w:t>
          </w:r>
          <w:r>
            <w:rPr>
              <w:rFonts w:eastAsia="Times New Roman"/>
              <w:b/>
              <w:bCs/>
            </w:rPr>
            <w:t>38</w:t>
          </w:r>
          <w:r>
            <w:rPr>
              <w:rFonts w:eastAsia="Times New Roman"/>
            </w:rPr>
            <w:t>: 276–278.</w:t>
          </w:r>
        </w:p>
        <w:p w14:paraId="6E6EB0D8" w14:textId="00D85A93" w:rsidR="008A3E3E" w:rsidRDefault="00272696" w:rsidP="008A3E3E">
          <w:pPr>
            <w:spacing w:before="240" w:after="240" w:line="480" w:lineRule="auto"/>
            <w:jc w:val="both"/>
            <w:rPr>
              <w:rFonts w:ascii="Times New Roman" w:eastAsia="Times New Roman" w:hAnsi="Times New Roman" w:cs="Times New Roman"/>
              <w:b/>
              <w:bCs/>
              <w:color w:val="000000"/>
              <w:sz w:val="24"/>
              <w:szCs w:val="24"/>
              <w:shd w:val="clear" w:color="auto" w:fill="FFFFFF"/>
            </w:rPr>
          </w:pPr>
          <w:r>
            <w:rPr>
              <w:rFonts w:eastAsia="Times New Roman"/>
            </w:rPr>
            <w:t> </w:t>
          </w:r>
        </w:p>
      </w:sdtContent>
    </w:sdt>
    <w:p w14:paraId="73F5861E" w14:textId="3CBA601C" w:rsidR="00E930EE" w:rsidRPr="00DA23AC" w:rsidRDefault="00E930EE" w:rsidP="00C23941">
      <w:pPr>
        <w:spacing w:before="240" w:after="240" w:line="480" w:lineRule="auto"/>
        <w:ind w:left="1530"/>
        <w:jc w:val="both"/>
        <w:rPr>
          <w:rFonts w:ascii="Times New Roman" w:eastAsia="Times New Roman" w:hAnsi="Times New Roman" w:cs="Times New Roman"/>
          <w:sz w:val="24"/>
          <w:szCs w:val="24"/>
        </w:rPr>
      </w:pPr>
    </w:p>
    <w:p w14:paraId="6334B1A2" w14:textId="77777777" w:rsidR="00C23941" w:rsidRPr="00385178" w:rsidRDefault="00C23941" w:rsidP="00C23941">
      <w:pPr>
        <w:spacing w:before="240" w:after="240" w:line="477" w:lineRule="auto"/>
        <w:ind w:left="720"/>
        <w:jc w:val="both"/>
        <w:rPr>
          <w:rFonts w:ascii="Times New Roman" w:eastAsia="Times New Roman" w:hAnsi="Times New Roman" w:cs="Times New Roman"/>
          <w:sz w:val="24"/>
          <w:szCs w:val="24"/>
        </w:rPr>
      </w:pPr>
    </w:p>
    <w:p w14:paraId="74FA8CDD" w14:textId="3D65F1A4" w:rsidR="003E4ECF" w:rsidRDefault="003E4ECF">
      <w:pPr>
        <w:rPr>
          <w:rFonts w:ascii="Times New Roman" w:hAnsi="Times New Roman" w:cs="Times New Roman"/>
          <w:b/>
          <w:sz w:val="24"/>
          <w:szCs w:val="24"/>
        </w:rPr>
      </w:pPr>
    </w:p>
    <w:sectPr w:rsidR="003E4ECF">
      <w:headerReference w:type="defaul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46836B" w14:textId="77777777" w:rsidR="0081661B" w:rsidRDefault="0081661B" w:rsidP="00AE70B3">
      <w:pPr>
        <w:spacing w:after="0" w:line="240" w:lineRule="auto"/>
      </w:pPr>
      <w:r>
        <w:separator/>
      </w:r>
    </w:p>
  </w:endnote>
  <w:endnote w:type="continuationSeparator" w:id="0">
    <w:p w14:paraId="5842AA76" w14:textId="77777777" w:rsidR="0081661B" w:rsidRDefault="0081661B" w:rsidP="00AE70B3">
      <w:pPr>
        <w:spacing w:after="0" w:line="240" w:lineRule="auto"/>
      </w:pPr>
      <w:r>
        <w:continuationSeparator/>
      </w:r>
    </w:p>
  </w:endnote>
  <w:endnote w:type="continuationNotice" w:id="1">
    <w:p w14:paraId="5AB58BFB" w14:textId="77777777" w:rsidR="0081661B" w:rsidRDefault="008166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5D5C1" w14:textId="77777777" w:rsidR="0081661B" w:rsidRDefault="0081661B" w:rsidP="00AE70B3">
      <w:pPr>
        <w:spacing w:after="0" w:line="240" w:lineRule="auto"/>
      </w:pPr>
      <w:r>
        <w:separator/>
      </w:r>
    </w:p>
  </w:footnote>
  <w:footnote w:type="continuationSeparator" w:id="0">
    <w:p w14:paraId="75093CD6" w14:textId="77777777" w:rsidR="0081661B" w:rsidRDefault="0081661B" w:rsidP="00AE70B3">
      <w:pPr>
        <w:spacing w:after="0" w:line="240" w:lineRule="auto"/>
      </w:pPr>
      <w:r>
        <w:continuationSeparator/>
      </w:r>
    </w:p>
  </w:footnote>
  <w:footnote w:type="continuationNotice" w:id="1">
    <w:p w14:paraId="25FB4F25" w14:textId="77777777" w:rsidR="0081661B" w:rsidRDefault="0081661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049089" w14:textId="7A81F8CF" w:rsidR="00215278" w:rsidRPr="00215278" w:rsidRDefault="00215278" w:rsidP="00215278">
    <w:pPr>
      <w:jc w:val="center"/>
      <w:rPr>
        <w:rFonts w:ascii="Times New Roman" w:hAnsi="Times New Roman" w:cs="Times New Roman"/>
        <w:b/>
        <w:sz w:val="24"/>
        <w:szCs w:val="24"/>
      </w:rPr>
    </w:pPr>
    <w:r w:rsidRPr="00215278">
      <w:rPr>
        <w:rFonts w:ascii="Times New Roman" w:hAnsi="Times New Roman" w:cs="Times New Roman"/>
        <w:b/>
        <w:sz w:val="24"/>
        <w:szCs w:val="24"/>
      </w:rPr>
      <w:t xml:space="preserve">Supplementary </w:t>
    </w:r>
    <w:r w:rsidR="00D41C1A">
      <w:rPr>
        <w:rFonts w:ascii="Times New Roman" w:hAnsi="Times New Roman" w:cs="Times New Roman"/>
        <w:b/>
        <w:sz w:val="24"/>
        <w:szCs w:val="24"/>
      </w:rPr>
      <w:t>data</w:t>
    </w:r>
  </w:p>
  <w:p w14:paraId="11C5A154" w14:textId="6D978FB8" w:rsidR="00215278" w:rsidRPr="00423D42" w:rsidRDefault="00215278" w:rsidP="00423D42">
    <w:pPr>
      <w:spacing w:line="480" w:lineRule="auto"/>
      <w:rPr>
        <w:rFonts w:ascii="Times New Roman" w:hAnsi="Times New Roman" w:cs="Times New Roman"/>
        <w:sz w:val="24"/>
      </w:rPr>
    </w:pPr>
    <w:r w:rsidRPr="00215278">
      <w:rPr>
        <w:rFonts w:ascii="Times New Roman" w:hAnsi="Times New Roman" w:cs="Times New Roman"/>
        <w:sz w:val="24"/>
        <w:szCs w:val="24"/>
      </w:rPr>
      <w:t xml:space="preserve">Rajpal et al. </w:t>
    </w:r>
    <w:bookmarkStart w:id="5" w:name="_Hlk171071645"/>
    <w:r w:rsidR="00423D42" w:rsidRPr="00930618">
      <w:rPr>
        <w:rFonts w:ascii="Times New Roman" w:hAnsi="Times New Roman" w:cs="Times New Roman"/>
        <w:sz w:val="24"/>
      </w:rPr>
      <w:t xml:space="preserve">Clinical Relevance of WHO5 </w:t>
    </w:r>
    <w:r w:rsidR="00423D42" w:rsidRPr="00930618">
      <w:rPr>
        <w:rFonts w:ascii="Times New Roman" w:hAnsi="Times New Roman" w:cs="Times New Roman"/>
        <w:color w:val="000000" w:themeColor="text1"/>
        <w:sz w:val="24"/>
      </w:rPr>
      <w:t>Classification in B-ALL</w:t>
    </w:r>
    <w:bookmarkEnd w:id="5"/>
  </w:p>
  <w:p w14:paraId="4CA960A9" w14:textId="09639C55" w:rsidR="001548CF" w:rsidRDefault="001548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702352"/>
    <w:multiLevelType w:val="hybridMultilevel"/>
    <w:tmpl w:val="80220184"/>
    <w:lvl w:ilvl="0" w:tplc="9168EE9E">
      <w:start w:val="1"/>
      <w:numFmt w:val="bullet"/>
      <w:lvlText w:val="•"/>
      <w:lvlJc w:val="left"/>
      <w:pPr>
        <w:tabs>
          <w:tab w:val="num" w:pos="720"/>
        </w:tabs>
        <w:ind w:left="720" w:hanging="360"/>
      </w:pPr>
      <w:rPr>
        <w:rFonts w:ascii="Arial" w:hAnsi="Arial" w:hint="default"/>
      </w:rPr>
    </w:lvl>
    <w:lvl w:ilvl="1" w:tplc="AD1C9016" w:tentative="1">
      <w:start w:val="1"/>
      <w:numFmt w:val="bullet"/>
      <w:lvlText w:val="•"/>
      <w:lvlJc w:val="left"/>
      <w:pPr>
        <w:tabs>
          <w:tab w:val="num" w:pos="1440"/>
        </w:tabs>
        <w:ind w:left="1440" w:hanging="360"/>
      </w:pPr>
      <w:rPr>
        <w:rFonts w:ascii="Arial" w:hAnsi="Arial" w:hint="default"/>
      </w:rPr>
    </w:lvl>
    <w:lvl w:ilvl="2" w:tplc="0ABC2A98" w:tentative="1">
      <w:start w:val="1"/>
      <w:numFmt w:val="bullet"/>
      <w:lvlText w:val="•"/>
      <w:lvlJc w:val="left"/>
      <w:pPr>
        <w:tabs>
          <w:tab w:val="num" w:pos="2160"/>
        </w:tabs>
        <w:ind w:left="2160" w:hanging="360"/>
      </w:pPr>
      <w:rPr>
        <w:rFonts w:ascii="Arial" w:hAnsi="Arial" w:hint="default"/>
      </w:rPr>
    </w:lvl>
    <w:lvl w:ilvl="3" w:tplc="85523C10" w:tentative="1">
      <w:start w:val="1"/>
      <w:numFmt w:val="bullet"/>
      <w:lvlText w:val="•"/>
      <w:lvlJc w:val="left"/>
      <w:pPr>
        <w:tabs>
          <w:tab w:val="num" w:pos="2880"/>
        </w:tabs>
        <w:ind w:left="2880" w:hanging="360"/>
      </w:pPr>
      <w:rPr>
        <w:rFonts w:ascii="Arial" w:hAnsi="Arial" w:hint="default"/>
      </w:rPr>
    </w:lvl>
    <w:lvl w:ilvl="4" w:tplc="9A761232" w:tentative="1">
      <w:start w:val="1"/>
      <w:numFmt w:val="bullet"/>
      <w:lvlText w:val="•"/>
      <w:lvlJc w:val="left"/>
      <w:pPr>
        <w:tabs>
          <w:tab w:val="num" w:pos="3600"/>
        </w:tabs>
        <w:ind w:left="3600" w:hanging="360"/>
      </w:pPr>
      <w:rPr>
        <w:rFonts w:ascii="Arial" w:hAnsi="Arial" w:hint="default"/>
      </w:rPr>
    </w:lvl>
    <w:lvl w:ilvl="5" w:tplc="4ED23B9E" w:tentative="1">
      <w:start w:val="1"/>
      <w:numFmt w:val="bullet"/>
      <w:lvlText w:val="•"/>
      <w:lvlJc w:val="left"/>
      <w:pPr>
        <w:tabs>
          <w:tab w:val="num" w:pos="4320"/>
        </w:tabs>
        <w:ind w:left="4320" w:hanging="360"/>
      </w:pPr>
      <w:rPr>
        <w:rFonts w:ascii="Arial" w:hAnsi="Arial" w:hint="default"/>
      </w:rPr>
    </w:lvl>
    <w:lvl w:ilvl="6" w:tplc="9494799A" w:tentative="1">
      <w:start w:val="1"/>
      <w:numFmt w:val="bullet"/>
      <w:lvlText w:val="•"/>
      <w:lvlJc w:val="left"/>
      <w:pPr>
        <w:tabs>
          <w:tab w:val="num" w:pos="5040"/>
        </w:tabs>
        <w:ind w:left="5040" w:hanging="360"/>
      </w:pPr>
      <w:rPr>
        <w:rFonts w:ascii="Arial" w:hAnsi="Arial" w:hint="default"/>
      </w:rPr>
    </w:lvl>
    <w:lvl w:ilvl="7" w:tplc="8672646E" w:tentative="1">
      <w:start w:val="1"/>
      <w:numFmt w:val="bullet"/>
      <w:lvlText w:val="•"/>
      <w:lvlJc w:val="left"/>
      <w:pPr>
        <w:tabs>
          <w:tab w:val="num" w:pos="5760"/>
        </w:tabs>
        <w:ind w:left="5760" w:hanging="360"/>
      </w:pPr>
      <w:rPr>
        <w:rFonts w:ascii="Arial" w:hAnsi="Arial" w:hint="default"/>
      </w:rPr>
    </w:lvl>
    <w:lvl w:ilvl="8" w:tplc="3CA6136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0B3"/>
    <w:rsid w:val="00021563"/>
    <w:rsid w:val="000720F2"/>
    <w:rsid w:val="000845DA"/>
    <w:rsid w:val="000C415B"/>
    <w:rsid w:val="000F25E1"/>
    <w:rsid w:val="000F7E8A"/>
    <w:rsid w:val="00100E15"/>
    <w:rsid w:val="001113B1"/>
    <w:rsid w:val="0011368F"/>
    <w:rsid w:val="0012700E"/>
    <w:rsid w:val="0013757F"/>
    <w:rsid w:val="00144816"/>
    <w:rsid w:val="001548CF"/>
    <w:rsid w:val="00176B85"/>
    <w:rsid w:val="0019357D"/>
    <w:rsid w:val="001B2F98"/>
    <w:rsid w:val="001B473B"/>
    <w:rsid w:val="001C486D"/>
    <w:rsid w:val="001C7C69"/>
    <w:rsid w:val="001E15B9"/>
    <w:rsid w:val="001E2964"/>
    <w:rsid w:val="001F75B1"/>
    <w:rsid w:val="00215278"/>
    <w:rsid w:val="002374E8"/>
    <w:rsid w:val="00266685"/>
    <w:rsid w:val="00272696"/>
    <w:rsid w:val="002B5990"/>
    <w:rsid w:val="002E1012"/>
    <w:rsid w:val="00301D3A"/>
    <w:rsid w:val="00302D58"/>
    <w:rsid w:val="00347364"/>
    <w:rsid w:val="003613F0"/>
    <w:rsid w:val="00367626"/>
    <w:rsid w:val="0037602D"/>
    <w:rsid w:val="003A5E99"/>
    <w:rsid w:val="003B0C18"/>
    <w:rsid w:val="003B3D31"/>
    <w:rsid w:val="003C2E8B"/>
    <w:rsid w:val="003E4ECF"/>
    <w:rsid w:val="003E7925"/>
    <w:rsid w:val="003F26C6"/>
    <w:rsid w:val="00423D42"/>
    <w:rsid w:val="00443D0C"/>
    <w:rsid w:val="004519CA"/>
    <w:rsid w:val="00460C67"/>
    <w:rsid w:val="00480377"/>
    <w:rsid w:val="004C5CD6"/>
    <w:rsid w:val="004C60A7"/>
    <w:rsid w:val="004D736A"/>
    <w:rsid w:val="00517448"/>
    <w:rsid w:val="005212F9"/>
    <w:rsid w:val="005250D2"/>
    <w:rsid w:val="005574EE"/>
    <w:rsid w:val="00564A36"/>
    <w:rsid w:val="005B3890"/>
    <w:rsid w:val="005D3AC3"/>
    <w:rsid w:val="005D6E02"/>
    <w:rsid w:val="005F2124"/>
    <w:rsid w:val="005F2266"/>
    <w:rsid w:val="006137BA"/>
    <w:rsid w:val="00645EB4"/>
    <w:rsid w:val="006810AC"/>
    <w:rsid w:val="006840C3"/>
    <w:rsid w:val="006C51F9"/>
    <w:rsid w:val="006C74CE"/>
    <w:rsid w:val="006D044E"/>
    <w:rsid w:val="006D64D2"/>
    <w:rsid w:val="006D7023"/>
    <w:rsid w:val="006E57A5"/>
    <w:rsid w:val="006F6A6A"/>
    <w:rsid w:val="00704CF5"/>
    <w:rsid w:val="00724E98"/>
    <w:rsid w:val="0073214D"/>
    <w:rsid w:val="00754B62"/>
    <w:rsid w:val="00761559"/>
    <w:rsid w:val="00776C1C"/>
    <w:rsid w:val="00796F33"/>
    <w:rsid w:val="007B406D"/>
    <w:rsid w:val="007F2053"/>
    <w:rsid w:val="0081661B"/>
    <w:rsid w:val="008215E6"/>
    <w:rsid w:val="00833909"/>
    <w:rsid w:val="008401A0"/>
    <w:rsid w:val="00843747"/>
    <w:rsid w:val="008755FA"/>
    <w:rsid w:val="008A3E3E"/>
    <w:rsid w:val="008E7A5A"/>
    <w:rsid w:val="009B0E1E"/>
    <w:rsid w:val="009C6D91"/>
    <w:rsid w:val="00A00987"/>
    <w:rsid w:val="00A11539"/>
    <w:rsid w:val="00A168F3"/>
    <w:rsid w:val="00A17A21"/>
    <w:rsid w:val="00A9239F"/>
    <w:rsid w:val="00A9606D"/>
    <w:rsid w:val="00AA29C3"/>
    <w:rsid w:val="00AA2D6E"/>
    <w:rsid w:val="00AE70B3"/>
    <w:rsid w:val="00AE7D86"/>
    <w:rsid w:val="00B14B42"/>
    <w:rsid w:val="00B47518"/>
    <w:rsid w:val="00B60E23"/>
    <w:rsid w:val="00B63FC0"/>
    <w:rsid w:val="00B6795F"/>
    <w:rsid w:val="00B97E7C"/>
    <w:rsid w:val="00BC4FBF"/>
    <w:rsid w:val="00BD6D7E"/>
    <w:rsid w:val="00BF420B"/>
    <w:rsid w:val="00C17A85"/>
    <w:rsid w:val="00C21F04"/>
    <w:rsid w:val="00C23941"/>
    <w:rsid w:val="00C240A1"/>
    <w:rsid w:val="00C25533"/>
    <w:rsid w:val="00C35F77"/>
    <w:rsid w:val="00C45017"/>
    <w:rsid w:val="00C62CD9"/>
    <w:rsid w:val="00CC0C0A"/>
    <w:rsid w:val="00CC26DB"/>
    <w:rsid w:val="00CD3F94"/>
    <w:rsid w:val="00CE6FCD"/>
    <w:rsid w:val="00D154EC"/>
    <w:rsid w:val="00D224B5"/>
    <w:rsid w:val="00D358D7"/>
    <w:rsid w:val="00D361FF"/>
    <w:rsid w:val="00D41C1A"/>
    <w:rsid w:val="00D41F8C"/>
    <w:rsid w:val="00D5026A"/>
    <w:rsid w:val="00D53310"/>
    <w:rsid w:val="00D54DC9"/>
    <w:rsid w:val="00DA577F"/>
    <w:rsid w:val="00DB682D"/>
    <w:rsid w:val="00DE3725"/>
    <w:rsid w:val="00DE5B75"/>
    <w:rsid w:val="00E002CA"/>
    <w:rsid w:val="00E04D3F"/>
    <w:rsid w:val="00E27D66"/>
    <w:rsid w:val="00E510B5"/>
    <w:rsid w:val="00E533EF"/>
    <w:rsid w:val="00E81981"/>
    <w:rsid w:val="00E84AAD"/>
    <w:rsid w:val="00E930EE"/>
    <w:rsid w:val="00EB43AE"/>
    <w:rsid w:val="00EC5DE3"/>
    <w:rsid w:val="00EF030D"/>
    <w:rsid w:val="00F20059"/>
    <w:rsid w:val="00F33851"/>
    <w:rsid w:val="00F47098"/>
    <w:rsid w:val="00F67752"/>
    <w:rsid w:val="00F765C8"/>
    <w:rsid w:val="00F901EB"/>
    <w:rsid w:val="00FB4457"/>
    <w:rsid w:val="00FF042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EFD4F5"/>
  <w15:chartTrackingRefBased/>
  <w15:docId w15:val="{DF90CB2A-545E-46C8-9134-13415C8B1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0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0B3"/>
  </w:style>
  <w:style w:type="paragraph" w:styleId="Footer">
    <w:name w:val="footer"/>
    <w:basedOn w:val="Normal"/>
    <w:link w:val="FooterChar"/>
    <w:uiPriority w:val="99"/>
    <w:unhideWhenUsed/>
    <w:rsid w:val="00AE70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0B3"/>
  </w:style>
  <w:style w:type="paragraph" w:styleId="NormalWeb">
    <w:name w:val="Normal (Web)"/>
    <w:basedOn w:val="Normal"/>
    <w:uiPriority w:val="99"/>
    <w:unhideWhenUsed/>
    <w:rsid w:val="00796F33"/>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215278"/>
    <w:pPr>
      <w:spacing w:after="0" w:line="240" w:lineRule="auto"/>
      <w:ind w:left="720"/>
      <w:contextualSpacing/>
    </w:pPr>
    <w:rPr>
      <w:rFonts w:ascii="Times New Roman" w:eastAsiaTheme="minorEastAsia" w:hAnsi="Times New Roman" w:cs="Times New Roman"/>
      <w:sz w:val="24"/>
      <w:szCs w:val="24"/>
      <w:lang w:eastAsia="en-IN"/>
    </w:rPr>
  </w:style>
  <w:style w:type="character" w:styleId="PlaceholderText">
    <w:name w:val="Placeholder Text"/>
    <w:basedOn w:val="DefaultParagraphFont"/>
    <w:uiPriority w:val="99"/>
    <w:semiHidden/>
    <w:rsid w:val="006840C3"/>
    <w:rPr>
      <w:color w:val="808080"/>
    </w:rPr>
  </w:style>
  <w:style w:type="paragraph" w:styleId="NoSpacing">
    <w:name w:val="No Spacing"/>
    <w:uiPriority w:val="1"/>
    <w:qFormat/>
    <w:rsid w:val="002B5990"/>
    <w:pPr>
      <w:spacing w:after="0" w:line="240" w:lineRule="auto"/>
    </w:pPr>
  </w:style>
  <w:style w:type="character" w:styleId="Strong">
    <w:name w:val="Strong"/>
    <w:basedOn w:val="DefaultParagraphFont"/>
    <w:uiPriority w:val="22"/>
    <w:qFormat/>
    <w:rsid w:val="006E57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26964">
      <w:bodyDiv w:val="1"/>
      <w:marLeft w:val="0"/>
      <w:marRight w:val="0"/>
      <w:marTop w:val="0"/>
      <w:marBottom w:val="0"/>
      <w:divBdr>
        <w:top w:val="none" w:sz="0" w:space="0" w:color="auto"/>
        <w:left w:val="none" w:sz="0" w:space="0" w:color="auto"/>
        <w:bottom w:val="none" w:sz="0" w:space="0" w:color="auto"/>
        <w:right w:val="none" w:sz="0" w:space="0" w:color="auto"/>
      </w:divBdr>
    </w:div>
    <w:div w:id="439498249">
      <w:bodyDiv w:val="1"/>
      <w:marLeft w:val="0"/>
      <w:marRight w:val="0"/>
      <w:marTop w:val="0"/>
      <w:marBottom w:val="0"/>
      <w:divBdr>
        <w:top w:val="none" w:sz="0" w:space="0" w:color="auto"/>
        <w:left w:val="none" w:sz="0" w:space="0" w:color="auto"/>
        <w:bottom w:val="none" w:sz="0" w:space="0" w:color="auto"/>
        <w:right w:val="none" w:sz="0" w:space="0" w:color="auto"/>
      </w:divBdr>
    </w:div>
    <w:div w:id="496699493">
      <w:bodyDiv w:val="1"/>
      <w:marLeft w:val="0"/>
      <w:marRight w:val="0"/>
      <w:marTop w:val="0"/>
      <w:marBottom w:val="0"/>
      <w:divBdr>
        <w:top w:val="none" w:sz="0" w:space="0" w:color="auto"/>
        <w:left w:val="none" w:sz="0" w:space="0" w:color="auto"/>
        <w:bottom w:val="none" w:sz="0" w:space="0" w:color="auto"/>
        <w:right w:val="none" w:sz="0" w:space="0" w:color="auto"/>
      </w:divBdr>
      <w:divsChild>
        <w:div w:id="1900822366">
          <w:marLeft w:val="640"/>
          <w:marRight w:val="0"/>
          <w:marTop w:val="0"/>
          <w:marBottom w:val="0"/>
          <w:divBdr>
            <w:top w:val="none" w:sz="0" w:space="0" w:color="auto"/>
            <w:left w:val="none" w:sz="0" w:space="0" w:color="auto"/>
            <w:bottom w:val="none" w:sz="0" w:space="0" w:color="auto"/>
            <w:right w:val="none" w:sz="0" w:space="0" w:color="auto"/>
          </w:divBdr>
        </w:div>
        <w:div w:id="234124239">
          <w:marLeft w:val="640"/>
          <w:marRight w:val="0"/>
          <w:marTop w:val="0"/>
          <w:marBottom w:val="0"/>
          <w:divBdr>
            <w:top w:val="none" w:sz="0" w:space="0" w:color="auto"/>
            <w:left w:val="none" w:sz="0" w:space="0" w:color="auto"/>
            <w:bottom w:val="none" w:sz="0" w:space="0" w:color="auto"/>
            <w:right w:val="none" w:sz="0" w:space="0" w:color="auto"/>
          </w:divBdr>
        </w:div>
        <w:div w:id="99105326">
          <w:marLeft w:val="640"/>
          <w:marRight w:val="0"/>
          <w:marTop w:val="0"/>
          <w:marBottom w:val="0"/>
          <w:divBdr>
            <w:top w:val="none" w:sz="0" w:space="0" w:color="auto"/>
            <w:left w:val="none" w:sz="0" w:space="0" w:color="auto"/>
            <w:bottom w:val="none" w:sz="0" w:space="0" w:color="auto"/>
            <w:right w:val="none" w:sz="0" w:space="0" w:color="auto"/>
          </w:divBdr>
        </w:div>
      </w:divsChild>
    </w:div>
    <w:div w:id="542720202">
      <w:bodyDiv w:val="1"/>
      <w:marLeft w:val="0"/>
      <w:marRight w:val="0"/>
      <w:marTop w:val="0"/>
      <w:marBottom w:val="0"/>
      <w:divBdr>
        <w:top w:val="none" w:sz="0" w:space="0" w:color="auto"/>
        <w:left w:val="none" w:sz="0" w:space="0" w:color="auto"/>
        <w:bottom w:val="none" w:sz="0" w:space="0" w:color="auto"/>
        <w:right w:val="none" w:sz="0" w:space="0" w:color="auto"/>
      </w:divBdr>
      <w:divsChild>
        <w:div w:id="2029286956">
          <w:marLeft w:val="640"/>
          <w:marRight w:val="0"/>
          <w:marTop w:val="0"/>
          <w:marBottom w:val="0"/>
          <w:divBdr>
            <w:top w:val="none" w:sz="0" w:space="0" w:color="auto"/>
            <w:left w:val="none" w:sz="0" w:space="0" w:color="auto"/>
            <w:bottom w:val="none" w:sz="0" w:space="0" w:color="auto"/>
            <w:right w:val="none" w:sz="0" w:space="0" w:color="auto"/>
          </w:divBdr>
        </w:div>
        <w:div w:id="301084378">
          <w:marLeft w:val="640"/>
          <w:marRight w:val="0"/>
          <w:marTop w:val="0"/>
          <w:marBottom w:val="0"/>
          <w:divBdr>
            <w:top w:val="none" w:sz="0" w:space="0" w:color="auto"/>
            <w:left w:val="none" w:sz="0" w:space="0" w:color="auto"/>
            <w:bottom w:val="none" w:sz="0" w:space="0" w:color="auto"/>
            <w:right w:val="none" w:sz="0" w:space="0" w:color="auto"/>
          </w:divBdr>
        </w:div>
        <w:div w:id="1689788636">
          <w:marLeft w:val="640"/>
          <w:marRight w:val="0"/>
          <w:marTop w:val="0"/>
          <w:marBottom w:val="0"/>
          <w:divBdr>
            <w:top w:val="none" w:sz="0" w:space="0" w:color="auto"/>
            <w:left w:val="none" w:sz="0" w:space="0" w:color="auto"/>
            <w:bottom w:val="none" w:sz="0" w:space="0" w:color="auto"/>
            <w:right w:val="none" w:sz="0" w:space="0" w:color="auto"/>
          </w:divBdr>
        </w:div>
      </w:divsChild>
    </w:div>
    <w:div w:id="557060589">
      <w:bodyDiv w:val="1"/>
      <w:marLeft w:val="0"/>
      <w:marRight w:val="0"/>
      <w:marTop w:val="0"/>
      <w:marBottom w:val="0"/>
      <w:divBdr>
        <w:top w:val="none" w:sz="0" w:space="0" w:color="auto"/>
        <w:left w:val="none" w:sz="0" w:space="0" w:color="auto"/>
        <w:bottom w:val="none" w:sz="0" w:space="0" w:color="auto"/>
        <w:right w:val="none" w:sz="0" w:space="0" w:color="auto"/>
      </w:divBdr>
    </w:div>
    <w:div w:id="577179344">
      <w:bodyDiv w:val="1"/>
      <w:marLeft w:val="0"/>
      <w:marRight w:val="0"/>
      <w:marTop w:val="0"/>
      <w:marBottom w:val="0"/>
      <w:divBdr>
        <w:top w:val="none" w:sz="0" w:space="0" w:color="auto"/>
        <w:left w:val="none" w:sz="0" w:space="0" w:color="auto"/>
        <w:bottom w:val="none" w:sz="0" w:space="0" w:color="auto"/>
        <w:right w:val="none" w:sz="0" w:space="0" w:color="auto"/>
      </w:divBdr>
    </w:div>
    <w:div w:id="589050961">
      <w:bodyDiv w:val="1"/>
      <w:marLeft w:val="0"/>
      <w:marRight w:val="0"/>
      <w:marTop w:val="0"/>
      <w:marBottom w:val="0"/>
      <w:divBdr>
        <w:top w:val="none" w:sz="0" w:space="0" w:color="auto"/>
        <w:left w:val="none" w:sz="0" w:space="0" w:color="auto"/>
        <w:bottom w:val="none" w:sz="0" w:space="0" w:color="auto"/>
        <w:right w:val="none" w:sz="0" w:space="0" w:color="auto"/>
      </w:divBdr>
    </w:div>
    <w:div w:id="646864143">
      <w:bodyDiv w:val="1"/>
      <w:marLeft w:val="0"/>
      <w:marRight w:val="0"/>
      <w:marTop w:val="0"/>
      <w:marBottom w:val="0"/>
      <w:divBdr>
        <w:top w:val="none" w:sz="0" w:space="0" w:color="auto"/>
        <w:left w:val="none" w:sz="0" w:space="0" w:color="auto"/>
        <w:bottom w:val="none" w:sz="0" w:space="0" w:color="auto"/>
        <w:right w:val="none" w:sz="0" w:space="0" w:color="auto"/>
      </w:divBdr>
      <w:divsChild>
        <w:div w:id="301885627">
          <w:marLeft w:val="640"/>
          <w:marRight w:val="0"/>
          <w:marTop w:val="0"/>
          <w:marBottom w:val="0"/>
          <w:divBdr>
            <w:top w:val="none" w:sz="0" w:space="0" w:color="auto"/>
            <w:left w:val="none" w:sz="0" w:space="0" w:color="auto"/>
            <w:bottom w:val="none" w:sz="0" w:space="0" w:color="auto"/>
            <w:right w:val="none" w:sz="0" w:space="0" w:color="auto"/>
          </w:divBdr>
        </w:div>
        <w:div w:id="1722098374">
          <w:marLeft w:val="640"/>
          <w:marRight w:val="0"/>
          <w:marTop w:val="0"/>
          <w:marBottom w:val="0"/>
          <w:divBdr>
            <w:top w:val="none" w:sz="0" w:space="0" w:color="auto"/>
            <w:left w:val="none" w:sz="0" w:space="0" w:color="auto"/>
            <w:bottom w:val="none" w:sz="0" w:space="0" w:color="auto"/>
            <w:right w:val="none" w:sz="0" w:space="0" w:color="auto"/>
          </w:divBdr>
        </w:div>
        <w:div w:id="466123882">
          <w:marLeft w:val="640"/>
          <w:marRight w:val="0"/>
          <w:marTop w:val="0"/>
          <w:marBottom w:val="0"/>
          <w:divBdr>
            <w:top w:val="none" w:sz="0" w:space="0" w:color="auto"/>
            <w:left w:val="none" w:sz="0" w:space="0" w:color="auto"/>
            <w:bottom w:val="none" w:sz="0" w:space="0" w:color="auto"/>
            <w:right w:val="none" w:sz="0" w:space="0" w:color="auto"/>
          </w:divBdr>
        </w:div>
      </w:divsChild>
    </w:div>
    <w:div w:id="922371150">
      <w:bodyDiv w:val="1"/>
      <w:marLeft w:val="0"/>
      <w:marRight w:val="0"/>
      <w:marTop w:val="0"/>
      <w:marBottom w:val="0"/>
      <w:divBdr>
        <w:top w:val="none" w:sz="0" w:space="0" w:color="auto"/>
        <w:left w:val="none" w:sz="0" w:space="0" w:color="auto"/>
        <w:bottom w:val="none" w:sz="0" w:space="0" w:color="auto"/>
        <w:right w:val="none" w:sz="0" w:space="0" w:color="auto"/>
      </w:divBdr>
      <w:divsChild>
        <w:div w:id="1081374378">
          <w:marLeft w:val="640"/>
          <w:marRight w:val="0"/>
          <w:marTop w:val="0"/>
          <w:marBottom w:val="0"/>
          <w:divBdr>
            <w:top w:val="none" w:sz="0" w:space="0" w:color="auto"/>
            <w:left w:val="none" w:sz="0" w:space="0" w:color="auto"/>
            <w:bottom w:val="none" w:sz="0" w:space="0" w:color="auto"/>
            <w:right w:val="none" w:sz="0" w:space="0" w:color="auto"/>
          </w:divBdr>
        </w:div>
        <w:div w:id="305865482">
          <w:marLeft w:val="640"/>
          <w:marRight w:val="0"/>
          <w:marTop w:val="0"/>
          <w:marBottom w:val="0"/>
          <w:divBdr>
            <w:top w:val="none" w:sz="0" w:space="0" w:color="auto"/>
            <w:left w:val="none" w:sz="0" w:space="0" w:color="auto"/>
            <w:bottom w:val="none" w:sz="0" w:space="0" w:color="auto"/>
            <w:right w:val="none" w:sz="0" w:space="0" w:color="auto"/>
          </w:divBdr>
        </w:div>
        <w:div w:id="1030762798">
          <w:marLeft w:val="640"/>
          <w:marRight w:val="0"/>
          <w:marTop w:val="0"/>
          <w:marBottom w:val="0"/>
          <w:divBdr>
            <w:top w:val="none" w:sz="0" w:space="0" w:color="auto"/>
            <w:left w:val="none" w:sz="0" w:space="0" w:color="auto"/>
            <w:bottom w:val="none" w:sz="0" w:space="0" w:color="auto"/>
            <w:right w:val="none" w:sz="0" w:space="0" w:color="auto"/>
          </w:divBdr>
        </w:div>
      </w:divsChild>
    </w:div>
    <w:div w:id="1122962889">
      <w:bodyDiv w:val="1"/>
      <w:marLeft w:val="0"/>
      <w:marRight w:val="0"/>
      <w:marTop w:val="0"/>
      <w:marBottom w:val="0"/>
      <w:divBdr>
        <w:top w:val="none" w:sz="0" w:space="0" w:color="auto"/>
        <w:left w:val="none" w:sz="0" w:space="0" w:color="auto"/>
        <w:bottom w:val="none" w:sz="0" w:space="0" w:color="auto"/>
        <w:right w:val="none" w:sz="0" w:space="0" w:color="auto"/>
      </w:divBdr>
    </w:div>
    <w:div w:id="1159233412">
      <w:bodyDiv w:val="1"/>
      <w:marLeft w:val="0"/>
      <w:marRight w:val="0"/>
      <w:marTop w:val="0"/>
      <w:marBottom w:val="0"/>
      <w:divBdr>
        <w:top w:val="none" w:sz="0" w:space="0" w:color="auto"/>
        <w:left w:val="none" w:sz="0" w:space="0" w:color="auto"/>
        <w:bottom w:val="none" w:sz="0" w:space="0" w:color="auto"/>
        <w:right w:val="none" w:sz="0" w:space="0" w:color="auto"/>
      </w:divBdr>
      <w:divsChild>
        <w:div w:id="1530099528">
          <w:marLeft w:val="640"/>
          <w:marRight w:val="0"/>
          <w:marTop w:val="0"/>
          <w:marBottom w:val="0"/>
          <w:divBdr>
            <w:top w:val="none" w:sz="0" w:space="0" w:color="auto"/>
            <w:left w:val="none" w:sz="0" w:space="0" w:color="auto"/>
            <w:bottom w:val="none" w:sz="0" w:space="0" w:color="auto"/>
            <w:right w:val="none" w:sz="0" w:space="0" w:color="auto"/>
          </w:divBdr>
        </w:div>
        <w:div w:id="569120990">
          <w:marLeft w:val="640"/>
          <w:marRight w:val="0"/>
          <w:marTop w:val="0"/>
          <w:marBottom w:val="0"/>
          <w:divBdr>
            <w:top w:val="none" w:sz="0" w:space="0" w:color="auto"/>
            <w:left w:val="none" w:sz="0" w:space="0" w:color="auto"/>
            <w:bottom w:val="none" w:sz="0" w:space="0" w:color="auto"/>
            <w:right w:val="none" w:sz="0" w:space="0" w:color="auto"/>
          </w:divBdr>
        </w:div>
        <w:div w:id="2028604008">
          <w:marLeft w:val="640"/>
          <w:marRight w:val="0"/>
          <w:marTop w:val="0"/>
          <w:marBottom w:val="0"/>
          <w:divBdr>
            <w:top w:val="none" w:sz="0" w:space="0" w:color="auto"/>
            <w:left w:val="none" w:sz="0" w:space="0" w:color="auto"/>
            <w:bottom w:val="none" w:sz="0" w:space="0" w:color="auto"/>
            <w:right w:val="none" w:sz="0" w:space="0" w:color="auto"/>
          </w:divBdr>
        </w:div>
      </w:divsChild>
    </w:div>
    <w:div w:id="1196499182">
      <w:bodyDiv w:val="1"/>
      <w:marLeft w:val="0"/>
      <w:marRight w:val="0"/>
      <w:marTop w:val="0"/>
      <w:marBottom w:val="0"/>
      <w:divBdr>
        <w:top w:val="none" w:sz="0" w:space="0" w:color="auto"/>
        <w:left w:val="none" w:sz="0" w:space="0" w:color="auto"/>
        <w:bottom w:val="none" w:sz="0" w:space="0" w:color="auto"/>
        <w:right w:val="none" w:sz="0" w:space="0" w:color="auto"/>
      </w:divBdr>
      <w:divsChild>
        <w:div w:id="1231580513">
          <w:marLeft w:val="640"/>
          <w:marRight w:val="0"/>
          <w:marTop w:val="0"/>
          <w:marBottom w:val="0"/>
          <w:divBdr>
            <w:top w:val="none" w:sz="0" w:space="0" w:color="auto"/>
            <w:left w:val="none" w:sz="0" w:space="0" w:color="auto"/>
            <w:bottom w:val="none" w:sz="0" w:space="0" w:color="auto"/>
            <w:right w:val="none" w:sz="0" w:space="0" w:color="auto"/>
          </w:divBdr>
        </w:div>
        <w:div w:id="1461995535">
          <w:marLeft w:val="640"/>
          <w:marRight w:val="0"/>
          <w:marTop w:val="0"/>
          <w:marBottom w:val="0"/>
          <w:divBdr>
            <w:top w:val="none" w:sz="0" w:space="0" w:color="auto"/>
            <w:left w:val="none" w:sz="0" w:space="0" w:color="auto"/>
            <w:bottom w:val="none" w:sz="0" w:space="0" w:color="auto"/>
            <w:right w:val="none" w:sz="0" w:space="0" w:color="auto"/>
          </w:divBdr>
        </w:div>
        <w:div w:id="334573593">
          <w:marLeft w:val="640"/>
          <w:marRight w:val="0"/>
          <w:marTop w:val="0"/>
          <w:marBottom w:val="0"/>
          <w:divBdr>
            <w:top w:val="none" w:sz="0" w:space="0" w:color="auto"/>
            <w:left w:val="none" w:sz="0" w:space="0" w:color="auto"/>
            <w:bottom w:val="none" w:sz="0" w:space="0" w:color="auto"/>
            <w:right w:val="none" w:sz="0" w:space="0" w:color="auto"/>
          </w:divBdr>
        </w:div>
      </w:divsChild>
    </w:div>
    <w:div w:id="1497460284">
      <w:bodyDiv w:val="1"/>
      <w:marLeft w:val="0"/>
      <w:marRight w:val="0"/>
      <w:marTop w:val="0"/>
      <w:marBottom w:val="0"/>
      <w:divBdr>
        <w:top w:val="none" w:sz="0" w:space="0" w:color="auto"/>
        <w:left w:val="none" w:sz="0" w:space="0" w:color="auto"/>
        <w:bottom w:val="none" w:sz="0" w:space="0" w:color="auto"/>
        <w:right w:val="none" w:sz="0" w:space="0" w:color="auto"/>
      </w:divBdr>
    </w:div>
    <w:div w:id="1589577967">
      <w:bodyDiv w:val="1"/>
      <w:marLeft w:val="0"/>
      <w:marRight w:val="0"/>
      <w:marTop w:val="0"/>
      <w:marBottom w:val="0"/>
      <w:divBdr>
        <w:top w:val="none" w:sz="0" w:space="0" w:color="auto"/>
        <w:left w:val="none" w:sz="0" w:space="0" w:color="auto"/>
        <w:bottom w:val="none" w:sz="0" w:space="0" w:color="auto"/>
        <w:right w:val="none" w:sz="0" w:space="0" w:color="auto"/>
      </w:divBdr>
    </w:div>
    <w:div w:id="1657024999">
      <w:bodyDiv w:val="1"/>
      <w:marLeft w:val="0"/>
      <w:marRight w:val="0"/>
      <w:marTop w:val="0"/>
      <w:marBottom w:val="0"/>
      <w:divBdr>
        <w:top w:val="none" w:sz="0" w:space="0" w:color="auto"/>
        <w:left w:val="none" w:sz="0" w:space="0" w:color="auto"/>
        <w:bottom w:val="none" w:sz="0" w:space="0" w:color="auto"/>
        <w:right w:val="none" w:sz="0" w:space="0" w:color="auto"/>
      </w:divBdr>
    </w:div>
    <w:div w:id="1704135475">
      <w:bodyDiv w:val="1"/>
      <w:marLeft w:val="0"/>
      <w:marRight w:val="0"/>
      <w:marTop w:val="0"/>
      <w:marBottom w:val="0"/>
      <w:divBdr>
        <w:top w:val="none" w:sz="0" w:space="0" w:color="auto"/>
        <w:left w:val="none" w:sz="0" w:space="0" w:color="auto"/>
        <w:bottom w:val="none" w:sz="0" w:space="0" w:color="auto"/>
        <w:right w:val="none" w:sz="0" w:space="0" w:color="auto"/>
      </w:divBdr>
    </w:div>
    <w:div w:id="1821464187">
      <w:bodyDiv w:val="1"/>
      <w:marLeft w:val="0"/>
      <w:marRight w:val="0"/>
      <w:marTop w:val="0"/>
      <w:marBottom w:val="0"/>
      <w:divBdr>
        <w:top w:val="none" w:sz="0" w:space="0" w:color="auto"/>
        <w:left w:val="none" w:sz="0" w:space="0" w:color="auto"/>
        <w:bottom w:val="none" w:sz="0" w:space="0" w:color="auto"/>
        <w:right w:val="none" w:sz="0" w:space="0" w:color="auto"/>
      </w:divBdr>
    </w:div>
    <w:div w:id="2082677611">
      <w:bodyDiv w:val="1"/>
      <w:marLeft w:val="0"/>
      <w:marRight w:val="0"/>
      <w:marTop w:val="0"/>
      <w:marBottom w:val="0"/>
      <w:divBdr>
        <w:top w:val="none" w:sz="0" w:space="0" w:color="auto"/>
        <w:left w:val="none" w:sz="0" w:space="0" w:color="auto"/>
        <w:bottom w:val="none" w:sz="0" w:space="0" w:color="auto"/>
        <w:right w:val="none" w:sz="0" w:space="0" w:color="auto"/>
      </w:divBdr>
      <w:divsChild>
        <w:div w:id="611014092">
          <w:marLeft w:val="640"/>
          <w:marRight w:val="0"/>
          <w:marTop w:val="0"/>
          <w:marBottom w:val="0"/>
          <w:divBdr>
            <w:top w:val="none" w:sz="0" w:space="0" w:color="auto"/>
            <w:left w:val="none" w:sz="0" w:space="0" w:color="auto"/>
            <w:bottom w:val="none" w:sz="0" w:space="0" w:color="auto"/>
            <w:right w:val="none" w:sz="0" w:space="0" w:color="auto"/>
          </w:divBdr>
        </w:div>
        <w:div w:id="514274837">
          <w:marLeft w:val="640"/>
          <w:marRight w:val="0"/>
          <w:marTop w:val="0"/>
          <w:marBottom w:val="0"/>
          <w:divBdr>
            <w:top w:val="none" w:sz="0" w:space="0" w:color="auto"/>
            <w:left w:val="none" w:sz="0" w:space="0" w:color="auto"/>
            <w:bottom w:val="none" w:sz="0" w:space="0" w:color="auto"/>
            <w:right w:val="none" w:sz="0" w:space="0" w:color="auto"/>
          </w:divBdr>
        </w:div>
        <w:div w:id="142737981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a3ac64687e01d456/TMH/Publication/B-others/Manuscript/June_2024/IKZF1%20del%2006.06.2024.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'[IKZF1 del 06.06.2024.xlsx]Sheet2'!$B$1</c:f>
              <c:strCache>
                <c:ptCount val="1"/>
              </c:strCache>
            </c:strRef>
          </c:tx>
          <c:spPr>
            <a:solidFill>
              <a:srgbClr val="FFCCFF"/>
            </a:solidFill>
            <a:ln>
              <a:solidFill>
                <a:srgbClr val="FFCCFF"/>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'[IKZF1 del 06.06.2024.xlsx]Sheet2'!$A$2:$A$8</c:f>
              <c:strCache>
                <c:ptCount val="7"/>
                <c:pt idx="0">
                  <c:v>BCR::ABL1</c:v>
                </c:pt>
                <c:pt idx="1">
                  <c:v>BCR::ABL1 like</c:v>
                </c:pt>
                <c:pt idx="2">
                  <c:v>DUX4-r</c:v>
                </c:pt>
                <c:pt idx="3">
                  <c:v>KMT2A-r</c:v>
                </c:pt>
                <c:pt idx="4">
                  <c:v>NOS</c:v>
                </c:pt>
                <c:pt idx="5">
                  <c:v>ETV6::RUNX1</c:v>
                </c:pt>
                <c:pt idx="6">
                  <c:v>high hyperdiploidy</c:v>
                </c:pt>
              </c:strCache>
            </c:strRef>
          </c:cat>
          <c:val>
            <c:numRef>
              <c:f>'[IKZF1 del 06.06.2024.xlsx]Sheet2'!$B$2:$B$8</c:f>
              <c:numCache>
                <c:formatCode>0.00</c:formatCode>
                <c:ptCount val="7"/>
                <c:pt idx="0">
                  <c:v>56.521739130434781</c:v>
                </c:pt>
                <c:pt idx="1">
                  <c:v>55.555555555555557</c:v>
                </c:pt>
                <c:pt idx="2">
                  <c:v>16.666666666666664</c:v>
                </c:pt>
                <c:pt idx="3">
                  <c:v>15.384615384615385</c:v>
                </c:pt>
                <c:pt idx="4">
                  <c:v>12</c:v>
                </c:pt>
                <c:pt idx="5">
                  <c:v>1.639344262295082</c:v>
                </c:pt>
                <c:pt idx="6">
                  <c:v>1.2820512820512819</c:v>
                </c:pt>
              </c:numCache>
            </c:numRef>
          </c:val>
          <c:extLst>
            <c:ext xmlns:c16="http://schemas.microsoft.com/office/drawing/2014/chart" uri="{C3380CC4-5D6E-409C-BE32-E72D297353CC}">
              <c16:uniqueId val="{00000000-A3AB-45A2-B0DE-D189ECB18263}"/>
            </c:ext>
          </c:extLst>
        </c:ser>
        <c:dLbls>
          <c:dLblPos val="outEnd"/>
          <c:showLegendKey val="0"/>
          <c:showVal val="1"/>
          <c:showCatName val="0"/>
          <c:showSerName val="0"/>
          <c:showPercent val="0"/>
          <c:showBubbleSize val="0"/>
        </c:dLbls>
        <c:gapWidth val="219"/>
        <c:overlap val="-27"/>
        <c:axId val="637630184"/>
        <c:axId val="637630512"/>
      </c:barChart>
      <c:catAx>
        <c:axId val="637630184"/>
        <c:scaling>
          <c:orientation val="minMax"/>
        </c:scaling>
        <c:delete val="0"/>
        <c:axPos val="b"/>
        <c:numFmt formatCode="General" sourceLinked="1"/>
        <c:majorTickMark val="none"/>
        <c:minorTickMark val="none"/>
        <c:tickLblPos val="nextTo"/>
        <c:spPr>
          <a:noFill/>
          <a:ln w="9525" cap="flat" cmpd="sng" algn="ctr">
            <a:solidFill>
              <a:schemeClr val="accent1"/>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37630512"/>
        <c:crosses val="autoZero"/>
        <c:auto val="1"/>
        <c:lblAlgn val="ctr"/>
        <c:lblOffset val="100"/>
        <c:noMultiLvlLbl val="0"/>
      </c:catAx>
      <c:valAx>
        <c:axId val="637630512"/>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IN" sz="1200">
                    <a:solidFill>
                      <a:schemeClr val="tx1"/>
                    </a:solidFill>
                    <a:latin typeface="Times New Roman" panose="02020603050405020304" pitchFamily="18" charset="0"/>
                    <a:cs typeface="Times New Roman" panose="02020603050405020304" pitchFamily="18" charset="0"/>
                  </a:rPr>
                  <a:t>Percentage of </a:t>
                </a:r>
                <a:r>
                  <a:rPr lang="en-IN" sz="1200" i="1">
                    <a:solidFill>
                      <a:schemeClr val="tx1"/>
                    </a:solidFill>
                    <a:latin typeface="Times New Roman" panose="02020603050405020304" pitchFamily="18" charset="0"/>
                    <a:cs typeface="Times New Roman" panose="02020603050405020304" pitchFamily="18" charset="0"/>
                  </a:rPr>
                  <a:t>IKZF1 </a:t>
                </a:r>
                <a:r>
                  <a:rPr lang="en-IN" sz="1200" i="0">
                    <a:solidFill>
                      <a:schemeClr val="tx1"/>
                    </a:solidFill>
                    <a:latin typeface="Times New Roman" panose="02020603050405020304" pitchFamily="18" charset="0"/>
                    <a:cs typeface="Times New Roman" panose="02020603050405020304" pitchFamily="18" charset="0"/>
                  </a:rPr>
                  <a:t>deletion</a:t>
                </a:r>
                <a:endParaRPr lang="en-IN" sz="120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376301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E5BA9B34-BEC3-46DE-8626-395F9A3F7F9D}"/>
      </w:docPartPr>
      <w:docPartBody>
        <w:p w:rsidR="007478C3" w:rsidRDefault="008471E3">
          <w:r w:rsidRPr="001D1FD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1E3"/>
    <w:rsid w:val="007478C3"/>
    <w:rsid w:val="007F2053"/>
    <w:rsid w:val="008471E3"/>
    <w:rsid w:val="00922183"/>
    <w:rsid w:val="00A3118E"/>
    <w:rsid w:val="00B751C6"/>
    <w:rsid w:val="00E27D66"/>
    <w:rsid w:val="00EC5D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471E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3697C20-8302-42B5-9AD3-BDA8FA926F26}">
  <we:reference id="wa104382081" version="1.55.1.0" store="en-US" storeType="OMEX"/>
  <we:alternateReferences>
    <we:reference id="wa104382081" version="1.55.1.0" store="" storeType="OMEX"/>
  </we:alternateReferences>
  <we:properties>
    <we:property name="MENDELEY_CITATIONS_STYLE" value="{&quot;id&quot;:&quot;https://www.zotero.org/styles/nature-publishing-group-vancouver&quot;,&quot;title&quot;:&quot;Nature Publishing Group - Vancouver&quot;,&quot;format&quot;:&quot;numeric&quot;,&quot;defaultLocale&quot;:&quot;en-GB&quot;,&quot;isLocaleCodeValid&quot;:true}"/>
    <we:property name="MENDELEY_CITATIONS" value="[{&quot;citationID&quot;:&quot;MENDELEY_CITATION_2595e741-bd14-4643-bd42-5e1a9a754e63&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jU5NWU3NDEtYmQxNC00NjQzLWJkNDItNWUxYTlhNzU0ZTYzIiwicHJvcGVydGllcyI6eyJub3RlSW5kZXgiOjB9LCJpc0VkaXRlZCI6ZmFsc2UsIm1hbnVhbE92ZXJyaWRlIjp7ImlzTWFudWFsbHlPdmVycmlkZGVuIjpmYWxzZSwiY2l0ZXByb2NUZXh0IjoiPHN1cD4xPC9zdXA+IiwibWFudWFsT3ZlcnJpZGVUZXh0IjoiIn0sImNpdGF0aW9uSXRlbXMiOlt7ImlkIjoiNjk4NjkzMGUtYzk4Mi0zYzZjLThhMGMtM2M0YzllMTJmY2RmIiwiaXRlbURhdGEiOnsidHlwZSI6ImFydGljbGUtam91cm5hbCIsImlkIjoiNjk4NjkzMGUtYzk4Mi0zYzZjLThhMGMtM2M0YzllMTJmY2RmIiwidGl0bGUiOiJQcm90b2NvbCBmb3IgSUNpQ0xlLUFMTC0xNCAoSW5QT0ctQUxMLTE1LTAxKTogYSBwcm9zcGVjdGl2ZSwgcmlzayBzdHJhdGlmaWVkLCByYW5kb21pc2VkLCBtdWx0aWNlbnRyZSwgb3BlbiBsYWJlbCwgY29udHJvbGxlZCB0aGVyYXBldXRpYyB0cmlhbCBmb3IgbmV3bHkgZGlhZ25vc2VkIGNoaWxkaG9vZCBhY3V0ZSBseW1waG9ibGFzdGljIGxldWthZW1pYSBpbiBJbmRpYSIsImF1dGhvciI6W3siZmFtaWx5IjoiRGFzIiwiZ2l2ZW4iOiJOYW5kYW5hIiwicGFyc2UtbmFtZXMiOmZhbHNlLCJkcm9wcGluZy1wYXJ0aWNsZSI6IiIsIm5vbi1kcm9wcGluZy1wYXJ0aWNsZSI6IiJ9LHsiZmFtaWx5IjoiQmFuYXZhbGkiLCJnaXZlbiI6IlNocmlwYWQiLCJwYXJzZS1uYW1lcyI6ZmFsc2UsImRyb3BwaW5nLXBhcnRpY2xlIjoiIiwibm9uLWRyb3BwaW5nLXBhcnRpY2xlIjoiIn0seyJmYW1pbHkiOiJCYWtoc2hpIiwiZ2l2ZW4iOiJTYW1lZXIiLCJwYXJzZS1uYW1lcyI6ZmFsc2UsImRyb3BwaW5nLXBhcnRpY2xlIjoiIiwibm9uLWRyb3BwaW5nLXBhcnRpY2xlIjoiIn0seyJmYW1pbHkiOiJUcmVoYW4iLCJnaXZlbiI6IkFtaXRhIiwicGFyc2UtbmFtZXMiOmZhbHNlLCJkcm9wcGluZy1wYXJ0aWNsZSI6IiIsIm5vbi1kcm9wcGluZy1wYXJ0aWNsZSI6IiJ9LHsiZmFtaWx5IjoiUmFkaGFrcmlzaG5hbiIsImdpdmVuIjoiVmVua2F0cmFtYW4iLCJwYXJzZS1uYW1lcyI6ZmFsc2UsImRyb3BwaW5nLXBhcnRpY2xlIjoiIiwibm9uLWRyb3BwaW5nLXBhcnRpY2xlIjoiIn0seyJmYW1pbHkiOiJTZXRoIiwiZ2l2ZW4iOiJSYWNobmEiLCJwYXJzZS1uYW1lcyI6ZmFsc2UsImRyb3BwaW5nLXBhcnRpY2xlIjoiIiwibm9uLWRyb3BwaW5nLXBhcnRpY2xlIjoiIn0seyJmYW1pbHkiOiJBcm9yYSIsImdpdmVuIjoiQnJpamVzaCIsInBhcnNlLW5hbWVzIjpmYWxzZSwiZHJvcHBpbmctcGFydGljbGUiOiIiLCJub24tZHJvcHBpbmctcGFydGljbGUiOiIifSx7ImZhbWlseSI6Ik5hcnVsYSIsImdpdmVuIjoiR2F1cmF2IiwicGFyc2UtbmFtZXMiOmZhbHNlLCJkcm9wcGluZy1wYXJ0aWNsZSI6IiIsIm5vbi1kcm9wcGluZy1wYXJ0aWNsZSI6IiJ9LHsiZmFtaWx5IjoiU2luaGEiLCJnaXZlbiI6IlN1YmlyIiwicGFyc2UtbmFtZXMiOmZhbHNlLCJkcm9wcGluZy1wYXJ0aWNsZSI6IiIsIm5vbi1kcm9wcGluZy1wYXJ0aWNsZSI6IiJ9LHsiZmFtaWx5IjoiUm95IiwiZ2l2ZW4iOiJQcmFrcml0aSIsInBhcnNlLW5hbWVzIjpmYWxzZSwiZHJvcHBpbmctcGFydGljbGUiOiIiLCJub24tZHJvcHBpbmctcGFydGljbGUiOiIifSx7ImZhbWlseSI6IkdvZ29pIiwiZ2l2ZW4iOiJNYW5hc2ggUHJhdGltIiwicGFyc2UtbmFtZXMiOmZhbHNlLCJkcm9wcGluZy1wYXJ0aWNsZSI6IiIsIm5vbi1kcm9wcGluZy1wYXJ0aWNsZSI6IiJ9LHsiZmFtaWx5IjoiQ2hhdHRlcmplZSIsImdpdmVuIjoiU2F5YW4iLCJwYXJzZS1uYW1lcyI6ZmFsc2UsImRyb3BwaW5nLXBhcnRpY2xlIjoiIiwibm9uLWRyb3BwaW5nLXBhcnRpY2xlIjoiIn0seyJmYW1pbHkiOiJBYnJhaGFtIiwiZ2l2ZW4iOiJCaW5kaHUiLCJwYXJzZS1uYW1lcyI6ZmFsc2UsImRyb3BwaW5nLXBhcnRpY2xlIjoiIiwibm9uLWRyb3BwaW5nLXBhcnRpY2xlIjoiIn0seyJmYW1pbHkiOiJEYXMiLCJnaXZlbiI6IlBhcmFnIiwicGFyc2UtbmFtZXMiOmZhbHNlLCJkcm9wcGluZy1wYXJ0aWNsZSI6IiIsIm5vbi1kcm9wcGluZy1wYXJ0aWNsZSI6IiJ9LHsiZmFtaWx5IjoiU2FoYSIsImdpdmVuIjoiVmFza2FyIiwicGFyc2UtbmFtZXMiOmZhbHNlLCJkcm9wcGluZy1wYXJ0aWNsZSI6IiIsIm5vbi1kcm9wcGluZy1wYXJ0aWNsZSI6IiJ9LHsiZmFtaWx5IjoiS3Jpc2huYW4iLCJnaXZlbiI6IlNoZWtoYXIiLCJwYXJzZS1uYW1lcyI6ZmFsc2UsImRyb3BwaW5nLXBhcnRpY2xlIjoiIiwibm9uLWRyb3BwaW5nLXBhcnRpY2xlIjoiIn1dLCJjb250YWluZXItdGl0bGUiOiJUcmlhbHMiLCJjb250YWluZXItdGl0bGUtc2hvcnQiOiJUcmlhbHMiLCJhY2Nlc3NlZCI6eyJkYXRlLXBhcnRzIjpbWzIwMjMsNywyMV1dfSwiRE9JIjoiMTAuMTE4Ni9TMTMwNjMtMDIyLTA2MDMzLTEvRklHVVJFUy80IiwiSVNTTiI6IjE3NDU2MjE1IiwiUE1JRCI6IjM1MTAxMDk5IiwiVVJMIjoiaHR0cHM6Ly90cmlhbHNqb3VybmFsLmJpb21lZGNlbnRyYWwuY29tL2FydGljbGVzLzEwLjExODYvczEzMDYzLTAyMi0wNjAzMy0xIiwiaXNzdWVkIjp7ImRhdGUtcGFydHMiOltbMjAyMiwxMiwxXV19LCJwYWdlIjoiMS0yMCIsImFic3RyYWN0IjoiQmFja2dyb3VuZDogSW4gdGhlIHdlc3QsIHN1cnZpdmFsIGZvbGxvd2luZyB0cmVhdG1lbnQgb2YgY2hpbGRob29kIGFjdXRlIGx5bXBob2JsYXN0aWMgbGV1a2FlbWlhIChBTEwpIGFwcHJvYWNoZXMgOTAlLiBPdXRjb21lcyBpbiBJbmRpYSBkbyBub3QgZXhjZWVkIDcwJS4gVG8gYWRkcmVzcyB0aGlzIGRpc3Bhcml0eSwgdGhlIEluZGlhbiBDb2xsYWJvcmF0aXZlIENoaWxkaG9vZCBMZXVrYWVtaWEgZ3JvdXAgKElDaUNMZSkgZGV2ZWxvcGVkIGluIDIwMTMgYSBjb250ZW1wb3JhcnkgdHJlYXRtZW50IHByb3RvY29sIGZvciB1bmlmb3JtIHJpc2stc3RyYXRpZmllZCBtYW5hZ2VtZW50IG9mIGZpcnN0IHByZXNlbnRhdGlvbiBBTEwgYmFzZWQgb24gY3l0b2dlbmV0aWNzIGFuZCBtaW5pbWFsIHJlc2lkdWFsIGRpc2Vhc2UgbGV2ZWxzIChNUkQpLiBBIG11bHRpY2VudHJlIHJhbmRvbWlzZWQgY2xpbmljYWwgdHJpYWwgb3BlbmVkIGluIDIwMTYgKElDaUNMZS1BTEwtMTQpIGFuZCBleGFtaW5lcyB0aGUgYmVuZWZpdCBvZiByYW5kb21pc2VkIGludGVydmVudGlvbnMgdG8gZGVjcmVhc2UgdG94aWNpdHkgYW5kIGltcHJvdmUgb3V0Y29tZXMuIE1ldGhvZHM6IFBhdGllbnRzIDHigJMxOCB5ZWFycyB3aXRoIG5ld2x5IGRpYWdub3NlZCBBTEwgYXJlIGNhdGVnb3Jpc2VkIGludG8gZm91ciByaXNrIGdyb3VwcyBiYXNlZCBvbiBwcmVzZW50YXRpb24gZmVhdHVyZXMsIHR1bW91ciBnZW5ldGljcyBhbmQgdHJlYXRtZW50IHJlc3BvbnNlLiBTdGFuZGFyZCByaXNrIGluY2x1ZGVzIHlvdW5nICg8IDEwIHllYXJzKSBCIGNlbGwgcHJlY3Vyc29yIEFMTCAoQkNQLUFMTCkgcGF0aWVudHMgd2l0aCBsb3cgcHJlc2VudGF0aW9uIGxldWNvY3l0ZSBjb3VudCAoPCA1MCDDlyAxMDkvTCkgYW5kIG5vIGhpZ2gtcmlzayBmZWF0dXJlcy4gSW50ZXJtZWRpYXRlIHJpc2sgaW5jbHVkZXMgQkNQLUFMTCBwYXRpZW50cyB3aXRoIG5vIGhpZ2gtcmlzayBmZWF0dXJlcyBidXQgYXJlIG9sZGVyIGFuZCBoYXZlIGhpZ2ggcHJlc2VudGF0aW9uIGxldWNvY3l0ZSBjb3VudHMgYW5kL29yIGJ1bGt5IGRpc2Vhc2UuIEhpZ2ggcmlzayBpbmNsdWRlcyBCQ1AtQUxMIHBhdGllbnRzIHdpdGggYW55IGhpZ2gtcmlzayBmZWF0dXJlLCBpbmNsdWRpbmcgaGlnaC1yaXNrIGdlbmV0aWNzLCBjZW50cmFsIG5lcnZvdXMgc3lzdGVtIGxldWthZW1pYSwgcG9vciBwcmVkbmlzb2xvbmUgcmVzcG9uc2UgYXQgdHJlYXRtZW50IGRheSA4IGFuZCBoaWdoIE1SRCAo4omlIDDCtzAxJSkgYXQgdGhlIGVuZCBvZiBpbmR1Y3Rpb24uIFBhdGllbnRzIHdpdGggVC1saW5lYWdlIEFMTCBjb25zdGl0dXRlIHRoZSBmb3VydGggcmlzayBncm91cC4gQWxsIHBhdGllbnRzIHJlY2VpdmUgZm91ciBpbnRlbnNpdmUgdHJlYXRtZW50IGJsb2NrcyAoaW5kdWN0aW9uLCBjb25zb2xpZGF0aW9uLCBpbnRlcmltIG1haW50ZW5hbmNlLCBkZWxheWVkIGludGVuc2lmaWNhdGlvbikgZm9sbG93ZWQgYnkgOTYgd2Vla3Mgb2YgbWFpbnRlbmFuY2UuIFRyZWF0bWVudCBpbnRlbnNpdHkgdmFyaWVzIGJ5IHJpc2sgZ3JvdXAuIENsaW5pY2FsIGRhdGEgbWFuYWdlbWVudCBpcyBiYXNlZCBvbiBhIHdlYi1iYXNlZCByZW1vdGUgZGF0YSBjYXB0dXJlIHN5c3RlbS4gVGhlIGZpcnN0IHJhbmRvbWlzYXRpb24gZXhhbWluZXMgdGhlIHRveGljaXR5IGltcGFjdCBvZiBhIHNob3J0ZXIgaW5kdWN0aW9uIHNjaGVkdWxlIG9mIHByZWRuaXNvbG9uZSAoMyB2cyA1IHdlZWtzKSBpbiB5b3VuZyBub24taGlnaC1yaXNrIEJDUC1BTEwuIFRoZSBzZWNvbmQgcmFuZG9taXNhdGlvbiBleGFtaW5lcyB0aGUgc3Vydml2YWwgYmVuZWZpdCBvZiBzdWJzdGl0dXRpbmcgZG94b3J1YmljaW4gd2l0aCBtaXRveGFudHJvbmUgaW4gZGVsYXllZCBpbnRlbnNpZmljYXRpb24gZm9yIGFsbCBwYXRpZW50cy4gUHJpbWFyeSBvdXRjb21lIG1lYXN1cmVzIGluY2x1ZGUgZXZlbnQtZnJlZSBzdXJ2aXZhbCAob3ZlcmFsbCwgYnkgcmlzayBncm91cHMpLCBzZXBzaXMgcmF0ZXMgaW4gaW5kdWN0aW9uIChmaXJzdCByYW5kb21pc2F0aW9uKSBhbmQgZXZlbnQtZnJlZSBzdXJ2aXZhbCByYXRlcyBmb2xsb3dpbmcgc2Vjb25kIHJhbmRvbWlzYXRpb24uIERpc2N1c3Npb246IElDaUNMZS1BTEwtMTQgaXMgdGhlIGZpcnN0IG11bHRpY2VudHJlIHJhbmRvbWlzZWQgY2hpbGRob29kIGNhbmNlciBjbGluaWNhbCB0cmlhbCBpbiBJbmRpYS4gVGhlIHByZS10cmlhbCBwaGFzZSBhbGxvd2VkIHN0YW5kYXJkaXNhdGlvbiBvZiByaXNrLXN0cmF0aWZpY2F0aW9uIGRpYWdub3N0aWNzIGFuZCBlc3RhYmxpc2hlZCB0aGUgZmVhc2liaWxpdHkgb2YgY29sbGFib3JhdGl2ZSBwcmFjdGljZSwgdW5pZm9ybSB0cmVhdG1lbnQsIHBhdGllbnQgZW5yb2xtZW50IGFuZCBkYXRhIGNhcHR1cmUuIFByZS10cmlhbCBvYnNlcnZhdGlvbnMgY29uZmlybSB0aGUgaW1wYWN0IG9mIHJpc2stc3RyYXRpZmllZCB0aGVyYXB5IGluIHJlZHVjaW5nIHRyZWF0bWVudC1yZWxhdGVkIGRlYXRocyBhbmQgY29zdHMuIFVuaWZvcm0gcHJhY3RpY2UgYWNyb3NzIGNlbnRyZXMgYWxsb3dzIHBhdGllbnRzIHRvIGFjY2VzcyBjYXJlIGxvY2FsbHksIHBvdGVudGlhbGx5IGRlY3JlYXNpbmcgZmluYW5jaWFsIGhhcmRzaGlwIGFuZCBkaXNsb2NhdGlvbi4gVHJpYWwgcmVnaXN0cmF0aW9uOiBDbGluaWNhbCBUcmlhbHMgUmVnaXN0cnktSW5kaWEgKENUUkkpIENUUkkvMjAxNS8xMi8wMDY0MzQuIFJlZ2lzdGVyZWQgb24gMTEgRGVjZW1iZXIgMjAxNS4iLCJwdWJsaXNoZXIiOiJCaW9NZWQgQ2VudHJhbCBMdGQiLCJpc3N1ZSI6IjEiLCJ2b2x1bWUiOiIyMyJ9LCJpc1RlbXBvcmFyeSI6ZmFsc2V9XX0=&quot;,&quot;citationItems&quot;:[{&quot;id&quot;:&quot;6986930e-c982-3c6c-8a0c-3c4c9e12fcdf&quot;,&quot;itemData&quot;:{&quot;type&quot;:&quot;article-journal&quot;,&quot;id&quot;:&quot;6986930e-c982-3c6c-8a0c-3c4c9e12fcdf&quot;,&quot;title&quot;:&quot;Protocol for ICiCLe-ALL-14 (InPOG-ALL-15-01): a prospective, risk stratified, randomised, multicentre, open label, controlled therapeutic trial for newly diagnosed childhood acute lymphoblastic leukaemia in India&quot;,&quot;author&quot;:[{&quot;family&quot;:&quot;Das&quot;,&quot;given&quot;:&quot;Nandana&quot;,&quot;parse-names&quot;:false,&quot;dropping-particle&quot;:&quot;&quot;,&quot;non-dropping-particle&quot;:&quot;&quot;},{&quot;family&quot;:&quot;Banavali&quot;,&quot;given&quot;:&quot;Shripad&quot;,&quot;parse-names&quot;:false,&quot;dropping-particle&quot;:&quot;&quot;,&quot;non-dropping-particle&quot;:&quot;&quot;},{&quot;family&quot;:&quot;Bakhshi&quot;,&quot;given&quot;:&quot;Sameer&quot;,&quot;parse-names&quot;:false,&quot;dropping-particle&quot;:&quot;&quot;,&quot;non-dropping-particle&quot;:&quot;&quot;},{&quot;family&quot;:&quot;Trehan&quot;,&quot;given&quot;:&quot;Amita&quot;,&quot;parse-names&quot;:false,&quot;dropping-particle&quot;:&quot;&quot;,&quot;non-dropping-particle&quot;:&quot;&quot;},{&quot;family&quot;:&quot;Radhakrishnan&quot;,&quot;given&quot;:&quot;Venkatraman&quot;,&quot;parse-names&quot;:false,&quot;dropping-particle&quot;:&quot;&quot;,&quot;non-dropping-particle&quot;:&quot;&quot;},{&quot;family&quot;:&quot;Seth&quot;,&quot;given&quot;:&quot;Rachna&quot;,&quot;parse-names&quot;:false,&quot;dropping-particle&quot;:&quot;&quot;,&quot;non-dropping-particle&quot;:&quot;&quot;},{&quot;family&quot;:&quot;Arora&quot;,&quot;given&quot;:&quot;Brijesh&quot;,&quot;parse-names&quot;:false,&quot;dropping-particle&quot;:&quot;&quot;,&quot;non-dropping-particle&quot;:&quot;&quot;},{&quot;family&quot;:&quot;Narula&quot;,&quot;given&quot;:&quot;Gaurav&quot;,&quot;parse-names&quot;:false,&quot;dropping-particle&quot;:&quot;&quot;,&quot;non-dropping-particle&quot;:&quot;&quot;},{&quot;family&quot;:&quot;Sinha&quot;,&quot;given&quot;:&quot;Subir&quot;,&quot;parse-names&quot;:false,&quot;dropping-particle&quot;:&quot;&quot;,&quot;non-dropping-particle&quot;:&quot;&quot;},{&quot;family&quot;:&quot;Roy&quot;,&quot;given&quot;:&quot;Prakriti&quot;,&quot;parse-names&quot;:false,&quot;dropping-particle&quot;:&quot;&quot;,&quot;non-dropping-particle&quot;:&quot;&quot;},{&quot;family&quot;:&quot;Gogoi&quot;,&quot;given&quot;:&quot;Manash Pratim&quot;,&quot;parse-names&quot;:false,&quot;dropping-particle&quot;:&quot;&quot;,&quot;non-dropping-particle&quot;:&quot;&quot;},{&quot;family&quot;:&quot;Chatterjee&quot;,&quot;given&quot;:&quot;Sayan&quot;,&quot;parse-names&quot;:false,&quot;dropping-particle&quot;:&quot;&quot;,&quot;non-dropping-particle&quot;:&quot;&quot;},{&quot;family&quot;:&quot;Abraham&quot;,&quot;given&quot;:&quot;Bindhu&quot;,&quot;parse-names&quot;:false,&quot;dropping-particle&quot;:&quot;&quot;,&quot;non-dropping-particle&quot;:&quot;&quot;},{&quot;family&quot;:&quot;Das&quot;,&quot;given&quot;:&quot;Parag&quot;,&quot;parse-names&quot;:false,&quot;dropping-particle&quot;:&quot;&quot;,&quot;non-dropping-particle&quot;:&quot;&quot;},{&quot;family&quot;:&quot;Saha&quot;,&quot;given&quot;:&quot;Vaskar&quot;,&quot;parse-names&quot;:false,&quot;dropping-particle&quot;:&quot;&quot;,&quot;non-dropping-particle&quot;:&quot;&quot;},{&quot;family&quot;:&quot;Krishnan&quot;,&quot;given&quot;:&quot;Shekhar&quot;,&quot;parse-names&quot;:false,&quot;dropping-particle&quot;:&quot;&quot;,&quot;non-dropping-particle&quot;:&quot;&quot;}],&quot;container-title&quot;:&quot;Trials&quot;,&quot;container-title-short&quot;:&quot;Trials&quot;,&quot;accessed&quot;:{&quot;date-parts&quot;:[[2023,7,21]]},&quot;DOI&quot;:&quot;10.1186/S13063-022-06033-1/FIGURES/4&quot;,&quot;ISSN&quot;:&quot;17456215&quot;,&quot;PMID&quot;:&quot;35101099&quot;,&quot;URL&quot;:&quot;https://trialsjournal.biomedcentral.com/articles/10.1186/s13063-022-06033-1&quot;,&quot;issued&quot;:{&quot;date-parts&quot;:[[2022,12,1]]},&quot;page&quot;:&quot;1-20&quot;,&quot;abstract&quot;:&quot;Background: In the west, survival following treatment of childhood acute lymphoblastic leukaemia (ALL) approaches 90%. Outcomes in India do not exceed 70%. To address this disparity, the Indian Collaborative Childhood Leukaemia group (ICiCLe) developed in 2013 a contemporary treatment protocol for uniform risk-stratified management of first presentation ALL based on cytogenetics and minimal residual disease levels (MRD). A multicentre randomised clinical trial opened in 2016 (ICiCLe-ALL-14) and examines the benefit of randomised interventions to decrease toxicity and improve outcomes. Methods: Patients 1–18 years with newly diagnosed ALL are categorised into four risk groups based on presentation features, tumour genetics and treatment response. Standard risk includes young (&lt; 10 years) B cell precursor ALL (BCP-ALL) patients with low presentation leucocyte count (&lt; 50 × 109/L) and no high-risk features. Intermediate risk includes BCP-ALL patients with no high-risk features but are older and have high presentation leucocyte counts and/or bulky disease. High risk includes BCP-ALL patients with any high-risk feature, including high-risk genetics, central nervous system leukaemia, poor prednisolone response at treatment day 8 and high MRD (≥ 0·01%) at the end of induction. Patients with T-lineage ALL constitute the fourth risk group. All patients receive four intensive treatment blocks (induction, consolidation, interim maintenance, delayed intensification) followed by 96 weeks of maintenance. Treatment intensity varies by risk group. Clinical data management is based on a web-based remote data capture system. The first randomisation examines the toxicity impact of a shorter induction schedule of prednisolone (3 vs 5 weeks) in young non-high-risk BCP-ALL. The second randomisation examines the survival benefit of substituting doxorubicin with mitoxantrone in delayed intensification for all patients. Primary outcome measures include event-free survival (overall, by risk groups), sepsis rates in induction (first randomisation) and event-free survival rates following second randomisation. Discussion: ICiCLe-ALL-14 is the first multicentre randomised childhood cancer clinical trial in India. The pre-trial phase allowed standardisation of risk-stratification diagnostics and established the feasibility of collaborative practice, uniform treatment, patient enrolment and data capture. Pre-trial observations confirm the impact of risk-stratified therapy in reducing treatment-related deaths and costs. Uniform practice across centres allows patients to access care locally, potentially decreasing financial hardship and dislocation. Trial registration: Clinical Trials Registry-India (CTRI) CTRI/2015/12/006434. Registered on 11 December 2015.&quot;,&quot;publisher&quot;:&quot;BioMed Central Ltd&quot;,&quot;issue&quot;:&quot;1&quot;,&quot;volume&quot;:&quot;23&quot;},&quot;isTemporary&quot;:false}]},{&quot;citationID&quot;:&quot;MENDELEY_CITATION_e9dbddb0-7ef9-44dd-b65f-17746e9f749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lkYmRkYjAtN2VmOS00NGRkLWI2NWYtMTc3NDZlOWY3NDk0IiwicHJvcGVydGllcyI6eyJub3RlSW5kZXgiOjB9LCJpc0VkaXRlZCI6ZmFsc2UsIm1hbnVhbE92ZXJyaWRlIjp7ImlzTWFudWFsbHlPdmVycmlkZGVuIjpmYWxzZSwiY2l0ZXByb2NUZXh0IjoiPHN1cD4xPC9zdXA+IiwibWFudWFsT3ZlcnJpZGVUZXh0IjoiIn0sImNpdGF0aW9uSXRlbXMiOlt7ImlkIjoiNjk4NjkzMGUtYzk4Mi0zYzZjLThhMGMtM2M0YzllMTJmY2RmIiwiaXRlbURhdGEiOnsidHlwZSI6ImFydGljbGUtam91cm5hbCIsImlkIjoiNjk4NjkzMGUtYzk4Mi0zYzZjLThhMGMtM2M0YzllMTJmY2RmIiwidGl0bGUiOiJQcm90b2NvbCBmb3IgSUNpQ0xlLUFMTC0xNCAoSW5QT0ctQUxMLTE1LTAxKTogYSBwcm9zcGVjdGl2ZSwgcmlzayBzdHJhdGlmaWVkLCByYW5kb21pc2VkLCBtdWx0aWNlbnRyZSwgb3BlbiBsYWJlbCwgY29udHJvbGxlZCB0aGVyYXBldXRpYyB0cmlhbCBmb3IgbmV3bHkgZGlhZ25vc2VkIGNoaWxkaG9vZCBhY3V0ZSBseW1waG9ibGFzdGljIGxldWthZW1pYSBpbiBJbmRpYSIsImF1dGhvciI6W3siZmFtaWx5IjoiRGFzIiwiZ2l2ZW4iOiJOYW5kYW5hIiwicGFyc2UtbmFtZXMiOmZhbHNlLCJkcm9wcGluZy1wYXJ0aWNsZSI6IiIsIm5vbi1kcm9wcGluZy1wYXJ0aWNsZSI6IiJ9LHsiZmFtaWx5IjoiQmFuYXZhbGkiLCJnaXZlbiI6IlNocmlwYWQiLCJwYXJzZS1uYW1lcyI6ZmFsc2UsImRyb3BwaW5nLXBhcnRpY2xlIjoiIiwibm9uLWRyb3BwaW5nLXBhcnRpY2xlIjoiIn0seyJmYW1pbHkiOiJCYWtoc2hpIiwiZ2l2ZW4iOiJTYW1lZXIiLCJwYXJzZS1uYW1lcyI6ZmFsc2UsImRyb3BwaW5nLXBhcnRpY2xlIjoiIiwibm9uLWRyb3BwaW5nLXBhcnRpY2xlIjoiIn0seyJmYW1pbHkiOiJUcmVoYW4iLCJnaXZlbiI6IkFtaXRhIiwicGFyc2UtbmFtZXMiOmZhbHNlLCJkcm9wcGluZy1wYXJ0aWNsZSI6IiIsIm5vbi1kcm9wcGluZy1wYXJ0aWNsZSI6IiJ9LHsiZmFtaWx5IjoiUmFkaGFrcmlzaG5hbiIsImdpdmVuIjoiVmVua2F0cmFtYW4iLCJwYXJzZS1uYW1lcyI6ZmFsc2UsImRyb3BwaW5nLXBhcnRpY2xlIjoiIiwibm9uLWRyb3BwaW5nLXBhcnRpY2xlIjoiIn0seyJmYW1pbHkiOiJTZXRoIiwiZ2l2ZW4iOiJSYWNobmEiLCJwYXJzZS1uYW1lcyI6ZmFsc2UsImRyb3BwaW5nLXBhcnRpY2xlIjoiIiwibm9uLWRyb3BwaW5nLXBhcnRpY2xlIjoiIn0seyJmYW1pbHkiOiJBcm9yYSIsImdpdmVuIjoiQnJpamVzaCIsInBhcnNlLW5hbWVzIjpmYWxzZSwiZHJvcHBpbmctcGFydGljbGUiOiIiLCJub24tZHJvcHBpbmctcGFydGljbGUiOiIifSx7ImZhbWlseSI6Ik5hcnVsYSIsImdpdmVuIjoiR2F1cmF2IiwicGFyc2UtbmFtZXMiOmZhbHNlLCJkcm9wcGluZy1wYXJ0aWNsZSI6IiIsIm5vbi1kcm9wcGluZy1wYXJ0aWNsZSI6IiJ9LHsiZmFtaWx5IjoiU2luaGEiLCJnaXZlbiI6IlN1YmlyIiwicGFyc2UtbmFtZXMiOmZhbHNlLCJkcm9wcGluZy1wYXJ0aWNsZSI6IiIsIm5vbi1kcm9wcGluZy1wYXJ0aWNsZSI6IiJ9LHsiZmFtaWx5IjoiUm95IiwiZ2l2ZW4iOiJQcmFrcml0aSIsInBhcnNlLW5hbWVzIjpmYWxzZSwiZHJvcHBpbmctcGFydGljbGUiOiIiLCJub24tZHJvcHBpbmctcGFydGljbGUiOiIifSx7ImZhbWlseSI6IkdvZ29pIiwiZ2l2ZW4iOiJNYW5hc2ggUHJhdGltIiwicGFyc2UtbmFtZXMiOmZhbHNlLCJkcm9wcGluZy1wYXJ0aWNsZSI6IiIsIm5vbi1kcm9wcGluZy1wYXJ0aWNsZSI6IiJ9LHsiZmFtaWx5IjoiQ2hhdHRlcmplZSIsImdpdmVuIjoiU2F5YW4iLCJwYXJzZS1uYW1lcyI6ZmFsc2UsImRyb3BwaW5nLXBhcnRpY2xlIjoiIiwibm9uLWRyb3BwaW5nLXBhcnRpY2xlIjoiIn0seyJmYW1pbHkiOiJBYnJhaGFtIiwiZ2l2ZW4iOiJCaW5kaHUiLCJwYXJzZS1uYW1lcyI6ZmFsc2UsImRyb3BwaW5nLXBhcnRpY2xlIjoiIiwibm9uLWRyb3BwaW5nLXBhcnRpY2xlIjoiIn0seyJmYW1pbHkiOiJEYXMiLCJnaXZlbiI6IlBhcmFnIiwicGFyc2UtbmFtZXMiOmZhbHNlLCJkcm9wcGluZy1wYXJ0aWNsZSI6IiIsIm5vbi1kcm9wcGluZy1wYXJ0aWNsZSI6IiJ9LHsiZmFtaWx5IjoiU2FoYSIsImdpdmVuIjoiVmFza2FyIiwicGFyc2UtbmFtZXMiOmZhbHNlLCJkcm9wcGluZy1wYXJ0aWNsZSI6IiIsIm5vbi1kcm9wcGluZy1wYXJ0aWNsZSI6IiJ9LHsiZmFtaWx5IjoiS3Jpc2huYW4iLCJnaXZlbiI6IlNoZWtoYXIiLCJwYXJzZS1uYW1lcyI6ZmFsc2UsImRyb3BwaW5nLXBhcnRpY2xlIjoiIiwibm9uLWRyb3BwaW5nLXBhcnRpY2xlIjoiIn1dLCJjb250YWluZXItdGl0bGUiOiJUcmlhbHMiLCJjb250YWluZXItdGl0bGUtc2hvcnQiOiJUcmlhbHMiLCJhY2Nlc3NlZCI6eyJkYXRlLXBhcnRzIjpbWzIwMjMsNywyMV1dfSwiRE9JIjoiMTAuMTE4Ni9TMTMwNjMtMDIyLTA2MDMzLTEvRklHVVJFUy80IiwiSVNTTiI6IjE3NDU2MjE1IiwiUE1JRCI6IjM1MTAxMDk5IiwiVVJMIjoiaHR0cHM6Ly90cmlhbHNqb3VybmFsLmJpb21lZGNlbnRyYWwuY29tL2FydGljbGVzLzEwLjExODYvczEzMDYzLTAyMi0wNjAzMy0xIiwiaXNzdWVkIjp7ImRhdGUtcGFydHMiOltbMjAyMiwxMiwxXV19LCJwYWdlIjoiMS0yMCIsImFic3RyYWN0IjoiQmFja2dyb3VuZDogSW4gdGhlIHdlc3QsIHN1cnZpdmFsIGZvbGxvd2luZyB0cmVhdG1lbnQgb2YgY2hpbGRob29kIGFjdXRlIGx5bXBob2JsYXN0aWMgbGV1a2FlbWlhIChBTEwpIGFwcHJvYWNoZXMgOTAlLiBPdXRjb21lcyBpbiBJbmRpYSBkbyBub3QgZXhjZWVkIDcwJS4gVG8gYWRkcmVzcyB0aGlzIGRpc3Bhcml0eSwgdGhlIEluZGlhbiBDb2xsYWJvcmF0aXZlIENoaWxkaG9vZCBMZXVrYWVtaWEgZ3JvdXAgKElDaUNMZSkgZGV2ZWxvcGVkIGluIDIwMTMgYSBjb250ZW1wb3JhcnkgdHJlYXRtZW50IHByb3RvY29sIGZvciB1bmlmb3JtIHJpc2stc3RyYXRpZmllZCBtYW5hZ2VtZW50IG9mIGZpcnN0IHByZXNlbnRhdGlvbiBBTEwgYmFzZWQgb24gY3l0b2dlbmV0aWNzIGFuZCBtaW5pbWFsIHJlc2lkdWFsIGRpc2Vhc2UgbGV2ZWxzIChNUkQpLiBBIG11bHRpY2VudHJlIHJhbmRvbWlzZWQgY2xpbmljYWwgdHJpYWwgb3BlbmVkIGluIDIwMTYgKElDaUNMZS1BTEwtMTQpIGFuZCBleGFtaW5lcyB0aGUgYmVuZWZpdCBvZiByYW5kb21pc2VkIGludGVydmVudGlvbnMgdG8gZGVjcmVhc2UgdG94aWNpdHkgYW5kIGltcHJvdmUgb3V0Y29tZXMuIE1ldGhvZHM6IFBhdGllbnRzIDHigJMxOCB5ZWFycyB3aXRoIG5ld2x5IGRpYWdub3NlZCBBTEwgYXJlIGNhdGVnb3Jpc2VkIGludG8gZm91ciByaXNrIGdyb3VwcyBiYXNlZCBvbiBwcmVzZW50YXRpb24gZmVhdHVyZXMsIHR1bW91ciBnZW5ldGljcyBhbmQgdHJlYXRtZW50IHJlc3BvbnNlLiBTdGFuZGFyZCByaXNrIGluY2x1ZGVzIHlvdW5nICg8IDEwIHllYXJzKSBCIGNlbGwgcHJlY3Vyc29yIEFMTCAoQkNQLUFMTCkgcGF0aWVudHMgd2l0aCBsb3cgcHJlc2VudGF0aW9uIGxldWNvY3l0ZSBjb3VudCAoPCA1MCDDlyAxMDkvTCkgYW5kIG5vIGhpZ2gtcmlzayBmZWF0dXJlcy4gSW50ZXJtZWRpYXRlIHJpc2sgaW5jbHVkZXMgQkNQLUFMTCBwYXRpZW50cyB3aXRoIG5vIGhpZ2gtcmlzayBmZWF0dXJlcyBidXQgYXJlIG9sZGVyIGFuZCBoYXZlIGhpZ2ggcHJlc2VudGF0aW9uIGxldWNvY3l0ZSBjb3VudHMgYW5kL29yIGJ1bGt5IGRpc2Vhc2UuIEhpZ2ggcmlzayBpbmNsdWRlcyBCQ1AtQUxMIHBhdGllbnRzIHdpdGggYW55IGhpZ2gtcmlzayBmZWF0dXJlLCBpbmNsdWRpbmcgaGlnaC1yaXNrIGdlbmV0aWNzLCBjZW50cmFsIG5lcnZvdXMgc3lzdGVtIGxldWthZW1pYSwgcG9vciBwcmVkbmlzb2xvbmUgcmVzcG9uc2UgYXQgdHJlYXRtZW50IGRheSA4IGFuZCBoaWdoIE1SRCAo4omlIDDCtzAxJSkgYXQgdGhlIGVuZCBvZiBpbmR1Y3Rpb24uIFBhdGllbnRzIHdpdGggVC1saW5lYWdlIEFMTCBjb25zdGl0dXRlIHRoZSBmb3VydGggcmlzayBncm91cC4gQWxsIHBhdGllbnRzIHJlY2VpdmUgZm91ciBpbnRlbnNpdmUgdHJlYXRtZW50IGJsb2NrcyAoaW5kdWN0aW9uLCBjb25zb2xpZGF0aW9uLCBpbnRlcmltIG1haW50ZW5hbmNlLCBkZWxheWVkIGludGVuc2lmaWNhdGlvbikgZm9sbG93ZWQgYnkgOTYgd2Vla3Mgb2YgbWFpbnRlbmFuY2UuIFRyZWF0bWVudCBpbnRlbnNpdHkgdmFyaWVzIGJ5IHJpc2sgZ3JvdXAuIENsaW5pY2FsIGRhdGEgbWFuYWdlbWVudCBpcyBiYXNlZCBvbiBhIHdlYi1iYXNlZCByZW1vdGUgZGF0YSBjYXB0dXJlIHN5c3RlbS4gVGhlIGZpcnN0IHJhbmRvbWlzYXRpb24gZXhhbWluZXMgdGhlIHRveGljaXR5IGltcGFjdCBvZiBhIHNob3J0ZXIgaW5kdWN0aW9uIHNjaGVkdWxlIG9mIHByZWRuaXNvbG9uZSAoMyB2cyA1IHdlZWtzKSBpbiB5b3VuZyBub24taGlnaC1yaXNrIEJDUC1BTEwuIFRoZSBzZWNvbmQgcmFuZG9taXNhdGlvbiBleGFtaW5lcyB0aGUgc3Vydml2YWwgYmVuZWZpdCBvZiBzdWJzdGl0dXRpbmcgZG94b3J1YmljaW4gd2l0aCBtaXRveGFudHJvbmUgaW4gZGVsYXllZCBpbnRlbnNpZmljYXRpb24gZm9yIGFsbCBwYXRpZW50cy4gUHJpbWFyeSBvdXRjb21lIG1lYXN1cmVzIGluY2x1ZGUgZXZlbnQtZnJlZSBzdXJ2aXZhbCAob3ZlcmFsbCwgYnkgcmlzayBncm91cHMpLCBzZXBzaXMgcmF0ZXMgaW4gaW5kdWN0aW9uIChmaXJzdCByYW5kb21pc2F0aW9uKSBhbmQgZXZlbnQtZnJlZSBzdXJ2aXZhbCByYXRlcyBmb2xsb3dpbmcgc2Vjb25kIHJhbmRvbWlzYXRpb24uIERpc2N1c3Npb246IElDaUNMZS1BTEwtMTQgaXMgdGhlIGZpcnN0IG11bHRpY2VudHJlIHJhbmRvbWlzZWQgY2hpbGRob29kIGNhbmNlciBjbGluaWNhbCB0cmlhbCBpbiBJbmRpYS4gVGhlIHByZS10cmlhbCBwaGFzZSBhbGxvd2VkIHN0YW5kYXJkaXNhdGlvbiBvZiByaXNrLXN0cmF0aWZpY2F0aW9uIGRpYWdub3N0aWNzIGFuZCBlc3RhYmxpc2hlZCB0aGUgZmVhc2liaWxpdHkgb2YgY29sbGFib3JhdGl2ZSBwcmFjdGljZSwgdW5pZm9ybSB0cmVhdG1lbnQsIHBhdGllbnQgZW5yb2xtZW50IGFuZCBkYXRhIGNhcHR1cmUuIFByZS10cmlhbCBvYnNlcnZhdGlvbnMgY29uZmlybSB0aGUgaW1wYWN0IG9mIHJpc2stc3RyYXRpZmllZCB0aGVyYXB5IGluIHJlZHVjaW5nIHRyZWF0bWVudC1yZWxhdGVkIGRlYXRocyBhbmQgY29zdHMuIFVuaWZvcm0gcHJhY3RpY2UgYWNyb3NzIGNlbnRyZXMgYWxsb3dzIHBhdGllbnRzIHRvIGFjY2VzcyBjYXJlIGxvY2FsbHksIHBvdGVudGlhbGx5IGRlY3JlYXNpbmcgZmluYW5jaWFsIGhhcmRzaGlwIGFuZCBkaXNsb2NhdGlvbi4gVHJpYWwgcmVnaXN0cmF0aW9uOiBDbGluaWNhbCBUcmlhbHMgUmVnaXN0cnktSW5kaWEgKENUUkkpIENUUkkvMjAxNS8xMi8wMDY0MzQuIFJlZ2lzdGVyZWQgb24gMTEgRGVjZW1iZXIgMjAxNS4iLCJwdWJsaXNoZXIiOiJCaW9NZWQgQ2VudHJhbCBMdGQiLCJpc3N1ZSI6IjEiLCJ2b2x1bWUiOiIyMyJ9LCJpc1RlbXBvcmFyeSI6ZmFsc2V9XX0=&quot;,&quot;citationItems&quot;:[{&quot;id&quot;:&quot;6986930e-c982-3c6c-8a0c-3c4c9e12fcdf&quot;,&quot;itemData&quot;:{&quot;type&quot;:&quot;article-journal&quot;,&quot;id&quot;:&quot;6986930e-c982-3c6c-8a0c-3c4c9e12fcdf&quot;,&quot;title&quot;:&quot;Protocol for ICiCLe-ALL-14 (InPOG-ALL-15-01): a prospective, risk stratified, randomised, multicentre, open label, controlled therapeutic trial for newly diagnosed childhood acute lymphoblastic leukaemia in India&quot;,&quot;author&quot;:[{&quot;family&quot;:&quot;Das&quot;,&quot;given&quot;:&quot;Nandana&quot;,&quot;parse-names&quot;:false,&quot;dropping-particle&quot;:&quot;&quot;,&quot;non-dropping-particle&quot;:&quot;&quot;},{&quot;family&quot;:&quot;Banavali&quot;,&quot;given&quot;:&quot;Shripad&quot;,&quot;parse-names&quot;:false,&quot;dropping-particle&quot;:&quot;&quot;,&quot;non-dropping-particle&quot;:&quot;&quot;},{&quot;family&quot;:&quot;Bakhshi&quot;,&quot;given&quot;:&quot;Sameer&quot;,&quot;parse-names&quot;:false,&quot;dropping-particle&quot;:&quot;&quot;,&quot;non-dropping-particle&quot;:&quot;&quot;},{&quot;family&quot;:&quot;Trehan&quot;,&quot;given&quot;:&quot;Amita&quot;,&quot;parse-names&quot;:false,&quot;dropping-particle&quot;:&quot;&quot;,&quot;non-dropping-particle&quot;:&quot;&quot;},{&quot;family&quot;:&quot;Radhakrishnan&quot;,&quot;given&quot;:&quot;Venkatraman&quot;,&quot;parse-names&quot;:false,&quot;dropping-particle&quot;:&quot;&quot;,&quot;non-dropping-particle&quot;:&quot;&quot;},{&quot;family&quot;:&quot;Seth&quot;,&quot;given&quot;:&quot;Rachna&quot;,&quot;parse-names&quot;:false,&quot;dropping-particle&quot;:&quot;&quot;,&quot;non-dropping-particle&quot;:&quot;&quot;},{&quot;family&quot;:&quot;Arora&quot;,&quot;given&quot;:&quot;Brijesh&quot;,&quot;parse-names&quot;:false,&quot;dropping-particle&quot;:&quot;&quot;,&quot;non-dropping-particle&quot;:&quot;&quot;},{&quot;family&quot;:&quot;Narula&quot;,&quot;given&quot;:&quot;Gaurav&quot;,&quot;parse-names&quot;:false,&quot;dropping-particle&quot;:&quot;&quot;,&quot;non-dropping-particle&quot;:&quot;&quot;},{&quot;family&quot;:&quot;Sinha&quot;,&quot;given&quot;:&quot;Subir&quot;,&quot;parse-names&quot;:false,&quot;dropping-particle&quot;:&quot;&quot;,&quot;non-dropping-particle&quot;:&quot;&quot;},{&quot;family&quot;:&quot;Roy&quot;,&quot;given&quot;:&quot;Prakriti&quot;,&quot;parse-names&quot;:false,&quot;dropping-particle&quot;:&quot;&quot;,&quot;non-dropping-particle&quot;:&quot;&quot;},{&quot;family&quot;:&quot;Gogoi&quot;,&quot;given&quot;:&quot;Manash Pratim&quot;,&quot;parse-names&quot;:false,&quot;dropping-particle&quot;:&quot;&quot;,&quot;non-dropping-particle&quot;:&quot;&quot;},{&quot;family&quot;:&quot;Chatterjee&quot;,&quot;given&quot;:&quot;Sayan&quot;,&quot;parse-names&quot;:false,&quot;dropping-particle&quot;:&quot;&quot;,&quot;non-dropping-particle&quot;:&quot;&quot;},{&quot;family&quot;:&quot;Abraham&quot;,&quot;given&quot;:&quot;Bindhu&quot;,&quot;parse-names&quot;:false,&quot;dropping-particle&quot;:&quot;&quot;,&quot;non-dropping-particle&quot;:&quot;&quot;},{&quot;family&quot;:&quot;Das&quot;,&quot;given&quot;:&quot;Parag&quot;,&quot;parse-names&quot;:false,&quot;dropping-particle&quot;:&quot;&quot;,&quot;non-dropping-particle&quot;:&quot;&quot;},{&quot;family&quot;:&quot;Saha&quot;,&quot;given&quot;:&quot;Vaskar&quot;,&quot;parse-names&quot;:false,&quot;dropping-particle&quot;:&quot;&quot;,&quot;non-dropping-particle&quot;:&quot;&quot;},{&quot;family&quot;:&quot;Krishnan&quot;,&quot;given&quot;:&quot;Shekhar&quot;,&quot;parse-names&quot;:false,&quot;dropping-particle&quot;:&quot;&quot;,&quot;non-dropping-particle&quot;:&quot;&quot;}],&quot;container-title&quot;:&quot;Trials&quot;,&quot;container-title-short&quot;:&quot;Trials&quot;,&quot;accessed&quot;:{&quot;date-parts&quot;:[[2023,7,21]]},&quot;DOI&quot;:&quot;10.1186/S13063-022-06033-1/FIGURES/4&quot;,&quot;ISSN&quot;:&quot;17456215&quot;,&quot;PMID&quot;:&quot;35101099&quot;,&quot;URL&quot;:&quot;https://trialsjournal.biomedcentral.com/articles/10.1186/s13063-022-06033-1&quot;,&quot;issued&quot;:{&quot;date-parts&quot;:[[2022,12,1]]},&quot;page&quot;:&quot;1-20&quot;,&quot;abstract&quot;:&quot;Background: In the west, survival following treatment of childhood acute lymphoblastic leukaemia (ALL) approaches 90%. Outcomes in India do not exceed 70%. To address this disparity, the Indian Collaborative Childhood Leukaemia group (ICiCLe) developed in 2013 a contemporary treatment protocol for uniform risk-stratified management of first presentation ALL based on cytogenetics and minimal residual disease levels (MRD). A multicentre randomised clinical trial opened in 2016 (ICiCLe-ALL-14) and examines the benefit of randomised interventions to decrease toxicity and improve outcomes. Methods: Patients 1–18 years with newly diagnosed ALL are categorised into four risk groups based on presentation features, tumour genetics and treatment response. Standard risk includes young (&lt; 10 years) B cell precursor ALL (BCP-ALL) patients with low presentation leucocyte count (&lt; 50 × 109/L) and no high-risk features. Intermediate risk includes BCP-ALL patients with no high-risk features but are older and have high presentation leucocyte counts and/or bulky disease. High risk includes BCP-ALL patients with any high-risk feature, including high-risk genetics, central nervous system leukaemia, poor prednisolone response at treatment day 8 and high MRD (≥ 0·01%) at the end of induction. Patients with T-lineage ALL constitute the fourth risk group. All patients receive four intensive treatment blocks (induction, consolidation, interim maintenance, delayed intensification) followed by 96 weeks of maintenance. Treatment intensity varies by risk group. Clinical data management is based on a web-based remote data capture system. The first randomisation examines the toxicity impact of a shorter induction schedule of prednisolone (3 vs 5 weeks) in young non-high-risk BCP-ALL. The second randomisation examines the survival benefit of substituting doxorubicin with mitoxantrone in delayed intensification for all patients. Primary outcome measures include event-free survival (overall, by risk groups), sepsis rates in induction (first randomisation) and event-free survival rates following second randomisation. Discussion: ICiCLe-ALL-14 is the first multicentre randomised childhood cancer clinical trial in India. The pre-trial phase allowed standardisation of risk-stratification diagnostics and established the feasibility of collaborative practice, uniform treatment, patient enrolment and data capture. Pre-trial observations confirm the impact of risk-stratified therapy in reducing treatment-related deaths and costs. Uniform practice across centres allows patients to access care locally, potentially decreasing financial hardship and dislocation. Trial registration: Clinical Trials Registry-India (CTRI) CTRI/2015/12/006434. Registered on 11 December 2015.&quot;,&quot;publisher&quot;:&quot;BioMed Central Ltd&quot;,&quot;issue&quot;:&quot;1&quot;,&quot;volume&quot;:&quot;23&quot;},&quot;isTemporary&quot;:false}]},{&quot;citationID&quot;:&quot;MENDELEY_CITATION_d6b6f9cf-0b75-4a0f-bb81-598a15351fa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DZiNmY5Y2YtMGI3NS00YTBmLWJiODEtNTk4YTE1MzUxZmE0IiwicHJvcGVydGllcyI6eyJub3RlSW5kZXgiOjB9LCJpc0VkaXRlZCI6ZmFsc2UsIm1hbnVhbE92ZXJyaWRlIjp7ImlzTWFudWFsbHlPdmVycmlkZGVuIjpmYWxzZSwiY2l0ZXByb2NUZXh0IjoiPHN1cD4yPC9zdXA+IiwibWFudWFsT3ZlcnJpZGVUZXh0IjoiIn0sImNpdGF0aW9uSXRlbXMiOlt7ImlkIjoiMjJlZGViMWQtZjRkNi0zMjVlLWFkZTYtNGNiMTMwMmJiNjFkIiwiaXRlbURhdGEiOnsidHlwZSI6ImFydGljbGUtam91cm5hbCIsImlkIjoiMjJlZGViMWQtZjRkNi0zMjVlLWFkZTYtNGNiMTMwMmJiNjFkIiwidGl0bGUiOiJOQVJBU0lNSEE6IE5vdmVsIEFzc2F5IGJhc2VkIG9uIFRhcmdldGVkIFJOQSBTZXF1ZW5jaW5nIHRvIElkZW50aWZ5IENoaU1lcmljIEdlbmUgRnVzaW9ucyBpbiBIZW1hdG9sb2dpY2FsIE1hbGlnbmFuY2llcyIsImF1dGhvciI6W3siZmFtaWx5IjoiUGF0a2FyIiwiZ2l2ZW4iOiJOaWtoaWwiLCJwYXJzZS1uYW1lcyI6ZmFsc2UsImRyb3BwaW5nLXBhcnRpY2xlIjoiIiwibm9uLWRyb3BwaW5nLXBhcnRpY2xlIjoiIn0seyJmYW1pbHkiOiJCaGFuc2hlIiwiZ2l2ZW4iOiJQcmFzYW5uYSIsInBhcnNlLW5hbWVzIjpmYWxzZSwiZHJvcHBpbmctcGFydGljbGUiOiIiLCJub24tZHJvcHBpbmctcGFydGljbGUiOiIifSx7ImZhbWlseSI6IlJhanBhbCIsImdpdmVuIjoiU3dldGEiLCJwYXJzZS1uYW1lcyI6ZmFsc2UsImRyb3BwaW5nLXBhcnRpY2xlIjoiIiwibm9uLWRyb3BwaW5nLXBhcnRpY2xlIjoiIn0seyJmYW1pbHkiOiJKb3NoaSIsImdpdmVuIjoiU3dhcG5hbGkiLCJwYXJzZS1uYW1lcyI6ZmFsc2UsImRyb3BwaW5nLXBhcnRpY2xlIjoiIiwibm9uLWRyb3BwaW5nLXBhcnRpY2xlIjoiIn0seyJmYW1pbHkiOiJDaGF1ZGhhcnkiLCJnaXZlbiI6IlNocnV0aSIsInBhcnNlLW5hbWVzIjpmYWxzZSwiZHJvcHBpbmctcGFydGljbGUiOiIiLCJub24tZHJvcHBpbmctcGFydGljbGUiOiIifSx7ImZhbWlseSI6IkNoYXR0ZXJqZWUiLCJnaXZlbiI6IkdhdXJhdiIsInBhcnNlLW5hbWVzIjpmYWxzZSwiZHJvcHBpbmctcGFydGljbGUiOiIiLCJub24tZHJvcHBpbmctcGFydGljbGUiOiIifSx7ImZhbWlseSI6IlRlbWJoYXJlIiwiZ2l2ZW4iOiJQcmFzaGFudCIsInBhcnNlLW5hbWVzIjpmYWxzZSwiZHJvcHBpbmctcGFydGljbGUiOiIiLCJub24tZHJvcHBpbmctcGFydGljbGUiOiIifSx7ImZhbWlseSI6IkRoYW1uZSIsImdpdmVuIjoiQ2hldGFuIiwicGFyc2UtbmFtZXMiOmZhbHNlLCJkcm9wcGluZy1wYXJ0aWNsZSI6IiIsIm5vbi1kcm9wcGluZy1wYXJ0aWNsZSI6IiJ9LHsiZmFtaWx5IjoiUHJhc2FkIiwiZ2l2ZW4iOiJNYXlhIiwicGFyc2UtbmFtZXMiOmZhbHNlLCJkcm9wcGluZy1wYXJ0aWNsZSI6IiIsIm5vbi1kcm9wcGluZy1wYXJ0aWNsZSI6IiJ9LHsiZmFtaWx5IjoiTW91bGlrIiwiZ2l2ZW4iOiJOaXJtYWx5YSBSb3kiLCJwYXJzZS1uYW1lcyI6ZmFsc2UsImRyb3BwaW5nLXBhcnRpY2xlIjoiIiwibm9uLWRyb3BwaW5nLXBhcnRpY2xlIjoiIn0seyJmYW1pbHkiOiJTaGV0dHkiLCJnaXZlbiI6IkRoYW5hbGF4bWkiLCJwYXJzZS1uYW1lcyI6ZmFsc2UsImRyb3BwaW5nLXBhcnRpY2xlIjoiIiwibm9uLWRyb3BwaW5nLXBhcnRpY2xlIjoiIn0seyJmYW1pbHkiOiJHb2thcm4iLCJnaXZlbiI6IkFuYW50IiwicGFyc2UtbmFtZXMiOmZhbHNlLCJkcm9wcGluZy1wYXJ0aWNsZSI6IiIsIm5vbi1kcm9wcGluZy1wYXJ0aWNsZSI6IiJ9LHsiZmFtaWx5IjoiQm9uZGEiLCJnaXZlbiI6IkF2aW5hc2giLCJwYXJzZS1uYW1lcyI6ZmFsc2UsImRyb3BwaW5nLXBhcnRpY2xlIjoiIiwibm9uLWRyb3BwaW5nLXBhcnRpY2xlIjoiIn0seyJmYW1pbHkiOiJOYXlhayIsImdpdmVuIjoiTGluZ2FyYWoiLCJwYXJzZS1uYW1lcyI6ZmFsc2UsImRyb3BwaW5nLXBhcnRpY2xlIjoiIiwibm9uLWRyb3BwaW5nLXBhcnRpY2xlIjoiIn0seyJmYW1pbHkiOiJQdW5hdGthciIsImdpdmVuIjoiU2FjaGluIiwicGFyc2UtbmFtZXMiOmZhbHNlLCJkcm9wcGluZy1wYXJ0aWNsZSI6IiIsIm5vbi1kcm9wcGluZy1wYXJ0aWNsZSI6IiJ9LHsiZmFtaWx5IjoiQmFnYWwiLCJnaXZlbiI6IkJoYXVzYWhlYiIsInBhcnNlLW5hbWVzIjpmYWxzZSwiZHJvcHBpbmctcGFydGljbGUiOiIiLCJub24tZHJvcHBpbmctcGFydGljbGUiOiIifSx7ImZhbWlseSI6IlNlbmdhciIsImdpdmVuIjoiTWFuanUiLCJwYXJzZS1uYW1lcyI6ZmFsc2UsImRyb3BwaW5nLXBhcnRpY2xlIjoiIiwibm9uLWRyb3BwaW5nLXBhcnRpY2xlIjoiIn0seyJmYW1pbHkiOiJOYXJ1bGEiLCJnaXZlbiI6IkdhdXJhdiIsInBhcnNlLW5hbWVzIjpmYWxzZSwiZHJvcHBpbmctcGFydGljbGUiOiIiLCJub24tZHJvcHBpbmctcGFydGljbGUiOiIifSx7ImZhbWlseSI6IktoYXR0cnkiLCJnaXZlbiI6Ik5hdmluIiwicGFyc2UtbmFtZXMiOmZhbHNlLCJkcm9wcGluZy1wYXJ0aWNsZSI6IiIsIm5vbi1kcm9wcGluZy1wYXJ0aWNsZSI6IiJ9LHsiZmFtaWx5IjoiQmFuYXZhbGkiLCJnaXZlbiI6IlNocmlwYWQiLCJwYXJzZS1uYW1lcyI6ZmFsc2UsImRyb3BwaW5nLXBhcnRpY2xlIjoiIiwibm9uLWRyb3BwaW5nLXBhcnRpY2xlIjoiIn0seyJmYW1pbHkiOiJTdWJyYW1hbmlhbiIsImdpdmVuIjoiUC4gRy4iLCJwYXJzZS1uYW1lcyI6ZmFsc2UsImRyb3BwaW5nLXBhcnRpY2xlIjoiIiwibm9uLWRyb3BwaW5nLXBhcnRpY2xlIjoiIn0seyJmYW1pbHkiOiJHdWpyYWwiLCJnaXZlbiI6IlN1bWVldCIsInBhcnNlLW5hbWVzIjpmYWxzZSwiZHJvcHBpbmctcGFydGljbGUiOiIiLCJub24tZHJvcHBpbmctcGFydGljbGUiOiIifV0sImNvbnRhaW5lci10aXRsZSI6IkJsb29kIENhbmNlciBKb3VybmFsIDIwMjAgMTA6NSIsImFjY2Vzc2VkIjp7ImRhdGUtcGFydHMiOltbMjAyMyw3LDIwXV19LCJET0kiOiIxMC4xMDM4L3M0MTQwOC0wMjAtMDMxMy02IiwiSVNTTiI6IjIwNDQtNTM4NSIsIlBNSUQiOiIzMjM3MjAyNCIsIlVSTCI6Imh0dHBzOi8vd3d3Lm5hdHVyZS5jb20vYXJ0aWNsZXMvczQxNDA4LTAyMC0wMzEzLTYiLCJpc3N1ZWQiOnsiZGF0ZS1wYXJ0cyI6W1syMDIwLDUsNV1dfSwicGFnZSI6IjEtNCIsInB1Ymxpc2hlciI6Ik5hdHVyZSBQdWJsaXNoaW5nIEdyb3VwIiwiaXNzdWUiOiI1Iiwidm9sdW1lIjoiMTAiLCJjb250YWluZXItdGl0bGUtc2hvcnQiOiIifSwiaXNUZW1wb3JhcnkiOmZhbHNlfV19&quot;,&quot;citationItems&quot;:[{&quot;id&quot;:&quot;22edeb1d-f4d6-325e-ade6-4cb1302bb61d&quot;,&quot;itemData&quot;:{&quot;type&quot;:&quot;article-journal&quot;,&quot;id&quot;:&quot;22edeb1d-f4d6-325e-ade6-4cb1302bb61d&quot;,&quot;title&quot;:&quot;NARASIMHA: Novel Assay based on Targeted RNA Sequencing to Identify ChiMeric Gene Fusions in Hematological Malignancies&quot;,&quot;author&quot;:[{&quot;family&quot;:&quot;Patkar&quot;,&quot;given&quot;:&quot;Nikhil&quot;,&quot;parse-names&quot;:false,&quot;dropping-particle&quot;:&quot;&quot;,&quot;non-dropping-particle&quot;:&quot;&quot;},{&quot;family&quot;:&quot;Bhanshe&quot;,&quot;given&quot;:&quot;Prasanna&quot;,&quot;parse-names&quot;:false,&quot;dropping-particle&quot;:&quot;&quot;,&quot;non-dropping-particle&quot;:&quot;&quot;},{&quot;family&quot;:&quot;Rajpal&quot;,&quot;given&quot;:&quot;Sweta&quot;,&quot;parse-names&quot;:false,&quot;dropping-particle&quot;:&quot;&quot;,&quot;non-dropping-particle&quot;:&quot;&quot;},{&quot;family&quot;:&quot;Joshi&quot;,&quot;given&quot;:&quot;Swapnali&quot;,&quot;parse-names&quot;:false,&quot;dropping-particle&quot;:&quot;&quot;,&quot;non-dropping-particle&quot;:&quot;&quot;},{&quot;family&quot;:&quot;Chaudhary&quot;,&quot;given&quot;:&quot;Shruti&quot;,&quot;parse-names&quot;:false,&quot;dropping-particle&quot;:&quot;&quot;,&quot;non-dropping-particle&quot;:&quot;&quot;},{&quot;family&quot;:&quot;Chatterjee&quot;,&quot;given&quot;:&quot;Gaurav&quot;,&quot;parse-names&quot;:false,&quot;dropping-particle&quot;:&quot;&quot;,&quot;non-dropping-particle&quot;:&quot;&quot;},{&quot;family&quot;:&quot;Tembhare&quot;,&quot;given&quot;:&quot;Prashant&quot;,&quot;parse-names&quot;:false,&quot;dropping-particle&quot;:&quot;&quot;,&quot;non-dropping-particle&quot;:&quot;&quot;},{&quot;family&quot;:&quot;Dhamne&quot;,&quot;given&quot;:&quot;Chetan&quot;,&quot;parse-names&quot;:false,&quot;dropping-particle&quot;:&quot;&quot;,&quot;non-dropping-particle&quot;:&quot;&quot;},{&quot;family&quot;:&quot;Prasad&quot;,&quot;given&quot;:&quot;Maya&quot;,&quot;parse-names&quot;:false,&quot;dropping-particle&quot;:&quot;&quot;,&quot;non-dropping-particle&quot;:&quot;&quot;},{&quot;family&quot;:&quot;Moulik&quot;,&quot;given&quot;:&quot;Nirmalya Roy&quot;,&quot;parse-names&quot;:false,&quot;dropping-particle&quot;:&quot;&quot;,&quot;non-dropping-particle&quot;:&quot;&quot;},{&quot;family&quot;:&quot;Shetty&quot;,&quot;given&quot;:&quot;Dhanalaxmi&quot;,&quot;parse-names&quot;:false,&quot;dropping-particle&quot;:&quot;&quot;,&quot;non-dropping-particle&quot;:&quot;&quot;},{&quot;family&quot;:&quot;Gokarn&quot;,&quot;given&quot;:&quot;Anant&quot;,&quot;parse-names&quot;:false,&quot;dropping-particle&quot;:&quot;&quot;,&quot;non-dropping-particle&quot;:&quot;&quot;},{&quot;family&quot;:&quot;Bonda&quot;,&quot;given&quot;:&quot;Avinash&quot;,&quot;parse-names&quot;:false,&quot;dropping-particle&quot;:&quot;&quot;,&quot;non-dropping-particle&quot;:&quot;&quot;},{&quot;family&quot;:&quot;Nayak&quot;,&quot;given&quot;:&quot;Lingaraj&quot;,&quot;parse-names&quot;:false,&quot;dropping-particle&quot;:&quot;&quot;,&quot;non-dropping-particle&quot;:&quot;&quot;},{&quot;family&quot;:&quot;Punatkar&quot;,&quot;given&quot;:&quot;Sachin&quot;,&quot;parse-names&quot;:false,&quot;dropping-particle&quot;:&quot;&quot;,&quot;non-dropping-particle&quot;:&quot;&quot;},{&quot;family&quot;:&quot;Bagal&quot;,&quot;given&quot;:&quot;Bhausaheb&quot;,&quot;parse-names&quot;:false,&quot;dropping-particle&quot;:&quot;&quot;,&quot;non-dropping-particle&quot;:&quot;&quot;},{&quot;family&quot;:&quot;Sengar&quot;,&quot;given&quot;:&quot;Manju&quot;,&quot;parse-names&quot;:false,&quot;dropping-particle&quot;:&quot;&quot;,&quot;non-dropping-particle&quot;:&quot;&quot;},{&quot;family&quot;:&quot;Narula&quot;,&quot;given&quot;:&quot;Gaurav&quot;,&quot;parse-names&quot;:false,&quot;dropping-particle&quot;:&quot;&quot;,&quot;non-dropping-particle&quot;:&quot;&quot;},{&quot;family&quot;:&quot;Khattry&quot;,&quot;given&quot;:&quot;Navin&quot;,&quot;parse-names&quot;:false,&quot;dropping-particle&quot;:&quot;&quot;,&quot;non-dropping-particle&quot;:&quot;&quot;},{&quot;family&quot;:&quot;Banavali&quot;,&quot;given&quot;:&quot;Shripad&quot;,&quot;parse-names&quot;:false,&quot;dropping-particle&quot;:&quot;&quot;,&quot;non-dropping-particle&quot;:&quot;&quot;},{&quot;family&quot;:&quot;Subramanian&quot;,&quot;given&quot;:&quot;P. G.&quot;,&quot;parse-names&quot;:false,&quot;dropping-particle&quot;:&quot;&quot;,&quot;non-dropping-particle&quot;:&quot;&quot;},{&quot;family&quot;:&quot;Gujral&quot;,&quot;given&quot;:&quot;Sumeet&quot;,&quot;parse-names&quot;:false,&quot;dropping-particle&quot;:&quot;&quot;,&quot;non-dropping-particle&quot;:&quot;&quot;}],&quot;container-title&quot;:&quot;Blood Cancer Journal 2020 10:5&quot;,&quot;accessed&quot;:{&quot;date-parts&quot;:[[2023,7,20]]},&quot;DOI&quot;:&quot;10.1038/s41408-020-0313-6&quot;,&quot;ISSN&quot;:&quot;2044-5385&quot;,&quot;PMID&quot;:&quot;32372024&quot;,&quot;URL&quot;:&quot;https://www.nature.com/articles/s41408-020-0313-6&quot;,&quot;issued&quot;:{&quot;date-parts&quot;:[[2020,5,5]]},&quot;page&quot;:&quot;1-4&quot;,&quot;publisher&quot;:&quot;Nature Publishing Group&quot;,&quot;issue&quot;:&quot;5&quot;,&quot;volume&quot;:&quot;10&quot;,&quot;container-title-short&quot;:&quot;&quot;},&quot;isTemporary&quot;:false}]},{&quot;citationID&quot;:&quot;MENDELEY_CITATION_c0de6965-ebdd-4303-b2c8-b1c5789bd48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zBkZTY5NjUtZWJkZC00MzAzLWIyYzgtYjFjNTc4OWJkNDhiIiwicHJvcGVydGllcyI6eyJub3RlSW5kZXgiOjB9LCJpc0VkaXRlZCI6ZmFsc2UsIm1hbnVhbE92ZXJyaWRlIjp7ImlzTWFudWFsbHlPdmVycmlkZGVuIjpmYWxzZSwiY2l0ZXByb2NUZXh0IjoiPHN1cD4zPC9zdXA+IiwibWFudWFsT3ZlcnJpZGVUZXh0IjoiIn0sImNpdGF0aW9uSXRlbXMiOlt7ImlkIjoiZWJlMWRjMzgtMGFkZi0zZWNiLTkzMGQtOTgwOGZiN2IyZDcyIiwiaXRlbURhdGEiOnsidHlwZSI6ImFydGljbGUtam91cm5hbCIsImlkIjoiZWJlMWRjMzgtMGFkZi0zZWNiLTkzMGQtOTgwOGZiN2IyZDcyIiwidGl0bGUiOiJUaGUgbmYtY29yZSBmcmFtZXdvcmsgZm9yIGNvbW11bml0eS1jdXJhdGVkIGJpb2luZm9ybWF0aWNzIHBpcGVsaW5lcyIsImF1dGhvciI6W3siZmFtaWx5IjoiRXdlbHMiLCJnaXZlbiI6IlBoaWxpcCBBLiIsInBhcnNlLW5hbWVzIjpmYWxzZSwiZHJvcHBpbmctcGFydGljbGUiOiIiLCJub24tZHJvcHBpbmctcGFydGljbGUiOiIifSx7ImZhbWlseSI6IlBlbHR6ZXIiLCJnaXZlbiI6IkFsZXhhbmRlciIsInBhcnNlLW5hbWVzIjpmYWxzZSwiZHJvcHBpbmctcGFydGljbGUiOiIiLCJub24tZHJvcHBpbmctcGFydGljbGUiOiIifSx7ImZhbWlseSI6IkZpbGxpbmdlciIsImdpdmVuIjoiU3ZlbiIsInBhcnNlLW5hbWVzIjpmYWxzZSwiZHJvcHBpbmctcGFydGljbGUiOiIiLCJub24tZHJvcHBpbmctcGFydGljbGUiOiIifSx7ImZhbWlseSI6IlBhdGVsIiwiZ2l2ZW4iOiJIYXJzaGlsIiwicGFyc2UtbmFtZXMiOmZhbHNlLCJkcm9wcGluZy1wYXJ0aWNsZSI6IiIsIm5vbi1kcm9wcGluZy1wYXJ0aWNsZSI6IiJ9LHsiZmFtaWx5IjoiQWxuZWJlcmciLCJnaXZlbiI6IkpvaGFubmVzIiwicGFyc2UtbmFtZXMiOmZhbHNlLCJkcm9wcGluZy1wYXJ0aWNsZSI6IiIsIm5vbi1kcm9wcGluZy1wYXJ0aWNsZSI6IiJ9LHsiZmFtaWx5IjoiV2lsbSIsImdpdmVuIjoiQW5kcmVhcyIsInBhcnNlLW5hbWVzIjpmYWxzZSwiZHJvcHBpbmctcGFydGljbGUiOiIiLCJub24tZHJvcHBpbmctcGFydGljbGUiOiIifSx7ImZhbWlseSI6IkdhcmNpYSIsImdpdmVuIjoiTWF4aW1lIFVseXNzZSIsInBhcnNlLW5hbWVzIjpmYWxzZSwiZHJvcHBpbmctcGFydGljbGUiOiIiLCJub24tZHJvcHBpbmctcGFydGljbGUiOiIifSx7ImZhbWlseSI6IlRvbW1hc28iLCJnaXZlbiI6IlBhb2xvIiwicGFyc2UtbmFtZXMiOmZhbHNlLCJkcm9wcGluZy1wYXJ0aWNsZSI6IiIsIm5vbi1kcm9wcGluZy1wYXJ0aWNsZSI6IkRpIn0seyJmYW1pbHkiOiJOYWhuc2VuIiwiZ2l2ZW4iOiJTdmVuIiwicGFyc2UtbmFtZXMiOmZhbHNlLCJkcm9wcGluZy1wYXJ0aWNsZSI6IiIsIm5vbi1kcm9wcGluZy1wYXJ0aWNsZSI6IiJ9XSwiY29udGFpbmVyLXRpdGxlIjoiTmF0dXJlIEJpb3RlY2hub2xvZ3kgMjAyMCAzODozIiwiYWNjZXNzZWQiOnsiZGF0ZS1wYXJ0cyI6W1syMDI0LDEsMjFdXX0sIkRPSSI6IjEwLjEwMzgvczQxNTg3LTAyMC0wNDM5LXgiLCJJU1NOIjoiMTU0Ni0xNjk2IiwiUE1JRCI6IjMyMDU1MDMxIiwiVVJMIjoiaHR0cHM6Ly93d3cubmF0dXJlLmNvbS9hcnRpY2xlcy9zNDE1ODctMDIwLTA0MzkteCIsImlzc3VlZCI6eyJkYXRlLXBhcnRzIjpbWzIwMjAsMiwxM11dfSwicGFnZSI6IjI3Ni0yNzgiLCJwdWJsaXNoZXIiOiJOYXR1cmUgUHVibGlzaGluZyBHcm91cCIsImlzc3VlIjoiMyIsInZvbHVtZSI6IjM4IiwiY29udGFpbmVyLXRpdGxlLXNob3J0IjoiIn0sImlzVGVtcG9yYXJ5IjpmYWxzZX1dfQ==&quot;,&quot;citationItems&quot;:[{&quot;id&quot;:&quot;ebe1dc38-0adf-3ecb-930d-9808fb7b2d72&quot;,&quot;itemData&quot;:{&quot;type&quot;:&quot;article-journal&quot;,&quot;id&quot;:&quot;ebe1dc38-0adf-3ecb-930d-9808fb7b2d72&quot;,&quot;title&quot;:&quot;The nf-core framework for community-curated bioinformatics pipelines&quot;,&quot;author&quot;:[{&quot;family&quot;:&quot;Ewels&quot;,&quot;given&quot;:&quot;Philip A.&quot;,&quot;parse-names&quot;:false,&quot;dropping-particle&quot;:&quot;&quot;,&quot;non-dropping-particle&quot;:&quot;&quot;},{&quot;family&quot;:&quot;Peltzer&quot;,&quot;given&quot;:&quot;Alexander&quot;,&quot;parse-names&quot;:false,&quot;dropping-particle&quot;:&quot;&quot;,&quot;non-dropping-particle&quot;:&quot;&quot;},{&quot;family&quot;:&quot;Fillinger&quot;,&quot;given&quot;:&quot;Sven&quot;,&quot;parse-names&quot;:false,&quot;dropping-particle&quot;:&quot;&quot;,&quot;non-dropping-particle&quot;:&quot;&quot;},{&quot;family&quot;:&quot;Patel&quot;,&quot;given&quot;:&quot;Harshil&quot;,&quot;parse-names&quot;:false,&quot;dropping-particle&quot;:&quot;&quot;,&quot;non-dropping-particle&quot;:&quot;&quot;},{&quot;family&quot;:&quot;Alneberg&quot;,&quot;given&quot;:&quot;Johannes&quot;,&quot;parse-names&quot;:false,&quot;dropping-particle&quot;:&quot;&quot;,&quot;non-dropping-particle&quot;:&quot;&quot;},{&quot;family&quot;:&quot;Wilm&quot;,&quot;given&quot;:&quot;Andreas&quot;,&quot;parse-names&quot;:false,&quot;dropping-particle&quot;:&quot;&quot;,&quot;non-dropping-particle&quot;:&quot;&quot;},{&quot;family&quot;:&quot;Garcia&quot;,&quot;given&quot;:&quot;Maxime Ulysse&quot;,&quot;parse-names&quot;:false,&quot;dropping-particle&quot;:&quot;&quot;,&quot;non-dropping-particle&quot;:&quot;&quot;},{&quot;family&quot;:&quot;Tommaso&quot;,&quot;given&quot;:&quot;Paolo&quot;,&quot;parse-names&quot;:false,&quot;dropping-particle&quot;:&quot;&quot;,&quot;non-dropping-particle&quot;:&quot;Di&quot;},{&quot;family&quot;:&quot;Nahnsen&quot;,&quot;given&quot;:&quot;Sven&quot;,&quot;parse-names&quot;:false,&quot;dropping-particle&quot;:&quot;&quot;,&quot;non-dropping-particle&quot;:&quot;&quot;}],&quot;container-title&quot;:&quot;Nature Biotechnology 2020 38:3&quot;,&quot;accessed&quot;:{&quot;date-parts&quot;:[[2024,1,21]]},&quot;DOI&quot;:&quot;10.1038/s41587-020-0439-x&quot;,&quot;ISSN&quot;:&quot;1546-1696&quot;,&quot;PMID&quot;:&quot;32055031&quot;,&quot;URL&quot;:&quot;https://www.nature.com/articles/s41587-020-0439-x&quot;,&quot;issued&quot;:{&quot;date-parts&quot;:[[2020,2,13]]},&quot;page&quot;:&quot;276-278&quot;,&quot;publisher&quot;:&quot;Nature Publishing Group&quot;,&quot;issue&quot;:&quot;3&quot;,&quot;volume&quot;:&quot;38&quot;,&quot;container-title-short&quot;:&quot;&quot;},&quot;isTemporary&quot;:false}]}]"/>
    <we:property name="MENDELEY_CITATIONS_LOCALE_CODE" value="&quot;en-G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5DD2A-D742-4C83-B4B3-A830F1A4F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2447</TotalTime>
  <Pages>10</Pages>
  <Words>1478</Words>
  <Characters>8875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ACTREC</Company>
  <LinksUpToDate>false</LinksUpToDate>
  <CharactersWithSpaces>10333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72</cp:revision>
  <dcterms:created xsi:type="dcterms:W3CDTF">2024-05-11T00:13:00Z</dcterms:created>
  <dcterms:modified xsi:type="dcterms:W3CDTF">2024-10-14T04:42:00Z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2c77ea31dbdcb4a54a22811f1de721ba67e9f45662614410a476b4e112482a66</vt:lpwstr>
  </property>
</Properties>
</file>