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96AC" w14:textId="2F71E772" w:rsidR="007211C1" w:rsidRPr="00DC12CB" w:rsidRDefault="001D5E11" w:rsidP="00C56315">
      <w:pPr>
        <w:rPr>
          <w:b/>
          <w:bCs/>
        </w:rPr>
      </w:pPr>
      <w:r w:rsidRPr="00DC12CB">
        <w:rPr>
          <w:b/>
          <w:bCs/>
        </w:rPr>
        <w:t xml:space="preserve">Supplementary </w:t>
      </w:r>
      <w:r w:rsidR="004661E4">
        <w:rPr>
          <w:b/>
          <w:bCs/>
        </w:rPr>
        <w:t>I</w:t>
      </w:r>
      <w:r w:rsidRPr="00DC12CB">
        <w:rPr>
          <w:b/>
          <w:bCs/>
        </w:rPr>
        <w:t>nformation</w:t>
      </w:r>
    </w:p>
    <w:p w14:paraId="3C058D87" w14:textId="77777777" w:rsidR="00AC782D" w:rsidRDefault="00AC782D" w:rsidP="00C56315">
      <w:pPr>
        <w:rPr>
          <w:b/>
          <w:bCs/>
        </w:rPr>
      </w:pPr>
      <w:r w:rsidRPr="00AC782D">
        <w:rPr>
          <w:b/>
          <w:bCs/>
        </w:rPr>
        <w:t>One-fifth of the world’s population at high risk from climate-related hazards</w:t>
      </w:r>
      <w:r w:rsidRPr="00AC782D">
        <w:rPr>
          <w:b/>
          <w:bCs/>
        </w:rPr>
        <w:t xml:space="preserve"> </w:t>
      </w:r>
    </w:p>
    <w:p w14:paraId="7C438AB2" w14:textId="33576D36" w:rsidR="006A10FE" w:rsidRDefault="009C006F" w:rsidP="00C56315">
      <w:r w:rsidRPr="00570C12">
        <w:t xml:space="preserve">This Supplementary Information provides additional </w:t>
      </w:r>
      <w:r w:rsidR="00C83E11">
        <w:t xml:space="preserve">details </w:t>
      </w:r>
      <w:r w:rsidRPr="00570C12">
        <w:t xml:space="preserve">to </w:t>
      </w:r>
      <w:r w:rsidR="00AB70DB">
        <w:t xml:space="preserve">describe the methodology and </w:t>
      </w:r>
      <w:r w:rsidRPr="00570C12">
        <w:t xml:space="preserve">support </w:t>
      </w:r>
      <w:r w:rsidR="00AB70DB">
        <w:t>our results</w:t>
      </w:r>
      <w:r w:rsidRPr="00570C12">
        <w:t xml:space="preserve">. </w:t>
      </w:r>
    </w:p>
    <w:p w14:paraId="30126588" w14:textId="1DA66817" w:rsidR="002C1FDB" w:rsidRDefault="00DC12CB" w:rsidP="00C56315">
      <w:r>
        <w:t xml:space="preserve">Figure S1 depicts the method used to </w:t>
      </w:r>
      <w:r w:rsidR="002D1CB7">
        <w:t>combine</w:t>
      </w:r>
      <w:r>
        <w:t xml:space="preserve"> various categorical spatial data</w:t>
      </w:r>
      <w:r w:rsidR="002D1CB7">
        <w:t>sets</w:t>
      </w:r>
      <w:r>
        <w:t xml:space="preserve"> with </w:t>
      </w:r>
      <w:r w:rsidR="002D1CB7">
        <w:t xml:space="preserve">the </w:t>
      </w:r>
      <w:r>
        <w:t xml:space="preserve">gridded population data, and </w:t>
      </w:r>
      <w:r w:rsidR="002D1CB7">
        <w:t xml:space="preserve">therefore </w:t>
      </w:r>
      <w:r>
        <w:t xml:space="preserve">classify the global population by </w:t>
      </w:r>
      <w:r w:rsidR="006A10FE">
        <w:t>exposure and degree of urbanization at a high spatial resolution.</w:t>
      </w:r>
      <w:r w:rsidR="00A50414">
        <w:t xml:space="preserve"> The population in each category </w:t>
      </w:r>
      <w:r w:rsidR="004B1D0F">
        <w:t>was</w:t>
      </w:r>
      <w:r w:rsidR="00A50414">
        <w:t xml:space="preserve"> then aggregated to survey spatial units by overlaying boundary data</w:t>
      </w:r>
    </w:p>
    <w:p w14:paraId="04EFEEEB" w14:textId="486BA8FE" w:rsidR="002E3A36" w:rsidRPr="00DC12CB" w:rsidRDefault="00AC109D" w:rsidP="00C56315">
      <w:pPr>
        <w:rPr>
          <w:b/>
          <w:bCs/>
          <w:sz w:val="20"/>
          <w:szCs w:val="20"/>
        </w:rPr>
      </w:pPr>
      <w:r w:rsidRPr="00DC12CB">
        <w:rPr>
          <w:b/>
          <w:bCs/>
          <w:sz w:val="20"/>
          <w:szCs w:val="20"/>
        </w:rPr>
        <w:t xml:space="preserve">Figure S1: </w:t>
      </w:r>
      <w:r w:rsidR="00DC12CB">
        <w:rPr>
          <w:b/>
          <w:bCs/>
          <w:sz w:val="20"/>
          <w:szCs w:val="20"/>
        </w:rPr>
        <w:t>M</w:t>
      </w:r>
      <w:r w:rsidRPr="00DC12CB">
        <w:rPr>
          <w:b/>
          <w:bCs/>
          <w:sz w:val="20"/>
          <w:szCs w:val="20"/>
        </w:rPr>
        <w:t>ethod used to overlay spatial datasets</w:t>
      </w:r>
    </w:p>
    <w:p w14:paraId="2C2FE49A" w14:textId="1110D27E" w:rsidR="002E3A36" w:rsidRDefault="002E3A36" w:rsidP="009B54E4">
      <w:pPr>
        <w:jc w:val="center"/>
      </w:pPr>
      <w:r w:rsidRPr="002E3A36">
        <w:rPr>
          <w:noProof/>
        </w:rPr>
        <w:drawing>
          <wp:inline distT="0" distB="0" distL="0" distR="0" wp14:anchorId="4D67F055" wp14:editId="45F3CED3">
            <wp:extent cx="5943600" cy="3264535"/>
            <wp:effectExtent l="0" t="0" r="0" b="0"/>
            <wp:docPr id="1674545740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545740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7402" w14:textId="77777777" w:rsidR="002E3A36" w:rsidRDefault="002E3A36" w:rsidP="00C56315"/>
    <w:p w14:paraId="4DE299E2" w14:textId="2F792F83" w:rsidR="00D70532" w:rsidRPr="006A10FE" w:rsidRDefault="00D70532" w:rsidP="00C56315">
      <w:pPr>
        <w:rPr>
          <w:b/>
          <w:bCs/>
        </w:rPr>
      </w:pPr>
      <w:r w:rsidRPr="006A10FE">
        <w:rPr>
          <w:b/>
          <w:bCs/>
        </w:rPr>
        <w:t xml:space="preserve">Adjusting </w:t>
      </w:r>
      <w:r w:rsidR="00522A94" w:rsidRPr="006A10FE">
        <w:rPr>
          <w:b/>
          <w:bCs/>
        </w:rPr>
        <w:t>estimates of financial account ownership from individual to household level</w:t>
      </w:r>
    </w:p>
    <w:p w14:paraId="0CCA67C9" w14:textId="69BBBA68" w:rsidR="003A1285" w:rsidRDefault="00C56315" w:rsidP="00C56315">
      <w:r>
        <w:t xml:space="preserve">Since Findex </w:t>
      </w:r>
      <w:r w:rsidRPr="00C56315">
        <w:t>data</w:t>
      </w:r>
      <w:r>
        <w:t xml:space="preserve"> is collected at individual level, we adjust estimates to household level to be consistent with other indicators.</w:t>
      </w:r>
      <w:r w:rsidR="006A10FE">
        <w:t xml:space="preserve"> </w:t>
      </w:r>
      <w:r w:rsidR="00020E3C" w:rsidRPr="00020E3C">
        <w:t xml:space="preserve">We </w:t>
      </w:r>
      <w:r w:rsidR="00020E3C">
        <w:t>require the</w:t>
      </w:r>
      <w:r w:rsidR="00020E3C" w:rsidRPr="00020E3C">
        <w:t xml:space="preserve"> share of households with</w:t>
      </w:r>
      <w:r w:rsidR="00020E3C">
        <w:t>out access to a financial account or mobile money</w:t>
      </w:r>
      <w:r w:rsidR="002A3F1B">
        <w:t>. We apply an</w:t>
      </w:r>
      <w:r w:rsidR="00D82C50">
        <w:t xml:space="preserve"> adjustment based on the number of adults in a household and a factor derived from examining countries where data on both household and individual ownership of accounts is available.</w:t>
      </w:r>
      <w:r w:rsidR="008C2C3E">
        <w:t xml:space="preserve"> A constant adjustment factor of 0.6 was found to predict household level access to finance </w:t>
      </w:r>
      <w:r w:rsidR="00105E22">
        <w:t>across income quintiles, based on validation against surveys in 11 countries with complete data.</w:t>
      </w:r>
      <w:r w:rsidR="003A1285">
        <w:t xml:space="preserve"> The share of households without access is therefore calculate</w:t>
      </w:r>
      <w:r w:rsidR="002C3A19">
        <w:t xml:space="preserve">d </w:t>
      </w:r>
      <w:r w:rsidR="008C30C4">
        <w:t xml:space="preserve">at income quintile level </w:t>
      </w:r>
      <w:r w:rsidR="002C3A19">
        <w:t>as:</w:t>
      </w:r>
    </w:p>
    <w:p w14:paraId="1854D751" w14:textId="61553F00" w:rsidR="002C3A19" w:rsidRPr="00833CDE" w:rsidRDefault="00AC782D" w:rsidP="00C56315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hh</m:t>
              </m:r>
            </m:e>
            <m:sub>
              <m:r>
                <w:rPr>
                  <w:rFonts w:ascii="Cambria Math" w:hAnsi="Cambria Math"/>
                </w:rPr>
                <m:t>fin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ind</m:t>
                  </m:r>
                </m:e>
                <m:sub>
                  <m:r>
                    <w:rPr>
                      <w:rFonts w:ascii="Cambria Math" w:hAnsi="Cambria Math"/>
                    </w:rPr>
                    <m:t>fin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0.6N</m:t>
              </m:r>
            </m:sup>
          </m:sSup>
        </m:oMath>
      </m:oMathPara>
    </w:p>
    <w:p w14:paraId="24A35752" w14:textId="0B356122" w:rsidR="00833CDE" w:rsidRDefault="00833CDE" w:rsidP="00C56315">
      <w:r>
        <w:t xml:space="preserve">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hh</m:t>
            </m:r>
          </m:e>
          <m:sub>
            <m:r>
              <w:rPr>
                <w:rFonts w:ascii="Cambria Math" w:hAnsi="Cambria Math"/>
              </w:rPr>
              <m:t>fin</m:t>
            </m:r>
          </m:sub>
        </m:sSub>
      </m:oMath>
      <w:r>
        <w:t xml:space="preserve"> is the share of households without </w:t>
      </w:r>
      <w:r w:rsidR="008C30C4">
        <w:t>access to a financial</w:t>
      </w:r>
      <w:r>
        <w:t xml:space="preserve"> </w:t>
      </w:r>
      <w:r w:rsidR="008C30C4">
        <w:t>or</w:t>
      </w:r>
      <w:r>
        <w:t xml:space="preserve"> mobile money</w:t>
      </w:r>
      <w:r w:rsidR="00EA26EB">
        <w:t xml:space="preserve"> </w:t>
      </w:r>
      <w:r w:rsidR="008C30C4">
        <w:t xml:space="preserve">account </w:t>
      </w:r>
      <w:r w:rsidR="00FC718C">
        <w:t>in each</w:t>
      </w:r>
      <w:r w:rsidR="00FD4EBC">
        <w:t xml:space="preserve"> quintile (</w:t>
      </w:r>
      <w:r w:rsidR="00EA26EB">
        <w:t xml:space="preserve">required for </w:t>
      </w:r>
      <w:r w:rsidR="008C30C4">
        <w:t xml:space="preserve">the </w:t>
      </w:r>
      <w:r w:rsidR="00EA26EB">
        <w:t>analysis</w:t>
      </w:r>
      <w:r w:rsidR="00FD4EBC">
        <w:t>)</w:t>
      </w:r>
      <w:r w:rsidR="00EA26EB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ind</m:t>
            </m:r>
          </m:e>
          <m:sub>
            <m:r>
              <w:rPr>
                <w:rFonts w:ascii="Cambria Math" w:hAnsi="Cambria Math"/>
              </w:rPr>
              <m:t>fin</m:t>
            </m:r>
          </m:sub>
        </m:sSub>
      </m:oMath>
      <w:r w:rsidR="00EA26EB">
        <w:t xml:space="preserve"> is the share </w:t>
      </w:r>
      <w:bookmarkStart w:id="0" w:name="OLE_LINK1"/>
      <w:r w:rsidR="00EA26EB">
        <w:t xml:space="preserve">of individuals </w:t>
      </w:r>
      <w:r w:rsidR="00B34C74">
        <w:t xml:space="preserve">(15+) </w:t>
      </w:r>
      <w:bookmarkEnd w:id="0"/>
      <w:r w:rsidR="00EA26EB">
        <w:t xml:space="preserve">without </w:t>
      </w:r>
      <w:r w:rsidR="008C30C4">
        <w:t>access</w:t>
      </w:r>
      <w:r w:rsidR="00B34C74">
        <w:t>, as</w:t>
      </w:r>
      <w:r w:rsidR="008C30C4">
        <w:t xml:space="preserve"> </w:t>
      </w:r>
      <w:r w:rsidR="00FD4EBC">
        <w:t xml:space="preserve">measured by Findex surveys, and </w:t>
      </w:r>
      <m:oMath>
        <m:r>
          <w:rPr>
            <w:rFonts w:ascii="Cambria Math" w:hAnsi="Cambria Math"/>
          </w:rPr>
          <m:t>N</m:t>
        </m:r>
      </m:oMath>
      <w:r w:rsidR="00B34C74">
        <w:t xml:space="preserve"> is the average number of individuals (15+) in a household</w:t>
      </w:r>
      <w:r w:rsidR="00FC718C">
        <w:t xml:space="preserve"> </w:t>
      </w:r>
      <w:r w:rsidR="00650383">
        <w:t>in each quintile, based on GMD surveys. Results from validation in 11 countries where surveys collected individual level data for all household members is shown in Figure S2.</w:t>
      </w:r>
    </w:p>
    <w:p w14:paraId="20C202DC" w14:textId="33120626" w:rsidR="009A7B0E" w:rsidRPr="009B54E4" w:rsidRDefault="009A7B0E" w:rsidP="009B54E4">
      <w:pPr>
        <w:rPr>
          <w:b/>
          <w:bCs/>
          <w:sz w:val="20"/>
          <w:szCs w:val="20"/>
        </w:rPr>
      </w:pPr>
      <w:r w:rsidRPr="00DC12CB">
        <w:rPr>
          <w:b/>
          <w:bCs/>
          <w:sz w:val="20"/>
          <w:szCs w:val="20"/>
        </w:rPr>
        <w:t>Figure S</w:t>
      </w:r>
      <w:r>
        <w:rPr>
          <w:b/>
          <w:bCs/>
          <w:sz w:val="20"/>
          <w:szCs w:val="20"/>
        </w:rPr>
        <w:t>2</w:t>
      </w:r>
      <w:r w:rsidRPr="00DC12CB">
        <w:rPr>
          <w:b/>
          <w:bCs/>
          <w:sz w:val="20"/>
          <w:szCs w:val="20"/>
        </w:rPr>
        <w:t xml:space="preserve">: </w:t>
      </w:r>
      <w:r w:rsidR="009B54E4">
        <w:rPr>
          <w:b/>
          <w:bCs/>
          <w:sz w:val="20"/>
          <w:szCs w:val="20"/>
        </w:rPr>
        <w:t>Findex household level adjustment</w:t>
      </w:r>
    </w:p>
    <w:p w14:paraId="500824F0" w14:textId="6002BD4A" w:rsidR="00650383" w:rsidRDefault="009A7B0E" w:rsidP="009B54E4">
      <w:pPr>
        <w:jc w:val="center"/>
      </w:pPr>
      <w:r>
        <w:rPr>
          <w:noProof/>
        </w:rPr>
        <w:drawing>
          <wp:inline distT="0" distB="0" distL="0" distR="0" wp14:anchorId="6424AACE" wp14:editId="05CB2D01">
            <wp:extent cx="3965448" cy="3304540"/>
            <wp:effectExtent l="0" t="0" r="0" b="0"/>
            <wp:docPr id="16938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40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4401" cy="331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60783" w14:textId="77777777" w:rsidR="00D82C50" w:rsidRDefault="00D82C50" w:rsidP="00C56315"/>
    <w:p w14:paraId="25E681F4" w14:textId="12851679" w:rsidR="00F537D6" w:rsidRDefault="00F537D6" w:rsidP="00C56315">
      <w:pPr>
        <w:rPr>
          <w:b/>
          <w:bCs/>
        </w:rPr>
      </w:pPr>
      <w:r>
        <w:rPr>
          <w:b/>
          <w:bCs/>
        </w:rPr>
        <w:t>Merging spatially defined degree of urbanization with survey definitions</w:t>
      </w:r>
    </w:p>
    <w:p w14:paraId="211BD6CB" w14:textId="3900F212" w:rsidR="00BA4735" w:rsidRDefault="00BA4735" w:rsidP="00BA4735">
      <w:r w:rsidRPr="00BA4735">
        <w:t>Degree of urbanization method (</w:t>
      </w:r>
      <w:proofErr w:type="spellStart"/>
      <w:r w:rsidRPr="00BA4735">
        <w:t>DoU</w:t>
      </w:r>
      <w:proofErr w:type="spellEnd"/>
      <w:r w:rsidRPr="00BA4735">
        <w:t xml:space="preserve">) is a consistent way to classify the exposed population </w:t>
      </w:r>
      <w:r>
        <w:t>(</w:t>
      </w:r>
      <w:r w:rsidRPr="00BA4735">
        <w:t>based on population cluster size and density</w:t>
      </w:r>
      <w:r>
        <w:t xml:space="preserve">). However, </w:t>
      </w:r>
      <w:r w:rsidRPr="00BA4735">
        <w:t xml:space="preserve">this classification may not align well with the definition of rural/urban in household surveys and corresponding </w:t>
      </w:r>
      <w:r>
        <w:t>vulnerability</w:t>
      </w:r>
      <w:r w:rsidRPr="00BA4735">
        <w:t xml:space="preserve"> rates</w:t>
      </w:r>
      <w:r>
        <w:t xml:space="preserve">. </w:t>
      </w:r>
      <w:proofErr w:type="gramStart"/>
      <w:r>
        <w:t>In particular, s</w:t>
      </w:r>
      <w:r w:rsidRPr="00BA4735">
        <w:t>ome</w:t>
      </w:r>
      <w:proofErr w:type="gramEnd"/>
      <w:r w:rsidRPr="00BA4735">
        <w:t xml:space="preserve"> countries report rural population shares much higher than those estimated using </w:t>
      </w:r>
      <w:proofErr w:type="spellStart"/>
      <w:r w:rsidRPr="00BA4735">
        <w:t>DoU</w:t>
      </w:r>
      <w:proofErr w:type="spellEnd"/>
      <w:r w:rsidRPr="00BA4735">
        <w:t xml:space="preserve">. Without any adjustment, applying the (lower) urban </w:t>
      </w:r>
      <w:r>
        <w:t>vulnerability rates</w:t>
      </w:r>
      <w:r w:rsidRPr="00BA4735">
        <w:t xml:space="preserve"> to a larger urban population classified by </w:t>
      </w:r>
      <w:proofErr w:type="spellStart"/>
      <w:r w:rsidRPr="00BA4735">
        <w:t>DoU</w:t>
      </w:r>
      <w:proofErr w:type="spellEnd"/>
      <w:r w:rsidRPr="00BA4735">
        <w:t xml:space="preserve"> will underestimate the total number of </w:t>
      </w:r>
      <w:r>
        <w:t xml:space="preserve">people who are </w:t>
      </w:r>
      <w:r w:rsidR="006954EF">
        <w:t>highly vulnerable</w:t>
      </w:r>
      <w:r w:rsidRPr="00BA4735">
        <w:t>.</w:t>
      </w:r>
      <w:r w:rsidR="006954EF">
        <w:t xml:space="preserve"> Therefore, we </w:t>
      </w:r>
      <w:r w:rsidRPr="00BA4735">
        <w:t xml:space="preserve">reclassify the </w:t>
      </w:r>
      <w:proofErr w:type="spellStart"/>
      <w:r w:rsidRPr="00BA4735">
        <w:t>DoU</w:t>
      </w:r>
      <w:proofErr w:type="spellEnd"/>
      <w:r w:rsidRPr="00BA4735">
        <w:t xml:space="preserve"> categories to match population shares in the survey s</w:t>
      </w:r>
      <w:r w:rsidR="006954EF">
        <w:t>uch</w:t>
      </w:r>
      <w:r w:rsidRPr="00BA4735">
        <w:t xml:space="preserve"> that the overall </w:t>
      </w:r>
      <w:r w:rsidR="006954EF">
        <w:t>vulnerability</w:t>
      </w:r>
      <w:r w:rsidRPr="00BA4735">
        <w:t xml:space="preserve"> rate does not change.</w:t>
      </w:r>
      <w:r w:rsidR="006954EF">
        <w:t xml:space="preserve"> Figure S</w:t>
      </w:r>
      <w:r w:rsidR="009B54E4">
        <w:t>3 demonstrates the method.</w:t>
      </w:r>
    </w:p>
    <w:p w14:paraId="0FAF64A9" w14:textId="52D50859" w:rsidR="009B54E4" w:rsidRDefault="009B54E4" w:rsidP="009B54E4">
      <w:pPr>
        <w:rPr>
          <w:b/>
          <w:bCs/>
          <w:sz w:val="20"/>
          <w:szCs w:val="20"/>
        </w:rPr>
      </w:pPr>
      <w:r w:rsidRPr="00DC12CB">
        <w:rPr>
          <w:b/>
          <w:bCs/>
          <w:sz w:val="20"/>
          <w:szCs w:val="20"/>
        </w:rPr>
        <w:lastRenderedPageBreak/>
        <w:t>Figure S</w:t>
      </w:r>
      <w:r>
        <w:rPr>
          <w:b/>
          <w:bCs/>
          <w:sz w:val="20"/>
          <w:szCs w:val="20"/>
        </w:rPr>
        <w:t>3</w:t>
      </w:r>
      <w:r w:rsidRPr="00DC12CB">
        <w:rPr>
          <w:b/>
          <w:bCs/>
          <w:sz w:val="20"/>
          <w:szCs w:val="20"/>
        </w:rPr>
        <w:t xml:space="preserve">: </w:t>
      </w:r>
      <w:r w:rsidR="00592575">
        <w:rPr>
          <w:b/>
          <w:bCs/>
          <w:sz w:val="20"/>
          <w:szCs w:val="20"/>
        </w:rPr>
        <w:t>Aligning rural and urban definitions</w:t>
      </w:r>
    </w:p>
    <w:p w14:paraId="6ACBA3A7" w14:textId="2D59E6D7" w:rsidR="003E7361" w:rsidRPr="009B54E4" w:rsidRDefault="003E7361" w:rsidP="00C23723">
      <w:pPr>
        <w:spacing w:after="0"/>
        <w:rPr>
          <w:b/>
          <w:bCs/>
          <w:sz w:val="20"/>
          <w:szCs w:val="20"/>
        </w:rPr>
      </w:pPr>
      <w:r w:rsidRPr="003E7361">
        <w:rPr>
          <w:b/>
          <w:bCs/>
          <w:noProof/>
          <w:sz w:val="20"/>
          <w:szCs w:val="20"/>
        </w:rPr>
        <w:drawing>
          <wp:inline distT="0" distB="0" distL="0" distR="0" wp14:anchorId="6CF98B09" wp14:editId="42297169">
            <wp:extent cx="5658847" cy="2002536"/>
            <wp:effectExtent l="0" t="0" r="0" b="4445"/>
            <wp:docPr id="1772859213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59213" name="Picture 1" descr="A screenshot of a graph&#10;&#10;Description automatically generated"/>
                    <pic:cNvPicPr/>
                  </pic:nvPicPr>
                  <pic:blipFill rotWithShape="1">
                    <a:blip r:embed="rId9"/>
                    <a:srcRect b="3824"/>
                    <a:stretch/>
                  </pic:blipFill>
                  <pic:spPr bwMode="auto">
                    <a:xfrm>
                      <a:off x="0" y="0"/>
                      <a:ext cx="5693401" cy="2014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3122A" w14:textId="513050CD" w:rsidR="009B54E4" w:rsidRDefault="00C23723" w:rsidP="00BA4735">
      <w:r w:rsidRPr="00C23723">
        <w:rPr>
          <w:noProof/>
        </w:rPr>
        <w:drawing>
          <wp:inline distT="0" distB="0" distL="0" distR="0" wp14:anchorId="4598B5F1" wp14:editId="7D762F5E">
            <wp:extent cx="5943600" cy="1937004"/>
            <wp:effectExtent l="0" t="0" r="0" b="6350"/>
            <wp:docPr id="2144301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301395" name=""/>
                    <pic:cNvPicPr/>
                  </pic:nvPicPr>
                  <pic:blipFill rotWithShape="1">
                    <a:blip r:embed="rId10"/>
                    <a:srcRect t="6199"/>
                    <a:stretch/>
                  </pic:blipFill>
                  <pic:spPr bwMode="auto">
                    <a:xfrm>
                      <a:off x="0" y="0"/>
                      <a:ext cx="5943600" cy="1937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C78198" w14:textId="441388A9" w:rsidR="00BA4735" w:rsidRDefault="00BA4735" w:rsidP="00C56315">
      <w:pPr>
        <w:rPr>
          <w:b/>
          <w:bCs/>
        </w:rPr>
      </w:pPr>
    </w:p>
    <w:p w14:paraId="082E248B" w14:textId="1629F99B" w:rsidR="002D1A2A" w:rsidRDefault="002D1A2A" w:rsidP="00C56315">
      <w:pPr>
        <w:rPr>
          <w:b/>
          <w:bCs/>
        </w:rPr>
      </w:pPr>
      <w:r>
        <w:rPr>
          <w:b/>
          <w:bCs/>
        </w:rPr>
        <w:t>Sensitivity analysis</w:t>
      </w:r>
    </w:p>
    <w:p w14:paraId="32B18501" w14:textId="42D53825" w:rsidR="005E40F6" w:rsidRDefault="002D1A2A" w:rsidP="00C56315">
      <w:r>
        <w:t xml:space="preserve">Table </w:t>
      </w:r>
      <w:r w:rsidR="00836CF9">
        <w:t xml:space="preserve">S1 shows estimates of the population at high risk from climate related hazards </w:t>
      </w:r>
      <w:r w:rsidR="008D128A">
        <w:t xml:space="preserve">when </w:t>
      </w:r>
      <w:r w:rsidR="004F4151">
        <w:t>restricting the sample to countries with data on all dimensions of vulnerability from within 3 years of both 2010 and 2021</w:t>
      </w:r>
      <w:r w:rsidR="00D65A62">
        <w:t xml:space="preserve">. We also </w:t>
      </w:r>
      <w:r w:rsidR="00A16244">
        <w:t xml:space="preserve">estimate upper and lower bounds </w:t>
      </w:r>
      <w:r w:rsidR="00D65A62">
        <w:t xml:space="preserve">by assuming the minimum and maximum possible overlap between the exposed and vulnerable population, rather than </w:t>
      </w:r>
      <w:r w:rsidR="007A652F">
        <w:t>that</w:t>
      </w:r>
      <w:r w:rsidR="00D65A62">
        <w:t xml:space="preserve"> the vulnerable population are just as likely to be exposed as those not vulnerable within a spatial unit</w:t>
      </w:r>
      <w:r w:rsidR="00A16244">
        <w:t xml:space="preserve">. The levels and trends </w:t>
      </w:r>
      <w:r w:rsidR="007A652F">
        <w:t>using</w:t>
      </w:r>
      <w:r w:rsidR="00A16244">
        <w:t xml:space="preserve"> our preferred specification are </w:t>
      </w:r>
      <w:r w:rsidR="005E40F6">
        <w:t xml:space="preserve">found to be </w:t>
      </w:r>
      <w:r w:rsidR="00A16244">
        <w:t>robust</w:t>
      </w:r>
      <w:r w:rsidR="007A652F">
        <w:t xml:space="preserve"> in all cases</w:t>
      </w:r>
      <w:r w:rsidR="00A16244">
        <w:t>.</w:t>
      </w:r>
    </w:p>
    <w:p w14:paraId="6F7FFFAA" w14:textId="77777777" w:rsidR="0099365E" w:rsidRDefault="0099365E">
      <w:pPr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116F36F" w14:textId="20FDED0E" w:rsidR="005866EB" w:rsidRDefault="005866EB" w:rsidP="005866EB">
      <w:pPr>
        <w:rPr>
          <w:b/>
          <w:bCs/>
          <w:sz w:val="20"/>
          <w:szCs w:val="20"/>
        </w:rPr>
      </w:pPr>
      <w:r w:rsidRPr="1C4D9FE7">
        <w:rPr>
          <w:b/>
          <w:bCs/>
          <w:sz w:val="20"/>
          <w:szCs w:val="20"/>
        </w:rPr>
        <w:lastRenderedPageBreak/>
        <w:t xml:space="preserve">Table </w:t>
      </w:r>
      <w:r>
        <w:rPr>
          <w:b/>
          <w:bCs/>
          <w:sz w:val="20"/>
          <w:szCs w:val="20"/>
        </w:rPr>
        <w:t>S1</w:t>
      </w:r>
      <w:r w:rsidRPr="1C4D9FE7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Sensitivity analysis </w:t>
      </w:r>
      <w:r w:rsidR="0082058E">
        <w:rPr>
          <w:b/>
          <w:bCs/>
          <w:sz w:val="20"/>
          <w:szCs w:val="20"/>
        </w:rPr>
        <w:t>–</w:t>
      </w:r>
      <w:r w:rsidR="00042D24">
        <w:rPr>
          <w:b/>
          <w:bCs/>
          <w:sz w:val="20"/>
          <w:szCs w:val="20"/>
        </w:rPr>
        <w:t xml:space="preserve"> </w:t>
      </w:r>
      <w:r w:rsidR="0082058E">
        <w:rPr>
          <w:b/>
          <w:bCs/>
          <w:sz w:val="20"/>
          <w:szCs w:val="20"/>
        </w:rPr>
        <w:t>population at high risk</w:t>
      </w:r>
      <w:r w:rsidRPr="1C4D9FE7">
        <w:rPr>
          <w:b/>
          <w:bCs/>
          <w:sz w:val="20"/>
          <w:szCs w:val="20"/>
        </w:rPr>
        <w:t xml:space="preserve"> </w:t>
      </w:r>
      <w:r w:rsidR="0099365E">
        <w:rPr>
          <w:b/>
          <w:bCs/>
          <w:sz w:val="20"/>
          <w:szCs w:val="20"/>
        </w:rPr>
        <w:t>(</w:t>
      </w:r>
      <w:r w:rsidR="003470B9">
        <w:rPr>
          <w:b/>
          <w:bCs/>
          <w:sz w:val="20"/>
          <w:szCs w:val="20"/>
        </w:rPr>
        <w:t xml:space="preserve">exposed to </w:t>
      </w:r>
      <w:r w:rsidR="0099365E">
        <w:rPr>
          <w:b/>
          <w:bCs/>
          <w:sz w:val="20"/>
          <w:szCs w:val="20"/>
        </w:rPr>
        <w:t xml:space="preserve">any hazard, </w:t>
      </w:r>
      <w:r w:rsidR="003470B9">
        <w:rPr>
          <w:b/>
          <w:bCs/>
          <w:sz w:val="20"/>
          <w:szCs w:val="20"/>
        </w:rPr>
        <w:t xml:space="preserve">vulnerable on </w:t>
      </w:r>
      <w:r w:rsidR="0099365E">
        <w:rPr>
          <w:b/>
          <w:bCs/>
          <w:sz w:val="20"/>
          <w:szCs w:val="20"/>
        </w:rPr>
        <w:t>any dimension)</w:t>
      </w:r>
    </w:p>
    <w:tbl>
      <w:tblPr>
        <w:tblStyle w:val="PlainTable2"/>
        <w:tblW w:w="3750" w:type="pct"/>
        <w:jc w:val="center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87"/>
        <w:gridCol w:w="1111"/>
        <w:gridCol w:w="1111"/>
        <w:gridCol w:w="1111"/>
      </w:tblGrid>
      <w:tr w:rsidR="002F10AE" w:rsidRPr="00042D24" w14:paraId="23EE46F3" w14:textId="77777777" w:rsidTr="00716B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pct"/>
            <w:tcBorders>
              <w:top w:val="single" w:sz="4" w:space="0" w:color="auto"/>
              <w:bottom w:val="nil"/>
            </w:tcBorders>
            <w:noWrap/>
          </w:tcPr>
          <w:p w14:paraId="764ACD42" w14:textId="77777777" w:rsidR="009F2BD1" w:rsidRPr="00042D24" w:rsidRDefault="009F2BD1" w:rsidP="004B4D04">
            <w:pPr>
              <w:rPr>
                <w:sz w:val="20"/>
                <w:szCs w:val="20"/>
              </w:rPr>
            </w:pPr>
          </w:p>
        </w:tc>
        <w:tc>
          <w:tcPr>
            <w:tcW w:w="2373" w:type="pct"/>
            <w:gridSpan w:val="3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70345D5A" w14:textId="21CCBDBA" w:rsidR="009F2BD1" w:rsidRPr="00042D24" w:rsidRDefault="009F2BD1" w:rsidP="004B4D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Share of population at high risk (%)</w:t>
            </w:r>
          </w:p>
        </w:tc>
      </w:tr>
      <w:tr w:rsidR="00716B80" w:rsidRPr="00042D24" w14:paraId="55A8A779" w14:textId="77777777" w:rsidTr="0071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pct"/>
            <w:tcBorders>
              <w:top w:val="nil"/>
            </w:tcBorders>
            <w:noWrap/>
            <w:hideMark/>
          </w:tcPr>
          <w:p w14:paraId="5885A843" w14:textId="77777777" w:rsidR="005866EB" w:rsidRPr="00042D24" w:rsidRDefault="005866EB" w:rsidP="004B4D04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</w:tcBorders>
            <w:noWrap/>
            <w:vAlign w:val="center"/>
            <w:hideMark/>
          </w:tcPr>
          <w:p w14:paraId="1A95025C" w14:textId="6E9471A9" w:rsidR="0082058E" w:rsidRPr="00042D24" w:rsidRDefault="005866EB" w:rsidP="000C65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2010</w:t>
            </w:r>
          </w:p>
        </w:tc>
        <w:tc>
          <w:tcPr>
            <w:tcW w:w="791" w:type="pct"/>
            <w:tcBorders>
              <w:top w:val="nil"/>
            </w:tcBorders>
            <w:noWrap/>
            <w:vAlign w:val="center"/>
            <w:hideMark/>
          </w:tcPr>
          <w:p w14:paraId="61884C1A" w14:textId="2B696B6D" w:rsidR="0082058E" w:rsidRPr="00042D24" w:rsidRDefault="005866EB" w:rsidP="000C65A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2021</w:t>
            </w:r>
          </w:p>
        </w:tc>
        <w:tc>
          <w:tcPr>
            <w:tcW w:w="791" w:type="pct"/>
            <w:tcBorders>
              <w:top w:val="nil"/>
            </w:tcBorders>
            <w:vAlign w:val="center"/>
          </w:tcPr>
          <w:p w14:paraId="55C08484" w14:textId="3046ADC3" w:rsidR="005866EB" w:rsidRPr="00042D24" w:rsidRDefault="00254EBB" w:rsidP="004B4D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 w:rsidRPr="00042D24">
              <w:rPr>
                <w:bCs/>
                <w:sz w:val="20"/>
                <w:szCs w:val="20"/>
              </w:rPr>
              <w:t>∆</w:t>
            </w:r>
          </w:p>
        </w:tc>
      </w:tr>
      <w:tr w:rsidR="00716B80" w:rsidRPr="00042D24" w14:paraId="11AF63DD" w14:textId="77777777" w:rsidTr="00716B8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pct"/>
            <w:tcBorders>
              <w:bottom w:val="nil"/>
            </w:tcBorders>
            <w:noWrap/>
            <w:vAlign w:val="center"/>
            <w:hideMark/>
          </w:tcPr>
          <w:p w14:paraId="7CCDB058" w14:textId="56DA9252" w:rsidR="00B82E10" w:rsidRPr="00042D24" w:rsidRDefault="00B82E10" w:rsidP="004B4D04">
            <w:pPr>
              <w:rPr>
                <w:b w:val="0"/>
                <w:bCs w:val="0"/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Main</w:t>
            </w:r>
          </w:p>
          <w:p w14:paraId="3D7100CD" w14:textId="3BD70376" w:rsidR="00716B80" w:rsidRDefault="00B82E10" w:rsidP="004B4D04">
            <w:pPr>
              <w:rPr>
                <w:sz w:val="20"/>
                <w:szCs w:val="20"/>
              </w:rPr>
            </w:pPr>
            <w:r w:rsidRPr="00042D24">
              <w:rPr>
                <w:b w:val="0"/>
                <w:bCs w:val="0"/>
                <w:sz w:val="20"/>
                <w:szCs w:val="20"/>
              </w:rPr>
              <w:t>(f</w:t>
            </w:r>
            <w:r w:rsidR="005866EB" w:rsidRPr="00042D24">
              <w:rPr>
                <w:b w:val="0"/>
                <w:bCs w:val="0"/>
                <w:sz w:val="20"/>
                <w:szCs w:val="20"/>
              </w:rPr>
              <w:t>ull sample</w:t>
            </w:r>
            <w:r w:rsidRPr="00042D24">
              <w:rPr>
                <w:b w:val="0"/>
                <w:bCs w:val="0"/>
                <w:sz w:val="20"/>
                <w:szCs w:val="20"/>
              </w:rPr>
              <w:t>)</w:t>
            </w:r>
          </w:p>
          <w:p w14:paraId="709D9546" w14:textId="77777777" w:rsidR="00716B80" w:rsidRPr="00716B80" w:rsidRDefault="00716B80" w:rsidP="004B4D04">
            <w:pPr>
              <w:rPr>
                <w:sz w:val="20"/>
                <w:szCs w:val="20"/>
              </w:rPr>
            </w:pPr>
          </w:p>
          <w:p w14:paraId="422DBFE6" w14:textId="1876E88E" w:rsidR="00383996" w:rsidRPr="00042D24" w:rsidRDefault="00383996" w:rsidP="004B4D04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91" w:type="pct"/>
            <w:tcBorders>
              <w:left w:val="nil"/>
              <w:bottom w:val="nil"/>
            </w:tcBorders>
            <w:noWrap/>
            <w:vAlign w:val="center"/>
            <w:hideMark/>
          </w:tcPr>
          <w:p w14:paraId="7027A674" w14:textId="6EB1344B" w:rsidR="00302721" w:rsidRPr="00042D24" w:rsidRDefault="005866EB" w:rsidP="00280E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42D24">
              <w:rPr>
                <w:b/>
                <w:bCs/>
                <w:sz w:val="20"/>
                <w:szCs w:val="20"/>
              </w:rPr>
              <w:t>35.7</w:t>
            </w:r>
          </w:p>
        </w:tc>
        <w:tc>
          <w:tcPr>
            <w:tcW w:w="791" w:type="pct"/>
            <w:tcBorders>
              <w:bottom w:val="nil"/>
            </w:tcBorders>
            <w:noWrap/>
            <w:vAlign w:val="center"/>
            <w:hideMark/>
          </w:tcPr>
          <w:p w14:paraId="3C29B06B" w14:textId="45426046" w:rsidR="00302721" w:rsidRPr="00042D24" w:rsidRDefault="005866EB" w:rsidP="00280E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42D24">
              <w:rPr>
                <w:b/>
                <w:bCs/>
                <w:sz w:val="20"/>
                <w:szCs w:val="20"/>
              </w:rPr>
              <w:t>19.4</w:t>
            </w:r>
          </w:p>
        </w:tc>
        <w:tc>
          <w:tcPr>
            <w:tcW w:w="791" w:type="pct"/>
            <w:tcBorders>
              <w:bottom w:val="nil"/>
            </w:tcBorders>
            <w:vAlign w:val="center"/>
          </w:tcPr>
          <w:p w14:paraId="2661D183" w14:textId="65B5BCB8" w:rsidR="005866EB" w:rsidRPr="00042D24" w:rsidRDefault="00872105" w:rsidP="00280EA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42D24">
              <w:rPr>
                <w:b/>
                <w:bCs/>
                <w:sz w:val="20"/>
                <w:szCs w:val="20"/>
              </w:rPr>
              <w:t>-</w:t>
            </w:r>
            <w:r w:rsidR="00302721" w:rsidRPr="00042D24">
              <w:rPr>
                <w:b/>
                <w:bCs/>
                <w:sz w:val="20"/>
                <w:szCs w:val="20"/>
              </w:rPr>
              <w:t>16.3</w:t>
            </w:r>
          </w:p>
        </w:tc>
      </w:tr>
      <w:tr w:rsidR="00716B80" w:rsidRPr="00042D24" w14:paraId="1F42788E" w14:textId="77777777" w:rsidTr="0071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096BD86" w14:textId="321D4458" w:rsidR="005866EB" w:rsidRPr="00042D24" w:rsidRDefault="005866EB" w:rsidP="004B4D04">
            <w:pPr>
              <w:rPr>
                <w:sz w:val="20"/>
                <w:szCs w:val="20"/>
              </w:rPr>
            </w:pPr>
            <w:r w:rsidRPr="00042D24">
              <w:rPr>
                <w:b w:val="0"/>
                <w:bCs w:val="0"/>
                <w:sz w:val="20"/>
                <w:szCs w:val="20"/>
              </w:rPr>
              <w:t>Countries with recent data</w:t>
            </w:r>
            <w:r w:rsidR="00383996" w:rsidRPr="00042D24">
              <w:rPr>
                <w:b w:val="0"/>
                <w:bCs w:val="0"/>
                <w:sz w:val="20"/>
                <w:szCs w:val="20"/>
              </w:rPr>
              <w:t xml:space="preserve"> in both years</w:t>
            </w:r>
          </w:p>
          <w:p w14:paraId="75B0BE2A" w14:textId="15FBFECF" w:rsidR="00E1402E" w:rsidRPr="00042D24" w:rsidRDefault="005866EB" w:rsidP="004B4D04">
            <w:pPr>
              <w:rPr>
                <w:b w:val="0"/>
                <w:bCs w:val="0"/>
                <w:sz w:val="20"/>
                <w:szCs w:val="20"/>
              </w:rPr>
            </w:pPr>
            <w:r w:rsidRPr="00042D24">
              <w:rPr>
                <w:b w:val="0"/>
                <w:bCs w:val="0"/>
                <w:sz w:val="20"/>
                <w:szCs w:val="20"/>
              </w:rPr>
              <w:t>(+/- 3 years</w:t>
            </w:r>
            <w:r w:rsidR="004C6C3F" w:rsidRPr="00042D24">
              <w:rPr>
                <w:b w:val="0"/>
                <w:bCs w:val="0"/>
                <w:sz w:val="20"/>
                <w:szCs w:val="20"/>
              </w:rPr>
              <w:t xml:space="preserve">, </w:t>
            </w:r>
            <w:r w:rsidR="00383996" w:rsidRPr="00042D24">
              <w:rPr>
                <w:b w:val="0"/>
                <w:bCs w:val="0"/>
                <w:sz w:val="20"/>
                <w:szCs w:val="20"/>
              </w:rPr>
              <w:t xml:space="preserve">N = </w:t>
            </w:r>
            <w:r w:rsidR="004C6C3F" w:rsidRPr="00042D24">
              <w:rPr>
                <w:b w:val="0"/>
                <w:bCs w:val="0"/>
                <w:sz w:val="20"/>
                <w:szCs w:val="20"/>
              </w:rPr>
              <w:t>89</w:t>
            </w:r>
            <w:r w:rsidRPr="00042D24">
              <w:rPr>
                <w:b w:val="0"/>
                <w:bCs w:val="0"/>
                <w:sz w:val="20"/>
                <w:szCs w:val="20"/>
              </w:rPr>
              <w:t xml:space="preserve">) </w:t>
            </w:r>
          </w:p>
          <w:p w14:paraId="0B25FA0A" w14:textId="77777777" w:rsidR="008E4250" w:rsidRPr="00042D24" w:rsidRDefault="008E4250" w:rsidP="004B4D04">
            <w:pPr>
              <w:rPr>
                <w:sz w:val="20"/>
                <w:szCs w:val="20"/>
              </w:rPr>
            </w:pPr>
          </w:p>
          <w:p w14:paraId="29AB1962" w14:textId="77777777" w:rsidR="005866EB" w:rsidRPr="00042D24" w:rsidRDefault="005866EB" w:rsidP="004B4D04">
            <w:pPr>
              <w:rPr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3F98100" w14:textId="6423DDDE" w:rsidR="00302721" w:rsidRPr="00042D24" w:rsidRDefault="005866EB" w:rsidP="00280E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36.5</w:t>
            </w:r>
          </w:p>
        </w:tc>
        <w:tc>
          <w:tcPr>
            <w:tcW w:w="791" w:type="pct"/>
            <w:tcBorders>
              <w:top w:val="nil"/>
              <w:bottom w:val="nil"/>
            </w:tcBorders>
            <w:noWrap/>
            <w:vAlign w:val="center"/>
            <w:hideMark/>
          </w:tcPr>
          <w:p w14:paraId="35D6908D" w14:textId="2866AE04" w:rsidR="00302721" w:rsidRPr="00042D24" w:rsidRDefault="005866EB" w:rsidP="00280E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17.1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037449DE" w14:textId="45FE905D" w:rsidR="005866EB" w:rsidRPr="00042D24" w:rsidRDefault="00872105" w:rsidP="00280E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-</w:t>
            </w:r>
            <w:r w:rsidR="009F2BD1" w:rsidRPr="00042D24">
              <w:rPr>
                <w:sz w:val="20"/>
                <w:szCs w:val="20"/>
              </w:rPr>
              <w:t>19.4</w:t>
            </w:r>
          </w:p>
        </w:tc>
      </w:tr>
      <w:tr w:rsidR="002F10AE" w:rsidRPr="00042D24" w14:paraId="30FDD2CB" w14:textId="77777777" w:rsidTr="00716B80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pct"/>
            <w:tcBorders>
              <w:top w:val="nil"/>
              <w:bottom w:val="nil"/>
            </w:tcBorders>
            <w:noWrap/>
            <w:vAlign w:val="center"/>
          </w:tcPr>
          <w:p w14:paraId="707B6F88" w14:textId="77777777" w:rsidR="002F10AE" w:rsidRPr="00042D24" w:rsidRDefault="002F10AE" w:rsidP="002F10AE">
            <w:pPr>
              <w:rPr>
                <w:sz w:val="20"/>
                <w:szCs w:val="20"/>
              </w:rPr>
            </w:pPr>
            <w:r w:rsidRPr="00042D24">
              <w:rPr>
                <w:b w:val="0"/>
                <w:bCs w:val="0"/>
                <w:sz w:val="20"/>
                <w:szCs w:val="20"/>
              </w:rPr>
              <w:t xml:space="preserve">Upper bound </w:t>
            </w:r>
          </w:p>
          <w:p w14:paraId="48F3233A" w14:textId="6A4D033B" w:rsidR="002F10AE" w:rsidRPr="00042D24" w:rsidRDefault="002F10AE" w:rsidP="002F10AE">
            <w:pPr>
              <w:jc w:val="left"/>
              <w:rPr>
                <w:sz w:val="20"/>
                <w:szCs w:val="20"/>
              </w:rPr>
            </w:pPr>
            <w:r w:rsidRPr="00042D24">
              <w:rPr>
                <w:b w:val="0"/>
                <w:bCs w:val="0"/>
                <w:sz w:val="20"/>
                <w:szCs w:val="20"/>
              </w:rPr>
              <w:t>(</w:t>
            </w:r>
            <w:r w:rsidR="008E4250">
              <w:rPr>
                <w:b w:val="0"/>
                <w:bCs w:val="0"/>
                <w:sz w:val="20"/>
                <w:szCs w:val="20"/>
              </w:rPr>
              <w:t>maximum overlap)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29B382B" w14:textId="29D03815" w:rsidR="002F10AE" w:rsidRPr="00042D24" w:rsidRDefault="002F10AE" w:rsidP="002F10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39.7</w:t>
            </w:r>
          </w:p>
        </w:tc>
        <w:tc>
          <w:tcPr>
            <w:tcW w:w="791" w:type="pct"/>
            <w:tcBorders>
              <w:top w:val="nil"/>
              <w:bottom w:val="nil"/>
            </w:tcBorders>
            <w:noWrap/>
            <w:vAlign w:val="center"/>
          </w:tcPr>
          <w:p w14:paraId="07C6AA22" w14:textId="340435FA" w:rsidR="002F10AE" w:rsidRPr="00042D24" w:rsidRDefault="002F10AE" w:rsidP="002F10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22.5</w:t>
            </w:r>
          </w:p>
        </w:tc>
        <w:tc>
          <w:tcPr>
            <w:tcW w:w="791" w:type="pct"/>
            <w:tcBorders>
              <w:top w:val="nil"/>
              <w:bottom w:val="nil"/>
            </w:tcBorders>
            <w:vAlign w:val="center"/>
          </w:tcPr>
          <w:p w14:paraId="6B798C07" w14:textId="20978214" w:rsidR="002F10AE" w:rsidRPr="00042D24" w:rsidRDefault="002F10AE" w:rsidP="002F10A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-17.2</w:t>
            </w:r>
          </w:p>
        </w:tc>
      </w:tr>
      <w:tr w:rsidR="00716B80" w:rsidRPr="00042D24" w14:paraId="0DB8317B" w14:textId="77777777" w:rsidTr="00716B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0F1E681" w14:textId="77777777" w:rsidR="008E4250" w:rsidRDefault="008E4250" w:rsidP="002F10AE">
            <w:pPr>
              <w:jc w:val="left"/>
              <w:rPr>
                <w:sz w:val="20"/>
                <w:szCs w:val="20"/>
              </w:rPr>
            </w:pPr>
          </w:p>
          <w:p w14:paraId="2D2E374E" w14:textId="2FA4D0FA" w:rsidR="00E1402E" w:rsidRPr="00042D24" w:rsidRDefault="005866EB" w:rsidP="002F10AE">
            <w:pPr>
              <w:jc w:val="left"/>
              <w:rPr>
                <w:b w:val="0"/>
                <w:bCs w:val="0"/>
                <w:sz w:val="20"/>
                <w:szCs w:val="20"/>
              </w:rPr>
            </w:pPr>
            <w:r w:rsidRPr="00042D24">
              <w:rPr>
                <w:b w:val="0"/>
                <w:bCs w:val="0"/>
                <w:sz w:val="20"/>
                <w:szCs w:val="20"/>
              </w:rPr>
              <w:t>Lower bound</w:t>
            </w:r>
          </w:p>
          <w:p w14:paraId="6CA976F2" w14:textId="09139CB1" w:rsidR="00C877DA" w:rsidRPr="00042D24" w:rsidRDefault="005866EB" w:rsidP="002F10AE">
            <w:pPr>
              <w:rPr>
                <w:sz w:val="20"/>
                <w:szCs w:val="20"/>
              </w:rPr>
            </w:pPr>
            <w:r w:rsidRPr="00042D24">
              <w:rPr>
                <w:b w:val="0"/>
                <w:bCs w:val="0"/>
                <w:sz w:val="20"/>
                <w:szCs w:val="20"/>
              </w:rPr>
              <w:t>(</w:t>
            </w:r>
            <w:r w:rsidR="00C55CCF">
              <w:rPr>
                <w:b w:val="0"/>
                <w:bCs w:val="0"/>
                <w:sz w:val="20"/>
                <w:szCs w:val="20"/>
              </w:rPr>
              <w:t>minimum overlap</w:t>
            </w:r>
            <w:r w:rsidR="002F10AE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</w:tcBorders>
            <w:noWrap/>
            <w:vAlign w:val="center"/>
          </w:tcPr>
          <w:p w14:paraId="3C451CB9" w14:textId="41D86DEA" w:rsidR="005866EB" w:rsidRPr="00042D24" w:rsidRDefault="003254D5" w:rsidP="00280E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31.7</w:t>
            </w:r>
          </w:p>
        </w:tc>
        <w:tc>
          <w:tcPr>
            <w:tcW w:w="791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14:paraId="426BB3F5" w14:textId="23D75F48" w:rsidR="005866EB" w:rsidRPr="00042D24" w:rsidRDefault="00AC1B36" w:rsidP="00280E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16.1</w:t>
            </w:r>
          </w:p>
        </w:tc>
        <w:tc>
          <w:tcPr>
            <w:tcW w:w="791" w:type="pct"/>
            <w:tcBorders>
              <w:top w:val="nil"/>
              <w:bottom w:val="single" w:sz="4" w:space="0" w:color="auto"/>
            </w:tcBorders>
            <w:vAlign w:val="center"/>
          </w:tcPr>
          <w:p w14:paraId="38E3942C" w14:textId="14795272" w:rsidR="005866EB" w:rsidRPr="00042D24" w:rsidRDefault="00872105" w:rsidP="00280EA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2D24">
              <w:rPr>
                <w:sz w:val="20"/>
                <w:szCs w:val="20"/>
              </w:rPr>
              <w:t>-</w:t>
            </w:r>
            <w:r w:rsidR="00AC1B36" w:rsidRPr="00042D24">
              <w:rPr>
                <w:sz w:val="20"/>
                <w:szCs w:val="20"/>
              </w:rPr>
              <w:t>15.6</w:t>
            </w:r>
          </w:p>
        </w:tc>
      </w:tr>
    </w:tbl>
    <w:p w14:paraId="69C38118" w14:textId="77777777" w:rsidR="005866EB" w:rsidRDefault="005866EB" w:rsidP="005866EB">
      <w:pPr>
        <w:rPr>
          <w:b/>
          <w:bCs/>
        </w:rPr>
      </w:pPr>
    </w:p>
    <w:p w14:paraId="2C078E63" w14:textId="0C7A3A9F" w:rsidR="00347013" w:rsidRPr="00042D24" w:rsidRDefault="00347013" w:rsidP="00C56315"/>
    <w:sectPr w:rsidR="00347013" w:rsidRPr="00042D24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ECBF5" w14:textId="77777777" w:rsidR="00A163F4" w:rsidRDefault="00A163F4" w:rsidP="00A163F4">
      <w:pPr>
        <w:spacing w:after="0" w:line="240" w:lineRule="auto"/>
      </w:pPr>
      <w:r>
        <w:separator/>
      </w:r>
    </w:p>
  </w:endnote>
  <w:endnote w:type="continuationSeparator" w:id="0">
    <w:p w14:paraId="1AB4A649" w14:textId="77777777" w:rsidR="00A163F4" w:rsidRDefault="00A163F4" w:rsidP="00A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189267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AA8E8C" w14:textId="79718418" w:rsidR="00A163F4" w:rsidRDefault="00A163F4" w:rsidP="008D782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889875" w14:textId="77777777" w:rsidR="00A163F4" w:rsidRDefault="00A163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1365162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BB66D0" w14:textId="6E404597" w:rsidR="00A163F4" w:rsidRDefault="00A163F4" w:rsidP="008D782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3D5B0855" w14:textId="77777777" w:rsidR="00A163F4" w:rsidRDefault="00A16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AFBD" w14:textId="77777777" w:rsidR="00A163F4" w:rsidRDefault="00A163F4" w:rsidP="00A163F4">
      <w:pPr>
        <w:spacing w:after="0" w:line="240" w:lineRule="auto"/>
      </w:pPr>
      <w:r>
        <w:separator/>
      </w:r>
    </w:p>
  </w:footnote>
  <w:footnote w:type="continuationSeparator" w:id="0">
    <w:p w14:paraId="027B7FD0" w14:textId="77777777" w:rsidR="00A163F4" w:rsidRDefault="00A163F4" w:rsidP="00A16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B6098"/>
    <w:multiLevelType w:val="multilevel"/>
    <w:tmpl w:val="C22E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365024"/>
    <w:multiLevelType w:val="multilevel"/>
    <w:tmpl w:val="7008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3723796">
    <w:abstractNumId w:val="0"/>
  </w:num>
  <w:num w:numId="2" w16cid:durableId="823862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C7234"/>
    <w:rsid w:val="00020E3C"/>
    <w:rsid w:val="00042D24"/>
    <w:rsid w:val="000B25B1"/>
    <w:rsid w:val="000C0791"/>
    <w:rsid w:val="000C65AA"/>
    <w:rsid w:val="00105E22"/>
    <w:rsid w:val="0013314C"/>
    <w:rsid w:val="001D5E11"/>
    <w:rsid w:val="0022660B"/>
    <w:rsid w:val="00254EBB"/>
    <w:rsid w:val="00280EA9"/>
    <w:rsid w:val="002A3F1B"/>
    <w:rsid w:val="002C1FDB"/>
    <w:rsid w:val="002C3A19"/>
    <w:rsid w:val="002D1A2A"/>
    <w:rsid w:val="002D1CB7"/>
    <w:rsid w:val="002E3A36"/>
    <w:rsid w:val="002F10AE"/>
    <w:rsid w:val="00302721"/>
    <w:rsid w:val="003254D5"/>
    <w:rsid w:val="00343F2C"/>
    <w:rsid w:val="00347013"/>
    <w:rsid w:val="003470B9"/>
    <w:rsid w:val="00383996"/>
    <w:rsid w:val="003A1285"/>
    <w:rsid w:val="003E40F3"/>
    <w:rsid w:val="003E7361"/>
    <w:rsid w:val="004114B5"/>
    <w:rsid w:val="004661E4"/>
    <w:rsid w:val="004B1D0F"/>
    <w:rsid w:val="004C66FA"/>
    <w:rsid w:val="004C6C3F"/>
    <w:rsid w:val="004E364B"/>
    <w:rsid w:val="004F4151"/>
    <w:rsid w:val="00504101"/>
    <w:rsid w:val="00517207"/>
    <w:rsid w:val="00522A94"/>
    <w:rsid w:val="00523F26"/>
    <w:rsid w:val="005512AD"/>
    <w:rsid w:val="00565DEC"/>
    <w:rsid w:val="00570C12"/>
    <w:rsid w:val="005866EB"/>
    <w:rsid w:val="00592575"/>
    <w:rsid w:val="005A12AB"/>
    <w:rsid w:val="005E40F6"/>
    <w:rsid w:val="00615493"/>
    <w:rsid w:val="00650383"/>
    <w:rsid w:val="0066141C"/>
    <w:rsid w:val="0066754B"/>
    <w:rsid w:val="006954EF"/>
    <w:rsid w:val="006A10FE"/>
    <w:rsid w:val="006A77A5"/>
    <w:rsid w:val="00716B80"/>
    <w:rsid w:val="007211C1"/>
    <w:rsid w:val="00734374"/>
    <w:rsid w:val="007A652F"/>
    <w:rsid w:val="007F226E"/>
    <w:rsid w:val="0082058E"/>
    <w:rsid w:val="00833CDE"/>
    <w:rsid w:val="00836CF9"/>
    <w:rsid w:val="00872105"/>
    <w:rsid w:val="008C2C3E"/>
    <w:rsid w:val="008C30C4"/>
    <w:rsid w:val="008D128A"/>
    <w:rsid w:val="008E4250"/>
    <w:rsid w:val="0099365E"/>
    <w:rsid w:val="009A7B0E"/>
    <w:rsid w:val="009B54E4"/>
    <w:rsid w:val="009C006F"/>
    <w:rsid w:val="009F2BD1"/>
    <w:rsid w:val="00A16244"/>
    <w:rsid w:val="00A163F4"/>
    <w:rsid w:val="00A50414"/>
    <w:rsid w:val="00A55C1E"/>
    <w:rsid w:val="00A61026"/>
    <w:rsid w:val="00AB70DB"/>
    <w:rsid w:val="00AC109D"/>
    <w:rsid w:val="00AC1B36"/>
    <w:rsid w:val="00AC782D"/>
    <w:rsid w:val="00AE0E8B"/>
    <w:rsid w:val="00AF4C4A"/>
    <w:rsid w:val="00B34C74"/>
    <w:rsid w:val="00B53E08"/>
    <w:rsid w:val="00B82E10"/>
    <w:rsid w:val="00BA4735"/>
    <w:rsid w:val="00C23723"/>
    <w:rsid w:val="00C55CCF"/>
    <w:rsid w:val="00C56315"/>
    <w:rsid w:val="00C6652D"/>
    <w:rsid w:val="00C83E11"/>
    <w:rsid w:val="00C877DA"/>
    <w:rsid w:val="00D12917"/>
    <w:rsid w:val="00D438C2"/>
    <w:rsid w:val="00D65A62"/>
    <w:rsid w:val="00D70532"/>
    <w:rsid w:val="00D82C50"/>
    <w:rsid w:val="00DC12CB"/>
    <w:rsid w:val="00E1402E"/>
    <w:rsid w:val="00E40DAA"/>
    <w:rsid w:val="00E76ED4"/>
    <w:rsid w:val="00E85D9E"/>
    <w:rsid w:val="00EA26EB"/>
    <w:rsid w:val="00ED113F"/>
    <w:rsid w:val="00F537D6"/>
    <w:rsid w:val="00FC718C"/>
    <w:rsid w:val="00FD4EBC"/>
    <w:rsid w:val="68E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C7234"/>
  <w15:chartTrackingRefBased/>
  <w15:docId w15:val="{7341C94E-1B1E-49C1-8AA8-0C6522BF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15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113F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113F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ED113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65DE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C3A19"/>
    <w:rPr>
      <w:color w:val="666666"/>
    </w:rPr>
  </w:style>
  <w:style w:type="table" w:styleId="PlainTable2">
    <w:name w:val="Plain Table 2"/>
    <w:basedOn w:val="TableNormal"/>
    <w:uiPriority w:val="42"/>
    <w:rsid w:val="005866EB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6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3F4"/>
  </w:style>
  <w:style w:type="paragraph" w:styleId="Footer">
    <w:name w:val="footer"/>
    <w:basedOn w:val="Normal"/>
    <w:link w:val="FooterChar"/>
    <w:uiPriority w:val="99"/>
    <w:unhideWhenUsed/>
    <w:rsid w:val="00A16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3F4"/>
  </w:style>
  <w:style w:type="character" w:styleId="PageNumber">
    <w:name w:val="page number"/>
    <w:basedOn w:val="DefaultParagraphFont"/>
    <w:uiPriority w:val="99"/>
    <w:semiHidden/>
    <w:unhideWhenUsed/>
    <w:rsid w:val="00A16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Nisan Gorgulu</dc:creator>
  <cp:keywords/>
  <dc:description/>
  <cp:lastModifiedBy>Ben James Brunckhorst</cp:lastModifiedBy>
  <cp:revision>8</cp:revision>
  <dcterms:created xsi:type="dcterms:W3CDTF">2024-10-20T23:01:00Z</dcterms:created>
  <dcterms:modified xsi:type="dcterms:W3CDTF">2024-10-21T08:32:00Z</dcterms:modified>
</cp:coreProperties>
</file>